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B89" w:rsidRDefault="009065B6">
      <w:pPr>
        <w:pStyle w:val="Heading2"/>
      </w:pPr>
      <w:r>
        <w:t>--- title: Exceptions (3.4h)</w:t>
      </w:r>
    </w:p>
    <w:p w:rsidR="00451B89" w:rsidRDefault="009065B6">
      <w:r>
        <w:t>Most checks have inventories or settings that allow you to record the rules governing those items so thoroughly that when you run the check all the issues found are things you need to correct in the text.</w:t>
      </w:r>
    </w:p>
    <w:p w:rsidR="00451B89" w:rsidRDefault="009065B6">
      <w:r>
        <w:t>However, some checks</w:t>
      </w:r>
      <w:r>
        <w:t xml:space="preserve"> seek to verify items which are not as consistent in what is valid and invalid. It is worth </w:t>
      </w:r>
      <w:r>
        <w:rPr>
          <w:b/>
          <w:bCs/>
        </w:rPr>
        <w:t>leaving it as Unknown</w:t>
      </w:r>
      <w:r>
        <w:t xml:space="preserve"> so that the check continues to find it.</w:t>
      </w:r>
    </w:p>
    <w:p w:rsidR="00451B89" w:rsidRDefault="009065B6">
      <w:pPr>
        <w:pStyle w:val="Heading3"/>
      </w:pPr>
      <w:bookmarkStart w:id="0" w:name="to-record-that-an-occurrence-is-permissi"/>
      <w:bookmarkEnd w:id="0"/>
      <w:r>
        <w:t>To record that an occurrence is permissible</w:t>
      </w:r>
    </w:p>
    <w:p w:rsidR="00451B89" w:rsidRDefault="009065B6">
      <w:pPr>
        <w:pStyle w:val="ListParagraph"/>
        <w:numPr>
          <w:ilvl w:val="0"/>
          <w:numId w:val="4"/>
        </w:numPr>
      </w:pPr>
      <w:r>
        <w:t>in the panel containing the issues, with the issues select</w:t>
      </w:r>
      <w:r>
        <w:t>ed,</w:t>
      </w:r>
    </w:p>
    <w:p w:rsidR="00451B89" w:rsidRDefault="009065B6">
      <w:pPr>
        <w:pStyle w:val="ListParagraph"/>
        <w:numPr>
          <w:ilvl w:val="0"/>
          <w:numId w:val="4"/>
        </w:numPr>
      </w:pPr>
      <w:r>
        <w:t xml:space="preserve">Click the </w:t>
      </w:r>
      <w:r>
        <w:rPr>
          <w:b/>
          <w:bCs/>
        </w:rPr>
        <w:t>menu</w:t>
      </w:r>
      <w:r>
        <w:t xml:space="preserve"> button.</w:t>
      </w:r>
    </w:p>
    <w:p w:rsidR="00451B89" w:rsidRDefault="009065B6">
      <w:pPr>
        <w:pStyle w:val="ListParagraph"/>
        <w:numPr>
          <w:ilvl w:val="0"/>
          <w:numId w:val="4"/>
        </w:numPr>
      </w:pPr>
      <w:r>
        <w:t xml:space="preserve">Under </w:t>
      </w:r>
      <w:r>
        <w:rPr>
          <w:b/>
          <w:bCs/>
        </w:rPr>
        <w:t>Edit</w:t>
      </w:r>
      <w:r>
        <w:t xml:space="preserve"> there is a menu command </w:t>
      </w:r>
      <w:r>
        <w:rPr>
          <w:b/>
          <w:bCs/>
        </w:rPr>
        <w:t>Deny</w:t>
      </w:r>
      <w:r>
        <w:t>.</w:t>
      </w:r>
    </w:p>
    <w:p w:rsidR="00451B89" w:rsidRDefault="009065B6">
      <w:pPr>
        <w:pStyle w:val="Quote"/>
      </w:pPr>
      <w:r>
        <w:t xml:space="preserve">By using Deny, you are </w:t>
      </w:r>
      <w:r>
        <w:rPr>
          <w:b/>
          <w:bCs/>
        </w:rPr>
        <w:t>disagreeing with Paratext</w:t>
      </w:r>
      <w:r>
        <w:t xml:space="preserve"> that this instance is an error. You are </w:t>
      </w:r>
      <w:r>
        <w:rPr>
          <w:i/>
          <w:iCs/>
        </w:rPr>
        <w:t>denying it is an error</w:t>
      </w:r>
      <w:r>
        <w:t xml:space="preserve"> even though it should be an error according to the rules and settings.</w:t>
      </w:r>
    </w:p>
    <w:p w:rsidR="00451B89" w:rsidRPr="009065B6" w:rsidRDefault="009065B6" w:rsidP="009065B6">
      <w:pPr>
        <w:pStyle w:val="ListParagraph"/>
        <w:numPr>
          <w:ilvl w:val="0"/>
          <w:numId w:val="9"/>
        </w:numPr>
      </w:pPr>
      <w:r w:rsidRPr="009065B6">
        <w:rPr>
          <w:i/>
          <w:iCs/>
        </w:rPr>
        <w:t>P</w:t>
      </w:r>
      <w:r w:rsidRPr="009065B6">
        <w:rPr>
          <w:i/>
          <w:iCs/>
        </w:rPr>
        <w:t>aratext applies strikethrough to the issue in the list</w:t>
      </w:r>
      <w:bookmarkStart w:id="1" w:name="_GoBack"/>
      <w:bookmarkEnd w:id="1"/>
      <w:r w:rsidRPr="009065B6">
        <w:t>.</w:t>
      </w:r>
    </w:p>
    <w:p w:rsidR="00451B89" w:rsidRDefault="009065B6">
      <w:pPr>
        <w:pStyle w:val="ListParagraph"/>
        <w:numPr>
          <w:ilvl w:val="0"/>
          <w:numId w:val="5"/>
        </w:numPr>
      </w:pPr>
      <w:r>
        <w:t xml:space="preserve">Click </w:t>
      </w:r>
      <w:r>
        <w:rPr>
          <w:b/>
          <w:bCs/>
        </w:rPr>
        <w:t>Rerun</w:t>
      </w:r>
      <w:r>
        <w:t>,</w:t>
      </w:r>
    </w:p>
    <w:p w:rsidR="00451B89" w:rsidRDefault="009065B6">
      <w:pPr>
        <w:pStyle w:val="ListParagraph"/>
        <w:numPr>
          <w:ilvl w:val="1"/>
          <w:numId w:val="5"/>
        </w:numPr>
      </w:pPr>
      <w:r>
        <w:rPr>
          <w:i/>
          <w:iCs/>
        </w:rPr>
        <w:t>The specific instance of the issue will be hidden, Paratext notifies you that there are hidden denied issues</w:t>
      </w:r>
      <w:r>
        <w:t>.</w:t>
      </w:r>
    </w:p>
    <w:p w:rsidR="00451B89" w:rsidRDefault="009065B6">
      <w:pPr>
        <w:pStyle w:val="Heading3"/>
      </w:pPr>
      <w:bookmarkStart w:id="2" w:name="view-denied-errors"/>
      <w:bookmarkEnd w:id="2"/>
      <w:r>
        <w:t>View Denied Errors</w:t>
      </w:r>
    </w:p>
    <w:p w:rsidR="00451B89" w:rsidRDefault="009065B6">
      <w:pPr>
        <w:pStyle w:val="ListParagraph"/>
        <w:numPr>
          <w:ilvl w:val="0"/>
          <w:numId w:val="6"/>
        </w:numPr>
      </w:pPr>
      <w:r>
        <w:t xml:space="preserve">Open the </w:t>
      </w:r>
      <w:r>
        <w:rPr>
          <w:b/>
          <w:bCs/>
        </w:rPr>
        <w:t>menu</w:t>
      </w:r>
      <w:r>
        <w:t xml:space="preserve"> for the panel.</w:t>
      </w:r>
    </w:p>
    <w:p w:rsidR="00451B89" w:rsidRDefault="009065B6">
      <w:pPr>
        <w:pStyle w:val="ListParagraph"/>
        <w:numPr>
          <w:ilvl w:val="0"/>
          <w:numId w:val="6"/>
        </w:numPr>
      </w:pPr>
      <w:r>
        <w:t xml:space="preserve">Under </w:t>
      </w:r>
      <w:r>
        <w:rPr>
          <w:b/>
          <w:bCs/>
        </w:rPr>
        <w:t>View</w:t>
      </w:r>
      <w:r>
        <w:t xml:space="preserve">, click </w:t>
      </w:r>
      <w:r>
        <w:rPr>
          <w:b/>
          <w:bCs/>
        </w:rPr>
        <w:t>Denied Mes</w:t>
      </w:r>
      <w:r>
        <w:rPr>
          <w:b/>
          <w:bCs/>
        </w:rPr>
        <w:t>sages</w:t>
      </w:r>
      <w:r>
        <w:t>.</w:t>
      </w:r>
    </w:p>
    <w:p w:rsidR="00451B89" w:rsidRDefault="009065B6">
      <w:pPr>
        <w:pStyle w:val="ListParagraph"/>
        <w:numPr>
          <w:ilvl w:val="1"/>
          <w:numId w:val="6"/>
        </w:numPr>
      </w:pPr>
      <w:r>
        <w:rPr>
          <w:i/>
          <w:iCs/>
        </w:rPr>
        <w:t>The issues with the strikethrough are shown again</w:t>
      </w:r>
      <w:r>
        <w:t>.</w:t>
      </w:r>
    </w:p>
    <w:p w:rsidR="00451B89" w:rsidRDefault="009065B6">
      <w:r>
        <w:t>You can double click on an issue to view it in the scripture window as usual.</w:t>
      </w:r>
    </w:p>
    <w:p w:rsidR="00451B89" w:rsidRDefault="009065B6">
      <w:pPr>
        <w:pStyle w:val="Heading3"/>
      </w:pPr>
      <w:bookmarkStart w:id="3" w:name="remove-the-denial"/>
      <w:bookmarkEnd w:id="3"/>
      <w:r>
        <w:t>Remove the denial</w:t>
      </w:r>
    </w:p>
    <w:p w:rsidR="00451B89" w:rsidRDefault="009065B6">
      <w:r>
        <w:t>If you realize an item has been incorrectly marked as an exception using Deny, you can remove the deni</w:t>
      </w:r>
      <w:r>
        <w:t>al.</w:t>
      </w:r>
    </w:p>
    <w:p w:rsidR="00451B89" w:rsidRDefault="009065B6">
      <w:pPr>
        <w:pStyle w:val="ListParagraph"/>
        <w:numPr>
          <w:ilvl w:val="0"/>
          <w:numId w:val="7"/>
        </w:numPr>
      </w:pPr>
      <w:r>
        <w:lastRenderedPageBreak/>
        <w:t xml:space="preserve">Open the </w:t>
      </w:r>
      <w:r>
        <w:rPr>
          <w:b/>
          <w:bCs/>
        </w:rPr>
        <w:t>menu</w:t>
      </w:r>
      <w:r>
        <w:t xml:space="preserve"> for the panel.</w:t>
      </w:r>
    </w:p>
    <w:p w:rsidR="00451B89" w:rsidRDefault="009065B6">
      <w:pPr>
        <w:pStyle w:val="ListParagraph"/>
        <w:numPr>
          <w:ilvl w:val="0"/>
          <w:numId w:val="7"/>
        </w:numPr>
      </w:pPr>
      <w:r>
        <w:t xml:space="preserve">Under </w:t>
      </w:r>
      <w:r>
        <w:rPr>
          <w:b/>
          <w:bCs/>
        </w:rPr>
        <w:t>Edit</w:t>
      </w:r>
      <w:r>
        <w:t xml:space="preserve">, click </w:t>
      </w:r>
      <w:r>
        <w:rPr>
          <w:b/>
          <w:bCs/>
        </w:rPr>
        <w:t>Remove denial</w:t>
      </w:r>
      <w:r>
        <w:t>.</w:t>
      </w:r>
    </w:p>
    <w:p w:rsidR="00451B89" w:rsidRDefault="009065B6">
      <w:pPr>
        <w:pStyle w:val="ListParagraph"/>
        <w:numPr>
          <w:ilvl w:val="1"/>
          <w:numId w:val="7"/>
        </w:numPr>
      </w:pPr>
      <w:r>
        <w:rPr>
          <w:i/>
          <w:iCs/>
        </w:rPr>
        <w:t>The strikethrough is removed</w:t>
      </w:r>
      <w:r>
        <w:t>.</w:t>
      </w:r>
    </w:p>
    <w:p w:rsidR="00451B89" w:rsidRDefault="009065B6">
      <w:r>
        <w:t>You would then either correct the error or mark it as valid in the associated inventory or settings.</w:t>
      </w:r>
    </w:p>
    <w:p w:rsidR="00451B89" w:rsidRDefault="009065B6">
      <w:r>
        <w:rPr>
          <w:b/>
          <w:bCs/>
        </w:rPr>
        <w:t>You should use Deny sparingly</w:t>
      </w:r>
      <w:r>
        <w:t>. If you find yourself wanting</w:t>
      </w:r>
      <w:r>
        <w:t xml:space="preserve"> to deny a lot of issues, you should go back to the inventory or settings related to the check and review if you can mark it as valid or use settings to reduce the number of spurious issues you are seeing when you run the check.</w:t>
      </w:r>
    </w:p>
    <w:p w:rsidR="00451B89" w:rsidRDefault="009065B6">
      <w:r>
        <w:rPr>
          <w:b/>
          <w:bCs/>
        </w:rPr>
        <w:t>Deny is just to be used for</w:t>
      </w:r>
      <w:r>
        <w:rPr>
          <w:b/>
          <w:bCs/>
        </w:rPr>
        <w:t xml:space="preserve"> exceptions which cannot be handled some other way.</w:t>
      </w:r>
    </w:p>
    <w:sectPr w:rsidR="00451B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D3E15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2D0445"/>
    <w:multiLevelType w:val="multilevel"/>
    <w:tmpl w:val="D74E44D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2E2468F2"/>
    <w:multiLevelType w:val="multilevel"/>
    <w:tmpl w:val="CDA6FA2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47C762F3"/>
    <w:multiLevelType w:val="multilevel"/>
    <w:tmpl w:val="9F527CF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4" w15:restartNumberingAfterBreak="0">
    <w:nsid w:val="4AEF6A04"/>
    <w:multiLevelType w:val="multilevel"/>
    <w:tmpl w:val="F2CADB1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4BCF0E4A"/>
    <w:multiLevelType w:val="multilevel"/>
    <w:tmpl w:val="B45CA536"/>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4BE71301"/>
    <w:multiLevelType w:val="multilevel"/>
    <w:tmpl w:val="84CC2BD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7" w15:restartNumberingAfterBreak="0">
    <w:nsid w:val="54DB0FFC"/>
    <w:multiLevelType w:val="hybridMultilevel"/>
    <w:tmpl w:val="C61A4D4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60A1390D"/>
    <w:multiLevelType w:val="multilevel"/>
    <w:tmpl w:val="D418256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abstractNumId w:val="1"/>
  </w:num>
  <w:num w:numId="2">
    <w:abstractNumId w:val="8"/>
  </w:num>
  <w:num w:numId="3">
    <w:abstractNumId w:val="6"/>
  </w:num>
  <w:num w:numId="4">
    <w:abstractNumId w:val="2"/>
  </w:num>
  <w:num w:numId="5">
    <w:abstractNumId w:val="5"/>
  </w:num>
  <w:num w:numId="6">
    <w:abstractNumId w:val="4"/>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A1MDY0NrIwM7KwNDFX0lEKTi0uzszPAykwrAUAAWZmRiwAAAA="/>
  </w:docVars>
  <w:rsids>
    <w:rsidRoot w:val="00451B89"/>
    <w:rsid w:val="00451B89"/>
    <w:rsid w:val="009065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0483"/>
  <w15:docId w15:val="{1ECC7633-00DD-4C5F-9EC2-440B063E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qFormat/>
    <w:pPr>
      <w:outlineLvl w:val="0"/>
    </w:pPr>
    <w:rPr>
      <w:rFonts w:asciiTheme="majorHAnsi" w:eastAsiaTheme="majorEastAsia" w:hAnsiTheme="majorHAnsi" w:cstheme="majorBidi"/>
      <w:b/>
      <w:bCs/>
      <w:color w:val="4F81BD"/>
      <w:sz w:val="32"/>
      <w:szCs w:val="32"/>
    </w:rPr>
  </w:style>
  <w:style w:type="paragraph" w:styleId="Heading2">
    <w:name w:val="heading 2"/>
    <w:basedOn w:val="Normal"/>
    <w:next w:val="BodyText"/>
    <w:qFormat/>
    <w:pPr>
      <w:outlineLvl w:val="1"/>
    </w:pPr>
    <w:rPr>
      <w:rFonts w:asciiTheme="majorHAnsi" w:eastAsiaTheme="majorEastAsia" w:hAnsiTheme="majorHAnsi" w:cstheme="majorBidi"/>
      <w:b/>
      <w:bCs/>
      <w:color w:val="4F81BD"/>
      <w:sz w:val="28"/>
      <w:szCs w:val="28"/>
    </w:rPr>
  </w:style>
  <w:style w:type="paragraph" w:styleId="Heading3">
    <w:name w:val="heading 3"/>
    <w:basedOn w:val="Normal"/>
    <w:next w:val="BodyText"/>
    <w:qFormat/>
    <w:pPr>
      <w:outlineLvl w:val="2"/>
    </w:pPr>
    <w:rPr>
      <w:rFonts w:asciiTheme="majorHAnsi" w:eastAsiaTheme="majorEastAsia" w:hAnsiTheme="majorHAnsi" w:cstheme="majorBidi"/>
      <w:b/>
      <w:bCs/>
      <w:color w:val="4F81BD"/>
    </w:rPr>
  </w:style>
  <w:style w:type="paragraph" w:styleId="Heading4">
    <w:name w:val="heading 4"/>
    <w:basedOn w:val="Normal"/>
    <w:next w:val="BodyText"/>
    <w:qFormat/>
    <w:pPr>
      <w:outlineLvl w:val="3"/>
    </w:pPr>
    <w:rPr>
      <w:rFonts w:asciiTheme="majorHAnsi" w:eastAsiaTheme="majorEastAsia" w:hAnsiTheme="majorHAnsi" w:cstheme="majorBidi"/>
      <w:i/>
      <w:iCs/>
      <w:color w:val="4F81BD"/>
    </w:rPr>
  </w:style>
  <w:style w:type="paragraph" w:styleId="Heading5">
    <w:name w:val="heading 5"/>
    <w:basedOn w:val="Normal"/>
    <w:next w:val="BodyText"/>
    <w:qFormat/>
    <w:pPr>
      <w:outlineLvl w:val="4"/>
    </w:pPr>
    <w:rPr>
      <w:rFonts w:asciiTheme="majorHAnsi" w:eastAsiaTheme="majorEastAsia" w:hAnsiTheme="majorHAnsi" w:cstheme="majorBidi"/>
      <w:color w:val="4F81BD"/>
    </w:rPr>
  </w:style>
  <w:style w:type="paragraph" w:styleId="Heading6">
    <w:name w:val="heading 6"/>
    <w:basedOn w:val="Normal"/>
    <w:next w:val="BodyText"/>
    <w:qFormat/>
    <w:pPr>
      <w:outlineLvl w:val="5"/>
    </w:pPr>
    <w:rPr>
      <w:rFonts w:asciiTheme="majorHAnsi" w:eastAsiaTheme="majorEastAsia" w:hAnsiTheme="majorHAnsi" w:cstheme="majorBidi"/>
      <w:color w:val="4F81BD"/>
    </w:rPr>
  </w:style>
  <w:style w:type="paragraph" w:styleId="Heading7">
    <w:name w:val="heading 7"/>
    <w:basedOn w:val="Normal"/>
    <w:next w:val="BodyText"/>
    <w:qFormat/>
    <w:pPr>
      <w:outlineLvl w:val="6"/>
    </w:pPr>
    <w:rPr>
      <w:rFonts w:asciiTheme="majorHAnsi" w:eastAsiaTheme="majorEastAsia" w:hAnsiTheme="majorHAnsi" w:cstheme="majorBidi"/>
      <w:color w:val="4F81BD"/>
    </w:rPr>
  </w:style>
  <w:style w:type="paragraph" w:styleId="Heading8">
    <w:name w:val="heading 8"/>
    <w:basedOn w:val="Normal"/>
    <w:next w:val="BodyText"/>
    <w:qFormat/>
    <w:pPr>
      <w:outlineLvl w:val="7"/>
    </w:pPr>
    <w:rPr>
      <w:rFonts w:asciiTheme="majorHAnsi" w:eastAsiaTheme="majorEastAsia" w:hAnsiTheme="majorHAnsi" w:cstheme="majorBidi"/>
      <w:color w:val="4F81BD"/>
    </w:rPr>
  </w:style>
  <w:style w:type="paragraph" w:styleId="Heading9">
    <w:name w:val="heading 9"/>
    <w:basedOn w:val="Normal"/>
    <w:next w:val="BodyText"/>
    <w:qFormat/>
    <w:pPr>
      <w:outlineLvl w:val="8"/>
    </w:pPr>
    <w:rPr>
      <w:rFonts w:asciiTheme="majorHAnsi" w:eastAsiaTheme="majorEastAsia" w:hAnsiTheme="majorHAnsi" w:cstheme="majorBid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qFormat/>
  </w:style>
  <w:style w:type="paragraph" w:customStyle="1" w:styleId="FirstParagraph">
    <w:name w:val="First Paragraph"/>
    <w:basedOn w:val="BodyText"/>
    <w:next w:val="BodyText"/>
    <w:qFormat/>
  </w:style>
  <w:style w:type="paragraph" w:customStyle="1" w:styleId="Compact">
    <w:name w:val="Compact"/>
    <w:basedOn w:val="BodyText"/>
    <w:next w:val="Normal"/>
    <w:qFormat/>
  </w:style>
  <w:style w:type="paragraph" w:styleId="Title">
    <w:name w:val="Title"/>
    <w:basedOn w:val="Normal"/>
    <w:next w:val="BodyText"/>
    <w:qFormat/>
    <w:pPr>
      <w:jc w:val="center"/>
    </w:pPr>
    <w:rPr>
      <w:rFonts w:asciiTheme="majorHAnsi" w:eastAsiaTheme="majorEastAsia" w:hAnsiTheme="majorHAnsi" w:cstheme="majorBidi"/>
      <w:b/>
      <w:bCs/>
      <w:color w:val="345A8A"/>
      <w:sz w:val="36"/>
      <w:szCs w:val="36"/>
    </w:rPr>
  </w:style>
  <w:style w:type="paragraph" w:styleId="Subtitle">
    <w:name w:val="Subtitle"/>
    <w:basedOn w:val="Title"/>
    <w:next w:val="BodyText"/>
    <w:qFormat/>
    <w:rPr>
      <w:sz w:val="30"/>
      <w:szCs w:val="30"/>
    </w:rPr>
  </w:style>
  <w:style w:type="paragraph" w:customStyle="1" w:styleId="Author">
    <w:name w:val="Author"/>
    <w:next w:val="BodyText"/>
    <w:qFormat/>
    <w:pPr>
      <w:jc w:val="center"/>
    </w:pPr>
  </w:style>
  <w:style w:type="paragraph" w:styleId="Date">
    <w:name w:val="Date"/>
    <w:next w:val="BodyText"/>
    <w:qFormat/>
    <w:pPr>
      <w:jc w:val="center"/>
    </w:pPr>
  </w:style>
  <w:style w:type="paragraph" w:customStyle="1" w:styleId="Abstract">
    <w:name w:val="Abstract"/>
    <w:basedOn w:val="Normal"/>
    <w:next w:val="BodyText"/>
    <w:qFormat/>
    <w:rPr>
      <w:sz w:val="20"/>
      <w:szCs w:val="20"/>
    </w:rPr>
  </w:style>
  <w:style w:type="paragraph" w:styleId="Bibliography">
    <w:name w:val="Bibliography"/>
    <w:basedOn w:val="Normal"/>
    <w:qFormat/>
  </w:style>
  <w:style w:type="paragraph" w:styleId="BlockText">
    <w:name w:val="Block Text"/>
    <w:basedOn w:val="BodyText"/>
    <w:next w:val="BodyText"/>
    <w:qFormat/>
    <w:pPr>
      <w:ind w:left="480" w:right="480"/>
    </w:pPr>
  </w:style>
  <w:style w:type="paragraph" w:styleId="Quote">
    <w:name w:val="Quote"/>
    <w:basedOn w:val="BodyText"/>
    <w:next w:val="BodyText"/>
    <w:qFormat/>
    <w:pPr>
      <w:ind w:left="480" w:right="480"/>
    </w:pPr>
  </w:style>
  <w:style w:type="paragraph" w:styleId="FootnoteTex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Caption">
    <w:name w:val="caption"/>
    <w:basedOn w:val="Normal"/>
    <w:next w:val="Normal"/>
    <w:qFormat/>
    <w:rPr>
      <w:i/>
      <w:iCs/>
    </w:rPr>
  </w:style>
  <w:style w:type="paragraph" w:customStyle="1" w:styleId="TableCaption">
    <w:name w:val="Table Caption"/>
    <w:basedOn w:val="Caption"/>
    <w:next w:val="Normal"/>
    <w:qFormat/>
  </w:style>
  <w:style w:type="paragraph" w:customStyle="1" w:styleId="ImageCaption">
    <w:name w:val="Image Caption"/>
    <w:basedOn w:val="Caption"/>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DefaultParagraphFont"/>
    <w:qFormat/>
  </w:style>
  <w:style w:type="character" w:customStyle="1" w:styleId="VerbatimChar">
    <w:name w:val="Verbatim Char"/>
    <w:basedOn w:val="BodyTextChar"/>
    <w:qFormat/>
    <w:rPr>
      <w:rFonts w:ascii="Consolas" w:hAnsi="Consolas"/>
      <w:sz w:val="22"/>
      <w:szCs w:val="22"/>
    </w:rPr>
  </w:style>
  <w:style w:type="character" w:styleId="FootnoteReference">
    <w:name w:val="footnote reference"/>
    <w:basedOn w:val="BodyTextChar"/>
    <w:qFormat/>
    <w:rPr>
      <w:vertAlign w:val="superscript"/>
    </w:rPr>
  </w:style>
  <w:style w:type="character" w:styleId="Hyperlink">
    <w:name w:val="Hyperlink"/>
    <w:basedOn w:val="BodyTextChar"/>
    <w:qFormat/>
    <w:rPr>
      <w:color w:val="4F81BD"/>
    </w:rPr>
  </w:style>
  <w:style w:type="paragraph" w:styleId="TOCHeading">
    <w:name w:val="TOC Heading"/>
    <w:basedOn w:val="Heading1"/>
    <w:next w:val="BodyText"/>
    <w:qFormat/>
    <w:rPr>
      <w:color w:val="365F91"/>
    </w:rPr>
  </w:style>
  <w:style w:type="paragraph" w:customStyle="1" w:styleId="SourceCode">
    <w:name w:val="Source Code"/>
    <w:basedOn w:val="BodyText"/>
    <w:qFormat/>
    <w:pPr>
      <w:shd w:val="clear" w:color="auto" w:fill="D9D9D9"/>
      <w:contextualSpacing/>
    </w:pPr>
    <w:rPr>
      <w:rFonts w:ascii="Consolas" w:hAnsi="Consolas"/>
      <w:sz w:val="22"/>
      <w:szCs w:val="22"/>
    </w:rPr>
  </w:style>
  <w:style w:type="character" w:customStyle="1" w:styleId="InlineMath">
    <w:name w:val="Inline Math"/>
    <w:basedOn w:val="DefaultParagraphFont"/>
    <w:qFormat/>
    <w:rPr>
      <w:rFonts w:ascii="Consolas" w:hAnsi="Consolas"/>
      <w:color w:val="FF0000"/>
      <w:sz w:val="22"/>
      <w:szCs w:val="22"/>
    </w:rPr>
  </w:style>
  <w:style w:type="character" w:customStyle="1" w:styleId="DisplayMath">
    <w:name w:val="Display Math"/>
    <w:basedOn w:val="DefaultParagraphFont"/>
    <w:qFormat/>
    <w:rPr>
      <w:rFonts w:ascii="Consolas" w:hAnsi="Consolas"/>
      <w:color w:val="FF0000"/>
      <w:sz w:val="22"/>
      <w:szCs w:val="22"/>
    </w:rPr>
  </w:style>
  <w:style w:type="paragraph" w:customStyle="1" w:styleId="Metadata">
    <w:name w:val="Metadata"/>
    <w:basedOn w:val="BodyText"/>
    <w:next w:val="Normal"/>
    <w:qFormat/>
    <w:rPr>
      <w:rFonts w:ascii="Consolas" w:hAnsi="Consolas"/>
      <w:color w:val="D9D9D9"/>
    </w:rPr>
  </w:style>
  <w:style w:type="paragraph" w:customStyle="1" w:styleId="SourceCodeLanguage">
    <w:name w:val="Source Code Language"/>
    <w:basedOn w:val="BodyText"/>
    <w:next w:val="SourceCode"/>
    <w:qFormat/>
    <w:rPr>
      <w:rFonts w:ascii="Consolas" w:hAnsi="Consolas"/>
      <w:color w:val="D99594"/>
    </w:rPr>
  </w:style>
  <w:style w:type="paragraph" w:styleId="ListParagraph">
    <w:name w:val="List Paragraph"/>
    <w:qFormat/>
  </w:style>
  <w:style w:type="paragraph" w:styleId="ListBullet">
    <w:name w:val="List Bullet"/>
    <w:basedOn w:val="Normal"/>
    <w:uiPriority w:val="99"/>
    <w:unhideWhenUsed/>
    <w:rsid w:val="009065B6"/>
    <w:pPr>
      <w:numPr>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jjpdq82@yahoo.com.au</cp:lastModifiedBy>
  <cp:revision>2</cp:revision>
  <dcterms:created xsi:type="dcterms:W3CDTF">2022-10-17T18:05:00Z</dcterms:created>
  <dcterms:modified xsi:type="dcterms:W3CDTF">2022-10-17T18:05:00Z</dcterms:modified>
</cp:coreProperties>
</file>