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08E47">
      <w:pPr>
        <w:pStyle w:val="20"/>
        <w:ind w:firstLine="0" w:firstLineChars="0"/>
        <w:rPr>
          <w:rFonts w:hint="eastAsia"/>
        </w:rPr>
      </w:pPr>
      <w:bookmarkStart w:id="0" w:name="_Toc100469968"/>
      <w:r>
        <w:t>基于XXX算法的研究</w:t>
      </w:r>
    </w:p>
    <w:p w14:paraId="32E04F38">
      <w:pPr>
        <w:pStyle w:val="63"/>
      </w:pPr>
      <w:r>
        <w:rPr>
          <w:rFonts w:hint="eastAsia"/>
        </w:rPr>
        <w:t>摘  要：</w:t>
      </w:r>
      <w:bookmarkEnd w:id="0"/>
    </w:p>
    <w:p w14:paraId="624BF860">
      <w:pPr>
        <w:pStyle w:val="29"/>
        <w:ind w:firstLine="480"/>
      </w:pPr>
    </w:p>
    <w:p w14:paraId="17845D55">
      <w:pPr>
        <w:pStyle w:val="29"/>
        <w:ind w:firstLine="480"/>
      </w:pPr>
      <w:r>
        <w:rPr>
          <w:rFonts w:hint="eastAsia"/>
        </w:rPr>
        <w:t>开头段：需要充分概括论文内容，一般两到三句话即可，长度控制在三至五行。</w:t>
      </w:r>
    </w:p>
    <w:p w14:paraId="4BFD5348">
      <w:pPr>
        <w:pStyle w:val="29"/>
        <w:ind w:firstLine="480"/>
      </w:pPr>
      <w:r>
        <w:rPr>
          <w:rFonts w:hint="eastAsia"/>
        </w:rPr>
        <w:t>问题一中，解决了什么问题；应用了什么方法；得到了什么结果。</w:t>
      </w:r>
    </w:p>
    <w:p w14:paraId="5070BCFC">
      <w:pPr>
        <w:pStyle w:val="29"/>
        <w:ind w:firstLine="480"/>
      </w:pPr>
      <w:r>
        <w:rPr>
          <w:rFonts w:hint="eastAsia"/>
        </w:rPr>
        <w:t>问题二中，解决了什么问题；应用了什么方法；得到了什么结果。</w:t>
      </w:r>
    </w:p>
    <w:p w14:paraId="100EE27F">
      <w:pPr>
        <w:pStyle w:val="29"/>
        <w:ind w:firstLine="480"/>
      </w:pPr>
      <w:r>
        <w:rPr>
          <w:rFonts w:hint="eastAsia"/>
        </w:rPr>
        <w:t>问题三中，解决了什么问题；应用了什么方法；得到了什么结果。</w:t>
      </w:r>
    </w:p>
    <w:p w14:paraId="2613D889">
      <w:pPr>
        <w:pStyle w:val="29"/>
        <w:ind w:firstLine="480"/>
      </w:pPr>
      <w:r>
        <w:rPr>
          <w:rFonts w:hint="eastAsia"/>
        </w:rPr>
        <w:t>结尾段：可以总结下全文，也可以介绍下你的论文的亮点，也可以对类似的问题进行适当的推广。</w:t>
      </w:r>
    </w:p>
    <w:p w14:paraId="6266D4A9">
      <w:pPr>
        <w:pStyle w:val="29"/>
        <w:ind w:firstLine="480"/>
      </w:pPr>
      <w:r>
        <w:rPr>
          <w:rFonts w:hint="eastAsia" w:ascii="黑体" w:hAnsi="黑体" w:eastAsia="黑体"/>
        </w:rPr>
        <w:t>关键词：</w:t>
      </w:r>
      <w:r>
        <w:rPr>
          <w:rFonts w:hint="eastAsia"/>
        </w:rPr>
        <w:t xml:space="preserve">关键词1 </w:t>
      </w:r>
      <w:r>
        <w:t xml:space="preserve"> </w:t>
      </w:r>
      <w:r>
        <w:rPr>
          <w:rFonts w:hint="eastAsia"/>
        </w:rPr>
        <w:t>关键词</w:t>
      </w:r>
      <w:r>
        <w:t>2</w:t>
      </w:r>
      <w:r>
        <w:rPr>
          <w:rFonts w:hint="eastAsia"/>
        </w:rPr>
        <w:t xml:space="preserve"> </w:t>
      </w:r>
      <w:r>
        <w:t xml:space="preserve"> </w:t>
      </w:r>
      <w:r>
        <w:rPr>
          <w:rFonts w:hint="eastAsia"/>
        </w:rPr>
        <w:t>关键词</w:t>
      </w:r>
      <w:r>
        <w:t xml:space="preserve">3  </w:t>
      </w:r>
      <w:r>
        <w:rPr>
          <w:rFonts w:hint="eastAsia"/>
        </w:rPr>
        <w:t>关键词</w:t>
      </w:r>
      <w:r>
        <w:t>4</w:t>
      </w:r>
    </w:p>
    <w:p w14:paraId="1DF94FE2">
      <w:pPr>
        <w:pStyle w:val="29"/>
        <w:ind w:firstLine="480"/>
      </w:pPr>
    </w:p>
    <w:p w14:paraId="007A4794">
      <w:pPr>
        <w:pStyle w:val="29"/>
        <w:ind w:firstLine="480"/>
      </w:pPr>
      <w:r>
        <w:rPr>
          <w:rFonts w:hint="eastAsia"/>
        </w:rPr>
        <w:t>（1）用1、2句话说明原问题中要解决的问题；</w:t>
      </w:r>
    </w:p>
    <w:p w14:paraId="6E18AE43">
      <w:pPr>
        <w:pStyle w:val="29"/>
        <w:ind w:firstLine="480"/>
      </w:pPr>
      <w:r>
        <w:rPr>
          <w:rFonts w:hint="eastAsia"/>
        </w:rPr>
        <w:t>（2）建立了什么模型（在数学上属于什么类型），建模的思想（思路），模型特点；</w:t>
      </w:r>
    </w:p>
    <w:p w14:paraId="43E234B4">
      <w:pPr>
        <w:pStyle w:val="29"/>
        <w:ind w:firstLine="480"/>
      </w:pPr>
      <w:r>
        <w:rPr>
          <w:rFonts w:hint="eastAsia"/>
        </w:rPr>
        <w:t>（3）算法思想（求解思路），特色；</w:t>
      </w:r>
    </w:p>
    <w:p w14:paraId="580CC637">
      <w:pPr>
        <w:pStyle w:val="29"/>
        <w:ind w:firstLine="480"/>
      </w:pPr>
      <w:r>
        <w:rPr>
          <w:rFonts w:hint="eastAsia"/>
        </w:rPr>
        <w:t>（4）主要结果（数值结果，结论）；（回答题目的全部“问题”）</w:t>
      </w:r>
    </w:p>
    <w:p w14:paraId="7D1D0A3D">
      <w:pPr>
        <w:pStyle w:val="29"/>
        <w:ind w:firstLine="480"/>
      </w:pPr>
      <w:r>
        <w:rPr>
          <w:rFonts w:hint="eastAsia"/>
        </w:rPr>
        <w:t>（5）模型优点，结果检验；模型检验，灵敏度分析，有无改进，推广</w:t>
      </w:r>
    </w:p>
    <w:p w14:paraId="5E1EB354">
      <w:pPr>
        <w:pStyle w:val="29"/>
        <w:ind w:firstLine="480"/>
      </w:pPr>
      <w:r>
        <w:rPr>
          <w:rFonts w:hint="eastAsia"/>
        </w:rPr>
        <w:t>要求</w:t>
      </w:r>
    </w:p>
    <w:p w14:paraId="5AD29061">
      <w:pPr>
        <w:pStyle w:val="29"/>
        <w:ind w:firstLine="480"/>
      </w:pPr>
      <w:r>
        <w:rPr>
          <w:rFonts w:hint="eastAsia"/>
        </w:rPr>
        <w:t>（1）特色和创新之处必须在这里强调；</w:t>
      </w:r>
    </w:p>
    <w:p w14:paraId="5AF9C489">
      <w:pPr>
        <w:pStyle w:val="29"/>
        <w:ind w:firstLine="480"/>
      </w:pPr>
      <w:r>
        <w:rPr>
          <w:rFonts w:hint="eastAsia"/>
        </w:rPr>
        <w:t>（2）长度</w:t>
      </w:r>
    </w:p>
    <w:p w14:paraId="3AF599CE">
      <w:pPr>
        <w:pStyle w:val="29"/>
        <w:ind w:firstLine="480"/>
      </w:pPr>
      <w:r>
        <w:rPr>
          <w:rFonts w:hint="eastAsia"/>
        </w:rPr>
        <w:t>（3）要确保准确、简明、条理、清晰、突出特色和创新点；</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51CB4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26B73398">
            <w:pPr>
              <w:pStyle w:val="46"/>
            </w:pPr>
            <w:r>
              <w:rPr>
                <w:rFonts w:hint="eastAsia"/>
              </w:rPr>
              <w:t>注意事项：</w:t>
            </w:r>
          </w:p>
          <w:p w14:paraId="5D431314">
            <w:pPr>
              <w:pStyle w:val="46"/>
              <w:jc w:val="both"/>
            </w:pPr>
            <w:r>
              <w:rPr>
                <w:rFonts w:hint="eastAsia"/>
                <w:highlight w:val="yellow"/>
              </w:rPr>
              <w:t>本Word模版是以国赛的标准创建的模版，也适用于国内绝大多数的数学建模比赛。</w:t>
            </w:r>
          </w:p>
          <w:p w14:paraId="713FBD54">
            <w:pPr>
              <w:pStyle w:val="46"/>
            </w:pPr>
            <w:r>
              <w:rPr>
                <w:rFonts w:hint="eastAsia"/>
              </w:rPr>
              <w:t>首页三要素: 论文标题 + 摘要 + 关键词</w:t>
            </w:r>
          </w:p>
          <w:p w14:paraId="354F4244">
            <w:pPr>
              <w:pStyle w:val="46"/>
            </w:pPr>
            <w:r>
              <w:rPr>
                <w:rFonts w:hint="eastAsia"/>
              </w:rPr>
              <w:t>（1）标题：</w:t>
            </w:r>
          </w:p>
          <w:p w14:paraId="3CAE0332">
            <w:pPr>
              <w:pStyle w:val="46"/>
            </w:pPr>
            <w:r>
              <w:rPr>
                <w:rFonts w:hint="eastAsia"/>
              </w:rPr>
              <w:t>基于所使用的主要模型或者方法作为标题（推荐）</w:t>
            </w:r>
          </w:p>
          <w:p w14:paraId="7ABD5C7E">
            <w:pPr>
              <w:pStyle w:val="46"/>
            </w:pPr>
            <w:r>
              <w:rPr>
                <w:rFonts w:hint="eastAsia"/>
              </w:rPr>
              <w:t>直接使用赛题所给的题目或者要研究的问题作为标题</w:t>
            </w:r>
          </w:p>
          <w:p w14:paraId="4D924AFA">
            <w:pPr>
              <w:pStyle w:val="46"/>
            </w:pPr>
            <w:r>
              <w:rPr>
                <w:rFonts w:hint="eastAsia"/>
              </w:rPr>
              <w:t>（2）摘要：</w:t>
            </w:r>
          </w:p>
          <w:p w14:paraId="005346BF">
            <w:pPr>
              <w:pStyle w:val="46"/>
            </w:pPr>
            <w:r>
              <w:rPr>
                <w:rFonts w:hint="eastAsia"/>
              </w:rPr>
              <w:t>摘要是数模论文写作中最重要的一部分，因为评阅老师的时间有限，拿到一篇论文后不会完整的从头读到尾，所以评阅老师往往会重点阅读摘要部分，并结合官方的评阅要点来对你的论文进行初步评定。因此，大家一定要好好打磨论文的摘要，摘要一般是其他部分都完成后再来书写，写完后需要反复阅读反复修改。</w:t>
            </w:r>
          </w:p>
          <w:p w14:paraId="15CDAC69">
            <w:pPr>
              <w:pStyle w:val="46"/>
            </w:pPr>
            <w:r>
              <w:rPr>
                <w:rFonts w:hint="eastAsia"/>
              </w:rPr>
              <w:t>（3）关键词：</w:t>
            </w:r>
          </w:p>
          <w:p w14:paraId="0E5BF345">
            <w:pPr>
              <w:pStyle w:val="46"/>
            </w:pPr>
            <w:r>
              <w:rPr>
                <w:rFonts w:hint="eastAsia"/>
              </w:rPr>
              <w:t>关键词一般放4-6个，可以放论文中使用的主要模型，也可以放论文里面出现次数较多，能体现论文的主要内容的词。</w:t>
            </w:r>
          </w:p>
          <w:p w14:paraId="7890459B">
            <w:pPr>
              <w:pStyle w:val="46"/>
            </w:pPr>
          </w:p>
        </w:tc>
      </w:tr>
    </w:tbl>
    <w:p w14:paraId="0A44CF54">
      <w:pPr>
        <w:pStyle w:val="42"/>
        <w:numPr>
          <w:ilvl w:val="0"/>
          <w:numId w:val="0"/>
        </w:numPr>
        <w:spacing w:before="48" w:after="120"/>
      </w:pPr>
      <w:bookmarkStart w:id="1" w:name="_Toc100469969"/>
    </w:p>
    <w:p w14:paraId="0453B3F4">
      <w:pPr>
        <w:widowControl/>
        <w:ind w:firstLine="560"/>
        <w:jc w:val="left"/>
        <w:rPr>
          <w:b/>
          <w:szCs w:val="48"/>
        </w:rPr>
      </w:pPr>
      <w:r>
        <w:br w:type="page"/>
      </w:r>
    </w:p>
    <w:bookmarkEnd w:id="1"/>
    <w:p w14:paraId="1E3F4875">
      <w:pPr>
        <w:pStyle w:val="32"/>
      </w:pPr>
      <w:bookmarkStart w:id="2" w:name="_Toc206756651"/>
      <w:r>
        <w:t>问题重述</w:t>
      </w:r>
      <w:bookmarkEnd w:id="2"/>
    </w:p>
    <w:p w14:paraId="4062975B">
      <w:pPr>
        <w:pStyle w:val="34"/>
      </w:pPr>
      <w:bookmarkStart w:id="3" w:name="_Toc206756652"/>
      <w:r>
        <w:t>问题背景</w:t>
      </w:r>
      <w:bookmarkEnd w:id="3"/>
    </w:p>
    <w:p w14:paraId="0F49FFC8">
      <w:pPr>
        <w:pStyle w:val="29"/>
        <w:rPr>
          <w:rFonts w:hint="default"/>
        </w:rPr>
      </w:pPr>
      <w:r>
        <w:rPr>
          <w:rFonts w:hint="default"/>
        </w:rPr>
        <w:t>随着分布式光伏等可再生能源在配电网中的大规模接入，其出力具有明显的间歇性和波动性，容易造成本地发电与用电负荷在时间上的不匹配。微网作为整合分布式电源、储能设备和本地负荷的小型发用电系统，能够在局部范围内实现电力的灵活调节和就地消纳，减少分布式能源直接并网带来的冲击。</w:t>
      </w:r>
    </w:p>
    <w:p w14:paraId="49F5BAF9">
      <w:pPr>
        <w:pStyle w:val="29"/>
        <w:rPr>
          <w:rFonts w:hint="default"/>
        </w:rPr>
      </w:pPr>
      <w:r>
        <w:rPr>
          <w:rFonts w:hint="default"/>
        </w:rPr>
        <w:t>在非孤岛运行方式下，微网可以与外部电网进行功率交换。出于经济性考虑，微网通常会在外网电价较低或分布式电源存在富余电量的时段给储能设备充电，并在外网电价较高或本地负荷较大时释放储能电能。通过合理安排购电和储能充放电计划，微网既能够满足小区负荷的电力需求，又能够降低全天购电费用。</w:t>
      </w:r>
    </w:p>
    <w:p w14:paraId="4D422641">
      <w:pPr>
        <w:pStyle w:val="29"/>
        <w:rPr>
          <w:rFonts w:hint="default"/>
        </w:rPr>
      </w:pPr>
      <w:r>
        <w:rPr>
          <w:rFonts w:hint="default"/>
        </w:rPr>
        <w:t>因此，本文研究微网与外部电网的电力调控策略，利用小区负荷、光伏发电、储能设备储电量和外网电价等数据，制定微网逐时段的计划购电量和储能充放电计划，在保证供电可靠性的前提下尽可能减少购电成本。该问题本质上是一类带储能约束的经济调度和优化决策问题。</w:t>
      </w:r>
    </w:p>
    <w:p w14:paraId="5CB09A6C">
      <w:pPr>
        <w:pStyle w:val="29"/>
      </w:pPr>
    </w:p>
    <w:p w14:paraId="215543BE">
      <w:pPr>
        <w:pStyle w:val="29"/>
        <w:ind w:firstLine="480"/>
      </w:pPr>
    </w:p>
    <w:p w14:paraId="5F14A703">
      <w:pPr>
        <w:pStyle w:val="34"/>
      </w:pPr>
      <w:bookmarkStart w:id="4" w:name="_Toc206756653"/>
      <w:r>
        <w:t>问题的数据条件</w:t>
      </w:r>
      <w:bookmarkEnd w:id="4"/>
    </w:p>
    <w:p w14:paraId="365819DF">
      <w:pPr>
        <w:pStyle w:val="29"/>
        <w:ind w:firstLine="480"/>
      </w:pPr>
    </w:p>
    <w:p w14:paraId="6CE55C8C">
      <w:pPr>
        <w:pStyle w:val="34"/>
      </w:pPr>
      <w:bookmarkStart w:id="5" w:name="_Toc206756654"/>
      <w:r>
        <w:t>问题的提出</w:t>
      </w:r>
      <w:bookmarkEnd w:id="5"/>
    </w:p>
    <w:p w14:paraId="361C4D36">
      <w:pPr>
        <w:pStyle w:val="29"/>
        <w:ind w:firstLine="480"/>
      </w:pPr>
      <w:r>
        <w:rPr>
          <w:rFonts w:hint="eastAsia"/>
        </w:rPr>
        <w:t>XXX</w:t>
      </w:r>
    </w:p>
    <w:p w14:paraId="76CAEF40">
      <w:pPr>
        <w:pStyle w:val="29"/>
        <w:ind w:firstLine="480"/>
      </w:pPr>
      <w:r>
        <w:rPr>
          <w:rFonts w:hint="eastAsia"/>
        </w:rPr>
        <w:t>XXX</w:t>
      </w:r>
    </w:p>
    <w:p w14:paraId="23F144B2">
      <w:pPr>
        <w:widowControl/>
        <w:ind w:firstLine="560"/>
        <w:jc w:val="left"/>
        <w:rPr>
          <w:sz w:val="24"/>
          <w:szCs w:val="48"/>
        </w:rPr>
      </w:pPr>
      <w:r>
        <w:br w:type="page"/>
      </w:r>
    </w:p>
    <w:p w14:paraId="6517F5EF">
      <w:pPr>
        <w:pStyle w:val="32"/>
      </w:pPr>
      <w:bookmarkStart w:id="6" w:name="_Toc206756662"/>
      <w:bookmarkStart w:id="7" w:name="_Toc206756655"/>
      <w:r>
        <w:rPr>
          <w:rFonts w:hint="eastAsia"/>
        </w:rPr>
        <w:t>模型假设与符号说明</w:t>
      </w:r>
      <w:bookmarkEnd w:id="6"/>
    </w:p>
    <w:p w14:paraId="6342BB79">
      <w:pPr>
        <w:numPr>
          <w:ilvl w:val="0"/>
          <w:numId w:val="7"/>
        </w:numPr>
        <w:ind w:left="567" w:firstLine="480"/>
        <w:rPr>
          <w:rFonts w:hint="eastAsia" w:ascii="宋体" w:hAnsi="宋体"/>
          <w:sz w:val="24"/>
        </w:rPr>
      </w:pPr>
      <w:r>
        <w:rPr>
          <w:rFonts w:hint="eastAsia" w:ascii="宋体" w:hAnsi="宋体"/>
          <w:sz w:val="24"/>
        </w:rPr>
        <w:t>XX</w:t>
      </w:r>
    </w:p>
    <w:p w14:paraId="121EEF25">
      <w:pPr>
        <w:numPr>
          <w:ilvl w:val="0"/>
          <w:numId w:val="7"/>
        </w:numPr>
        <w:ind w:left="567" w:firstLine="480"/>
        <w:rPr>
          <w:rFonts w:hint="eastAsia" w:ascii="宋体" w:hAnsi="宋体"/>
          <w:sz w:val="24"/>
        </w:rPr>
      </w:pPr>
      <w:r>
        <w:rPr>
          <w:rFonts w:hint="eastAsia" w:ascii="宋体" w:hAnsi="宋体"/>
          <w:sz w:val="24"/>
        </w:rPr>
        <w:t>XX</w:t>
      </w:r>
    </w:p>
    <w:p w14:paraId="47C91E48">
      <w:pPr>
        <w:numPr>
          <w:ilvl w:val="0"/>
          <w:numId w:val="7"/>
        </w:numPr>
        <w:ind w:left="567" w:firstLine="480"/>
        <w:rPr>
          <w:rFonts w:hint="eastAsia" w:ascii="宋体" w:hAnsi="宋体"/>
          <w:sz w:val="24"/>
        </w:rPr>
      </w:pPr>
      <w:r>
        <w:rPr>
          <w:rFonts w:hint="eastAsia" w:ascii="宋体" w:hAnsi="宋体"/>
          <w:sz w:val="24"/>
        </w:rPr>
        <w:t>XX</w:t>
      </w:r>
    </w:p>
    <w:p w14:paraId="099B80B5">
      <w:pPr>
        <w:pStyle w:val="29"/>
        <w:ind w:firstLine="480"/>
      </w:pPr>
      <w:r>
        <w:rPr>
          <w:rFonts w:hint="eastAsia"/>
        </w:rPr>
        <w:t>6类常见的模型假设：</w:t>
      </w:r>
    </w:p>
    <w:p w14:paraId="2DA55D59">
      <w:pPr>
        <w:numPr>
          <w:ilvl w:val="0"/>
          <w:numId w:val="8"/>
        </w:numPr>
        <w:ind w:left="567" w:firstLine="480"/>
        <w:rPr>
          <w:color w:val="FF0000"/>
          <w:sz w:val="24"/>
        </w:rPr>
      </w:pPr>
      <w:r>
        <w:rPr>
          <w:rFonts w:hint="eastAsia"/>
          <w:color w:val="FF0000"/>
          <w:sz w:val="24"/>
        </w:rPr>
        <w:t>题目明确给出的假设条件</w:t>
      </w:r>
    </w:p>
    <w:p w14:paraId="3BFADEA6">
      <w:pPr>
        <w:numPr>
          <w:ilvl w:val="0"/>
          <w:numId w:val="8"/>
        </w:numPr>
        <w:ind w:left="567" w:firstLine="480"/>
        <w:rPr>
          <w:color w:val="FF0000"/>
          <w:sz w:val="24"/>
        </w:rPr>
      </w:pPr>
      <w:r>
        <w:rPr>
          <w:rFonts w:hint="eastAsia"/>
          <w:color w:val="FF0000"/>
          <w:sz w:val="24"/>
        </w:rPr>
        <w:t>排除生活中的小概率事件(例如黑天鹅事件、非正常情况)</w:t>
      </w:r>
    </w:p>
    <w:p w14:paraId="223C4C71">
      <w:pPr>
        <w:numPr>
          <w:ilvl w:val="0"/>
          <w:numId w:val="8"/>
        </w:numPr>
        <w:ind w:left="567" w:firstLine="480"/>
        <w:rPr>
          <w:color w:val="FF0000"/>
          <w:sz w:val="24"/>
        </w:rPr>
      </w:pPr>
      <w:r>
        <w:rPr>
          <w:rFonts w:hint="eastAsia"/>
          <w:color w:val="FF0000"/>
          <w:sz w:val="24"/>
        </w:rPr>
        <w:t>仅考虑问题中的核心因素，不考虑次要因素的影响</w:t>
      </w:r>
    </w:p>
    <w:p w14:paraId="7E4D3F1F">
      <w:pPr>
        <w:numPr>
          <w:ilvl w:val="0"/>
          <w:numId w:val="8"/>
        </w:numPr>
        <w:ind w:left="567" w:firstLine="480"/>
        <w:rPr>
          <w:color w:val="FF0000"/>
          <w:sz w:val="24"/>
        </w:rPr>
      </w:pPr>
      <w:r>
        <w:rPr>
          <w:rFonts w:hint="eastAsia"/>
          <w:color w:val="FF0000"/>
          <w:sz w:val="24"/>
        </w:rPr>
        <w:t>使用的模型中要求的假设</w:t>
      </w:r>
    </w:p>
    <w:p w14:paraId="747B91AD">
      <w:pPr>
        <w:numPr>
          <w:ilvl w:val="0"/>
          <w:numId w:val="8"/>
        </w:numPr>
        <w:ind w:left="567" w:firstLine="480"/>
        <w:rPr>
          <w:color w:val="FF0000"/>
          <w:sz w:val="24"/>
        </w:rPr>
      </w:pPr>
      <w:r>
        <w:rPr>
          <w:rFonts w:hint="eastAsia"/>
          <w:color w:val="FF0000"/>
          <w:sz w:val="24"/>
        </w:rPr>
        <w:t>对模型中的参数形式(或者分布)进行假设</w:t>
      </w:r>
    </w:p>
    <w:p w14:paraId="43909F25">
      <w:pPr>
        <w:numPr>
          <w:ilvl w:val="0"/>
          <w:numId w:val="8"/>
        </w:numPr>
        <w:ind w:left="567" w:firstLine="480"/>
        <w:rPr>
          <w:color w:val="FF0000"/>
          <w:sz w:val="24"/>
        </w:rPr>
      </w:pPr>
      <w:r>
        <w:rPr>
          <w:rFonts w:hint="eastAsia"/>
          <w:color w:val="FF0000"/>
          <w:sz w:val="24"/>
        </w:rPr>
        <w:t>和题目联系很紧密的一些假设，主要是为了简化模型</w:t>
      </w:r>
    </w:p>
    <w:p w14:paraId="1E362DAD">
      <w:pPr>
        <w:pStyle w:val="29"/>
        <w:ind w:firstLine="480"/>
      </w:pPr>
    </w:p>
    <w:p w14:paraId="1F831A85">
      <w:pPr>
        <w:pStyle w:val="44"/>
        <w:spacing w:before="120" w:after="48"/>
      </w:pPr>
      <w:r>
        <w:rPr>
          <w:rFonts w:hint="eastAsia"/>
        </w:rPr>
        <w:t>符号说明</w:t>
      </w:r>
    </w:p>
    <w:tbl>
      <w:tblPr>
        <w:tblStyle w:val="62"/>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5"/>
        <w:gridCol w:w="7130"/>
        <w:gridCol w:w="856"/>
      </w:tblGrid>
      <w:tr w14:paraId="20C6F0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tcBorders>
              <w:bottom w:val="single" w:color="auto" w:sz="4" w:space="0"/>
              <w:insideH w:val="single" w:sz="4" w:space="0"/>
            </w:tcBorders>
            <w:shd w:val="clear" w:color="auto" w:fill="auto"/>
            <w:tcMar>
              <w:top w:w="0" w:type="dxa"/>
              <w:left w:w="57" w:type="dxa"/>
              <w:bottom w:w="0" w:type="dxa"/>
              <w:right w:w="57" w:type="dxa"/>
            </w:tcMar>
            <w:vAlign w:val="center"/>
          </w:tcPr>
          <w:p w14:paraId="039D1D89">
            <w:pPr>
              <w:pStyle w:val="46"/>
            </w:pPr>
            <w:r>
              <w:rPr>
                <w:rFonts w:hint="eastAsia"/>
              </w:rPr>
              <w:t>符号</w:t>
            </w:r>
          </w:p>
        </w:tc>
        <w:tc>
          <w:tcPr>
            <w:tcW w:w="3930" w:type="pct"/>
            <w:tcBorders>
              <w:bottom w:val="single" w:color="auto" w:sz="4" w:space="0"/>
              <w:insideH w:val="single" w:sz="4" w:space="0"/>
            </w:tcBorders>
            <w:shd w:val="clear" w:color="auto" w:fill="auto"/>
            <w:tcMar>
              <w:top w:w="0" w:type="dxa"/>
              <w:left w:w="57" w:type="dxa"/>
              <w:bottom w:w="0" w:type="dxa"/>
              <w:right w:w="57" w:type="dxa"/>
            </w:tcMar>
            <w:vAlign w:val="center"/>
          </w:tcPr>
          <w:p w14:paraId="3D82D39B">
            <w:pPr>
              <w:pStyle w:val="46"/>
            </w:pPr>
            <w:r>
              <w:rPr>
                <w:rFonts w:hint="eastAsia"/>
              </w:rPr>
              <w:t>说明</w:t>
            </w:r>
          </w:p>
        </w:tc>
        <w:tc>
          <w:tcPr>
            <w:tcW w:w="472" w:type="pct"/>
            <w:tcBorders>
              <w:bottom w:val="single" w:color="auto" w:sz="4" w:space="0"/>
              <w:insideH w:val="single" w:sz="4" w:space="0"/>
            </w:tcBorders>
            <w:shd w:val="clear" w:color="auto" w:fill="auto"/>
            <w:tcMar>
              <w:top w:w="0" w:type="dxa"/>
              <w:left w:w="57" w:type="dxa"/>
              <w:bottom w:w="0" w:type="dxa"/>
              <w:right w:w="57" w:type="dxa"/>
            </w:tcMar>
            <w:vAlign w:val="center"/>
          </w:tcPr>
          <w:p w14:paraId="5EFCBC0C">
            <w:pPr>
              <w:pStyle w:val="46"/>
            </w:pPr>
            <w:r>
              <w:rPr>
                <w:rFonts w:hint="eastAsia"/>
              </w:rPr>
              <w:t>单位</w:t>
            </w:r>
          </w:p>
        </w:tc>
      </w:tr>
      <w:tr w14:paraId="256442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0B158267">
            <w:pPr>
              <w:pStyle w:val="46"/>
            </w:pPr>
          </w:p>
        </w:tc>
        <w:tc>
          <w:tcPr>
            <w:tcW w:w="3930" w:type="pct"/>
            <w:shd w:val="clear" w:color="auto" w:fill="auto"/>
            <w:tcMar>
              <w:top w:w="0" w:type="dxa"/>
              <w:left w:w="57" w:type="dxa"/>
              <w:bottom w:w="0" w:type="dxa"/>
              <w:right w:w="57" w:type="dxa"/>
            </w:tcMar>
            <w:vAlign w:val="center"/>
          </w:tcPr>
          <w:p w14:paraId="533855C6">
            <w:pPr>
              <w:pStyle w:val="46"/>
            </w:pPr>
          </w:p>
        </w:tc>
        <w:tc>
          <w:tcPr>
            <w:tcW w:w="472" w:type="pct"/>
            <w:shd w:val="clear" w:color="auto" w:fill="auto"/>
            <w:tcMar>
              <w:top w:w="0" w:type="dxa"/>
              <w:left w:w="57" w:type="dxa"/>
              <w:bottom w:w="0" w:type="dxa"/>
              <w:right w:w="57" w:type="dxa"/>
            </w:tcMar>
            <w:vAlign w:val="center"/>
          </w:tcPr>
          <w:p w14:paraId="333F7B26">
            <w:pPr>
              <w:pStyle w:val="46"/>
            </w:pPr>
          </w:p>
        </w:tc>
      </w:tr>
      <w:tr w14:paraId="2A13DB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124730D0">
            <w:pPr>
              <w:pStyle w:val="46"/>
            </w:pPr>
          </w:p>
        </w:tc>
        <w:tc>
          <w:tcPr>
            <w:tcW w:w="3930" w:type="pct"/>
            <w:shd w:val="clear" w:color="auto" w:fill="auto"/>
            <w:tcMar>
              <w:top w:w="0" w:type="dxa"/>
              <w:left w:w="57" w:type="dxa"/>
              <w:bottom w:w="0" w:type="dxa"/>
              <w:right w:w="57" w:type="dxa"/>
            </w:tcMar>
            <w:vAlign w:val="center"/>
          </w:tcPr>
          <w:p w14:paraId="50285C99">
            <w:pPr>
              <w:pStyle w:val="46"/>
            </w:pPr>
          </w:p>
        </w:tc>
        <w:tc>
          <w:tcPr>
            <w:tcW w:w="472" w:type="pct"/>
            <w:shd w:val="clear" w:color="auto" w:fill="auto"/>
            <w:tcMar>
              <w:top w:w="0" w:type="dxa"/>
              <w:left w:w="57" w:type="dxa"/>
              <w:bottom w:w="0" w:type="dxa"/>
              <w:right w:w="57" w:type="dxa"/>
            </w:tcMar>
            <w:vAlign w:val="center"/>
          </w:tcPr>
          <w:p w14:paraId="37754CE6">
            <w:pPr>
              <w:pStyle w:val="46"/>
            </w:pPr>
          </w:p>
        </w:tc>
      </w:tr>
      <w:tr w14:paraId="4DD8BC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56E94B7F">
            <w:pPr>
              <w:pStyle w:val="46"/>
            </w:pPr>
          </w:p>
        </w:tc>
        <w:tc>
          <w:tcPr>
            <w:tcW w:w="3930" w:type="pct"/>
            <w:shd w:val="clear" w:color="auto" w:fill="auto"/>
            <w:tcMar>
              <w:top w:w="0" w:type="dxa"/>
              <w:left w:w="57" w:type="dxa"/>
              <w:bottom w:w="0" w:type="dxa"/>
              <w:right w:w="57" w:type="dxa"/>
            </w:tcMar>
            <w:vAlign w:val="center"/>
          </w:tcPr>
          <w:p w14:paraId="4F0221A6">
            <w:pPr>
              <w:pStyle w:val="46"/>
            </w:pPr>
          </w:p>
        </w:tc>
        <w:tc>
          <w:tcPr>
            <w:tcW w:w="472" w:type="pct"/>
            <w:shd w:val="clear" w:color="auto" w:fill="auto"/>
            <w:tcMar>
              <w:top w:w="0" w:type="dxa"/>
              <w:left w:w="57" w:type="dxa"/>
              <w:bottom w:w="0" w:type="dxa"/>
              <w:right w:w="57" w:type="dxa"/>
            </w:tcMar>
            <w:vAlign w:val="center"/>
          </w:tcPr>
          <w:p w14:paraId="1FD1C755">
            <w:pPr>
              <w:pStyle w:val="46"/>
            </w:pPr>
          </w:p>
        </w:tc>
      </w:tr>
      <w:tr w14:paraId="4B7022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0EB80250">
            <w:pPr>
              <w:pStyle w:val="46"/>
            </w:pPr>
          </w:p>
        </w:tc>
        <w:tc>
          <w:tcPr>
            <w:tcW w:w="3930" w:type="pct"/>
            <w:shd w:val="clear" w:color="auto" w:fill="auto"/>
            <w:tcMar>
              <w:top w:w="0" w:type="dxa"/>
              <w:left w:w="57" w:type="dxa"/>
              <w:bottom w:w="0" w:type="dxa"/>
              <w:right w:w="57" w:type="dxa"/>
            </w:tcMar>
            <w:vAlign w:val="center"/>
          </w:tcPr>
          <w:p w14:paraId="443D631F">
            <w:pPr>
              <w:pStyle w:val="46"/>
            </w:pPr>
          </w:p>
        </w:tc>
        <w:tc>
          <w:tcPr>
            <w:tcW w:w="472" w:type="pct"/>
            <w:shd w:val="clear" w:color="auto" w:fill="auto"/>
            <w:tcMar>
              <w:top w:w="0" w:type="dxa"/>
              <w:left w:w="57" w:type="dxa"/>
              <w:bottom w:w="0" w:type="dxa"/>
              <w:right w:w="57" w:type="dxa"/>
            </w:tcMar>
            <w:vAlign w:val="center"/>
          </w:tcPr>
          <w:p w14:paraId="02106E9D">
            <w:pPr>
              <w:pStyle w:val="46"/>
            </w:pPr>
          </w:p>
        </w:tc>
      </w:tr>
      <w:tr w14:paraId="337F3C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27D71C3A">
            <w:pPr>
              <w:pStyle w:val="46"/>
            </w:pPr>
          </w:p>
        </w:tc>
        <w:tc>
          <w:tcPr>
            <w:tcW w:w="3930" w:type="pct"/>
            <w:shd w:val="clear" w:color="auto" w:fill="auto"/>
            <w:tcMar>
              <w:top w:w="0" w:type="dxa"/>
              <w:left w:w="57" w:type="dxa"/>
              <w:bottom w:w="0" w:type="dxa"/>
              <w:right w:w="57" w:type="dxa"/>
            </w:tcMar>
            <w:vAlign w:val="center"/>
          </w:tcPr>
          <w:p w14:paraId="02629CD7">
            <w:pPr>
              <w:pStyle w:val="46"/>
            </w:pPr>
          </w:p>
        </w:tc>
        <w:tc>
          <w:tcPr>
            <w:tcW w:w="472" w:type="pct"/>
            <w:shd w:val="clear" w:color="auto" w:fill="auto"/>
            <w:tcMar>
              <w:top w:w="0" w:type="dxa"/>
              <w:left w:w="57" w:type="dxa"/>
              <w:bottom w:w="0" w:type="dxa"/>
              <w:right w:w="57" w:type="dxa"/>
            </w:tcMar>
            <w:vAlign w:val="center"/>
          </w:tcPr>
          <w:p w14:paraId="1C278753">
            <w:pPr>
              <w:pStyle w:val="46"/>
            </w:pPr>
          </w:p>
        </w:tc>
      </w:tr>
      <w:tr w14:paraId="73702D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334EE698">
            <w:pPr>
              <w:pStyle w:val="46"/>
            </w:pPr>
          </w:p>
        </w:tc>
        <w:tc>
          <w:tcPr>
            <w:tcW w:w="3930" w:type="pct"/>
            <w:shd w:val="clear" w:color="auto" w:fill="auto"/>
            <w:tcMar>
              <w:top w:w="0" w:type="dxa"/>
              <w:left w:w="57" w:type="dxa"/>
              <w:bottom w:w="0" w:type="dxa"/>
              <w:right w:w="57" w:type="dxa"/>
            </w:tcMar>
            <w:vAlign w:val="center"/>
          </w:tcPr>
          <w:p w14:paraId="74F115CE">
            <w:pPr>
              <w:pStyle w:val="46"/>
            </w:pPr>
          </w:p>
        </w:tc>
        <w:tc>
          <w:tcPr>
            <w:tcW w:w="472" w:type="pct"/>
            <w:shd w:val="clear" w:color="auto" w:fill="auto"/>
            <w:tcMar>
              <w:top w:w="0" w:type="dxa"/>
              <w:left w:w="57" w:type="dxa"/>
              <w:bottom w:w="0" w:type="dxa"/>
              <w:right w:w="57" w:type="dxa"/>
            </w:tcMar>
            <w:vAlign w:val="center"/>
          </w:tcPr>
          <w:p w14:paraId="5FDE6FB4">
            <w:pPr>
              <w:pStyle w:val="46"/>
            </w:pPr>
          </w:p>
        </w:tc>
      </w:tr>
      <w:tr w14:paraId="74B7B4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31912A6F">
            <w:pPr>
              <w:pStyle w:val="46"/>
            </w:pPr>
          </w:p>
        </w:tc>
        <w:tc>
          <w:tcPr>
            <w:tcW w:w="3930" w:type="pct"/>
            <w:shd w:val="clear" w:color="auto" w:fill="auto"/>
            <w:tcMar>
              <w:top w:w="0" w:type="dxa"/>
              <w:left w:w="57" w:type="dxa"/>
              <w:bottom w:w="0" w:type="dxa"/>
              <w:right w:w="57" w:type="dxa"/>
            </w:tcMar>
            <w:vAlign w:val="center"/>
          </w:tcPr>
          <w:p w14:paraId="2915A97C">
            <w:pPr>
              <w:pStyle w:val="46"/>
            </w:pPr>
          </w:p>
        </w:tc>
        <w:tc>
          <w:tcPr>
            <w:tcW w:w="472" w:type="pct"/>
            <w:shd w:val="clear" w:color="auto" w:fill="auto"/>
            <w:tcMar>
              <w:top w:w="0" w:type="dxa"/>
              <w:left w:w="57" w:type="dxa"/>
              <w:bottom w:w="0" w:type="dxa"/>
              <w:right w:w="57" w:type="dxa"/>
            </w:tcMar>
            <w:vAlign w:val="center"/>
          </w:tcPr>
          <w:p w14:paraId="3F13C6A0">
            <w:pPr>
              <w:pStyle w:val="46"/>
            </w:pPr>
          </w:p>
        </w:tc>
      </w:tr>
      <w:tr w14:paraId="6AE78F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46824A75">
            <w:pPr>
              <w:pStyle w:val="46"/>
            </w:pPr>
          </w:p>
        </w:tc>
        <w:tc>
          <w:tcPr>
            <w:tcW w:w="3930" w:type="pct"/>
            <w:shd w:val="clear" w:color="auto" w:fill="auto"/>
            <w:tcMar>
              <w:top w:w="0" w:type="dxa"/>
              <w:left w:w="57" w:type="dxa"/>
              <w:bottom w:w="0" w:type="dxa"/>
              <w:right w:w="57" w:type="dxa"/>
            </w:tcMar>
            <w:vAlign w:val="center"/>
          </w:tcPr>
          <w:p w14:paraId="0F6F4326">
            <w:pPr>
              <w:pStyle w:val="46"/>
            </w:pPr>
          </w:p>
        </w:tc>
        <w:tc>
          <w:tcPr>
            <w:tcW w:w="472" w:type="pct"/>
            <w:shd w:val="clear" w:color="auto" w:fill="auto"/>
            <w:tcMar>
              <w:top w:w="0" w:type="dxa"/>
              <w:left w:w="57" w:type="dxa"/>
              <w:bottom w:w="0" w:type="dxa"/>
              <w:right w:w="57" w:type="dxa"/>
            </w:tcMar>
            <w:vAlign w:val="center"/>
          </w:tcPr>
          <w:p w14:paraId="3A6FB7B6">
            <w:pPr>
              <w:pStyle w:val="46"/>
            </w:pPr>
          </w:p>
        </w:tc>
      </w:tr>
      <w:tr w14:paraId="682B4B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52D72E84">
            <w:pPr>
              <w:pStyle w:val="46"/>
            </w:pPr>
          </w:p>
        </w:tc>
        <w:tc>
          <w:tcPr>
            <w:tcW w:w="3930" w:type="pct"/>
            <w:shd w:val="clear" w:color="auto" w:fill="auto"/>
            <w:tcMar>
              <w:top w:w="0" w:type="dxa"/>
              <w:left w:w="57" w:type="dxa"/>
              <w:bottom w:w="0" w:type="dxa"/>
              <w:right w:w="57" w:type="dxa"/>
            </w:tcMar>
            <w:vAlign w:val="center"/>
          </w:tcPr>
          <w:p w14:paraId="24205313">
            <w:pPr>
              <w:pStyle w:val="46"/>
            </w:pPr>
          </w:p>
        </w:tc>
        <w:tc>
          <w:tcPr>
            <w:tcW w:w="472" w:type="pct"/>
            <w:shd w:val="clear" w:color="auto" w:fill="auto"/>
            <w:tcMar>
              <w:top w:w="0" w:type="dxa"/>
              <w:left w:w="57" w:type="dxa"/>
              <w:bottom w:w="0" w:type="dxa"/>
              <w:right w:w="57" w:type="dxa"/>
            </w:tcMar>
            <w:vAlign w:val="center"/>
          </w:tcPr>
          <w:p w14:paraId="071FC092">
            <w:pPr>
              <w:pStyle w:val="46"/>
            </w:pPr>
          </w:p>
        </w:tc>
      </w:tr>
      <w:tr w14:paraId="10AC41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5FEECDCA">
            <w:pPr>
              <w:pStyle w:val="46"/>
            </w:pPr>
          </w:p>
        </w:tc>
        <w:tc>
          <w:tcPr>
            <w:tcW w:w="3930" w:type="pct"/>
            <w:shd w:val="clear" w:color="auto" w:fill="auto"/>
            <w:tcMar>
              <w:top w:w="0" w:type="dxa"/>
              <w:left w:w="57" w:type="dxa"/>
              <w:bottom w:w="0" w:type="dxa"/>
              <w:right w:w="57" w:type="dxa"/>
            </w:tcMar>
            <w:vAlign w:val="center"/>
          </w:tcPr>
          <w:p w14:paraId="6759A82E">
            <w:pPr>
              <w:pStyle w:val="46"/>
            </w:pPr>
          </w:p>
        </w:tc>
        <w:tc>
          <w:tcPr>
            <w:tcW w:w="472" w:type="pct"/>
            <w:shd w:val="clear" w:color="auto" w:fill="auto"/>
            <w:tcMar>
              <w:top w:w="0" w:type="dxa"/>
              <w:left w:w="57" w:type="dxa"/>
              <w:bottom w:w="0" w:type="dxa"/>
              <w:right w:w="57" w:type="dxa"/>
            </w:tcMar>
            <w:vAlign w:val="center"/>
          </w:tcPr>
          <w:p w14:paraId="7595D8D4">
            <w:pPr>
              <w:pStyle w:val="46"/>
            </w:pPr>
          </w:p>
        </w:tc>
      </w:tr>
      <w:tr w14:paraId="7FBAB7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3B53780E">
            <w:pPr>
              <w:pStyle w:val="46"/>
            </w:pPr>
          </w:p>
        </w:tc>
        <w:tc>
          <w:tcPr>
            <w:tcW w:w="3930" w:type="pct"/>
            <w:shd w:val="clear" w:color="auto" w:fill="auto"/>
            <w:tcMar>
              <w:top w:w="0" w:type="dxa"/>
              <w:left w:w="57" w:type="dxa"/>
              <w:bottom w:w="0" w:type="dxa"/>
              <w:right w:w="57" w:type="dxa"/>
            </w:tcMar>
            <w:vAlign w:val="center"/>
          </w:tcPr>
          <w:p w14:paraId="0C317593">
            <w:pPr>
              <w:pStyle w:val="46"/>
            </w:pPr>
          </w:p>
        </w:tc>
        <w:tc>
          <w:tcPr>
            <w:tcW w:w="472" w:type="pct"/>
            <w:shd w:val="clear" w:color="auto" w:fill="auto"/>
            <w:tcMar>
              <w:top w:w="0" w:type="dxa"/>
              <w:left w:w="57" w:type="dxa"/>
              <w:bottom w:w="0" w:type="dxa"/>
              <w:right w:w="57" w:type="dxa"/>
            </w:tcMar>
            <w:vAlign w:val="center"/>
          </w:tcPr>
          <w:p w14:paraId="60783CA0">
            <w:pPr>
              <w:pStyle w:val="46"/>
            </w:pPr>
          </w:p>
        </w:tc>
      </w:tr>
      <w:tr w14:paraId="0ED7A7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390FD071">
            <w:pPr>
              <w:pStyle w:val="46"/>
            </w:pPr>
          </w:p>
        </w:tc>
        <w:tc>
          <w:tcPr>
            <w:tcW w:w="3930" w:type="pct"/>
            <w:shd w:val="clear" w:color="auto" w:fill="auto"/>
            <w:tcMar>
              <w:top w:w="0" w:type="dxa"/>
              <w:left w:w="57" w:type="dxa"/>
              <w:bottom w:w="0" w:type="dxa"/>
              <w:right w:w="57" w:type="dxa"/>
            </w:tcMar>
            <w:vAlign w:val="center"/>
          </w:tcPr>
          <w:p w14:paraId="2EBC5119">
            <w:pPr>
              <w:pStyle w:val="46"/>
            </w:pPr>
          </w:p>
        </w:tc>
        <w:tc>
          <w:tcPr>
            <w:tcW w:w="472" w:type="pct"/>
            <w:shd w:val="clear" w:color="auto" w:fill="auto"/>
            <w:tcMar>
              <w:top w:w="0" w:type="dxa"/>
              <w:left w:w="57" w:type="dxa"/>
              <w:bottom w:w="0" w:type="dxa"/>
              <w:right w:w="57" w:type="dxa"/>
            </w:tcMar>
            <w:vAlign w:val="center"/>
          </w:tcPr>
          <w:p w14:paraId="098001F4">
            <w:pPr>
              <w:pStyle w:val="46"/>
            </w:pPr>
          </w:p>
        </w:tc>
      </w:tr>
      <w:tr w14:paraId="2276FD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023882F8">
            <w:pPr>
              <w:pStyle w:val="46"/>
            </w:pPr>
          </w:p>
        </w:tc>
        <w:tc>
          <w:tcPr>
            <w:tcW w:w="3930" w:type="pct"/>
            <w:shd w:val="clear" w:color="auto" w:fill="auto"/>
            <w:tcMar>
              <w:top w:w="0" w:type="dxa"/>
              <w:left w:w="57" w:type="dxa"/>
              <w:bottom w:w="0" w:type="dxa"/>
              <w:right w:w="57" w:type="dxa"/>
            </w:tcMar>
            <w:vAlign w:val="center"/>
          </w:tcPr>
          <w:p w14:paraId="4D051E76">
            <w:pPr>
              <w:pStyle w:val="46"/>
            </w:pPr>
          </w:p>
        </w:tc>
        <w:tc>
          <w:tcPr>
            <w:tcW w:w="472" w:type="pct"/>
            <w:shd w:val="clear" w:color="auto" w:fill="auto"/>
            <w:tcMar>
              <w:top w:w="0" w:type="dxa"/>
              <w:left w:w="57" w:type="dxa"/>
              <w:bottom w:w="0" w:type="dxa"/>
              <w:right w:w="57" w:type="dxa"/>
            </w:tcMar>
            <w:vAlign w:val="center"/>
          </w:tcPr>
          <w:p w14:paraId="586E81D0">
            <w:pPr>
              <w:pStyle w:val="46"/>
            </w:pPr>
          </w:p>
        </w:tc>
      </w:tr>
      <w:tr w14:paraId="19AA49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49E60C67">
            <w:pPr>
              <w:pStyle w:val="46"/>
            </w:pPr>
          </w:p>
        </w:tc>
        <w:tc>
          <w:tcPr>
            <w:tcW w:w="3930" w:type="pct"/>
            <w:shd w:val="clear" w:color="auto" w:fill="auto"/>
            <w:tcMar>
              <w:top w:w="0" w:type="dxa"/>
              <w:left w:w="57" w:type="dxa"/>
              <w:bottom w:w="0" w:type="dxa"/>
              <w:right w:w="57" w:type="dxa"/>
            </w:tcMar>
            <w:vAlign w:val="center"/>
          </w:tcPr>
          <w:p w14:paraId="1976AD47">
            <w:pPr>
              <w:pStyle w:val="46"/>
            </w:pPr>
          </w:p>
        </w:tc>
        <w:tc>
          <w:tcPr>
            <w:tcW w:w="472" w:type="pct"/>
            <w:shd w:val="clear" w:color="auto" w:fill="auto"/>
            <w:tcMar>
              <w:top w:w="0" w:type="dxa"/>
              <w:left w:w="57" w:type="dxa"/>
              <w:bottom w:w="0" w:type="dxa"/>
              <w:right w:w="57" w:type="dxa"/>
            </w:tcMar>
            <w:vAlign w:val="center"/>
          </w:tcPr>
          <w:p w14:paraId="78E238CF">
            <w:pPr>
              <w:pStyle w:val="46"/>
            </w:pPr>
          </w:p>
        </w:tc>
      </w:tr>
      <w:tr w14:paraId="73A51C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34E58B96">
            <w:pPr>
              <w:pStyle w:val="46"/>
            </w:pPr>
          </w:p>
        </w:tc>
        <w:tc>
          <w:tcPr>
            <w:tcW w:w="3930" w:type="pct"/>
            <w:shd w:val="clear" w:color="auto" w:fill="auto"/>
            <w:tcMar>
              <w:top w:w="0" w:type="dxa"/>
              <w:left w:w="57" w:type="dxa"/>
              <w:bottom w:w="0" w:type="dxa"/>
              <w:right w:w="57" w:type="dxa"/>
            </w:tcMar>
            <w:vAlign w:val="center"/>
          </w:tcPr>
          <w:p w14:paraId="6528CC10">
            <w:pPr>
              <w:pStyle w:val="46"/>
            </w:pPr>
          </w:p>
        </w:tc>
        <w:tc>
          <w:tcPr>
            <w:tcW w:w="472" w:type="pct"/>
            <w:shd w:val="clear" w:color="auto" w:fill="auto"/>
            <w:tcMar>
              <w:top w:w="0" w:type="dxa"/>
              <w:left w:w="57" w:type="dxa"/>
              <w:bottom w:w="0" w:type="dxa"/>
              <w:right w:w="57" w:type="dxa"/>
            </w:tcMar>
            <w:vAlign w:val="center"/>
          </w:tcPr>
          <w:p w14:paraId="69296218">
            <w:pPr>
              <w:pStyle w:val="46"/>
            </w:pPr>
          </w:p>
        </w:tc>
      </w:tr>
      <w:tr w14:paraId="0B1756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20386098">
            <w:pPr>
              <w:pStyle w:val="46"/>
            </w:pPr>
          </w:p>
        </w:tc>
        <w:tc>
          <w:tcPr>
            <w:tcW w:w="3930" w:type="pct"/>
            <w:shd w:val="clear" w:color="auto" w:fill="auto"/>
            <w:tcMar>
              <w:top w:w="0" w:type="dxa"/>
              <w:left w:w="57" w:type="dxa"/>
              <w:bottom w:w="0" w:type="dxa"/>
              <w:right w:w="57" w:type="dxa"/>
            </w:tcMar>
            <w:vAlign w:val="center"/>
          </w:tcPr>
          <w:p w14:paraId="2DDE6F60">
            <w:pPr>
              <w:pStyle w:val="46"/>
            </w:pPr>
          </w:p>
        </w:tc>
        <w:tc>
          <w:tcPr>
            <w:tcW w:w="472" w:type="pct"/>
            <w:shd w:val="clear" w:color="auto" w:fill="auto"/>
            <w:tcMar>
              <w:top w:w="0" w:type="dxa"/>
              <w:left w:w="57" w:type="dxa"/>
              <w:bottom w:w="0" w:type="dxa"/>
              <w:right w:w="57" w:type="dxa"/>
            </w:tcMar>
            <w:vAlign w:val="center"/>
          </w:tcPr>
          <w:p w14:paraId="49638CA4">
            <w:pPr>
              <w:pStyle w:val="46"/>
            </w:pPr>
          </w:p>
        </w:tc>
      </w:tr>
      <w:tr w14:paraId="4FA8C0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7913AE41">
            <w:pPr>
              <w:pStyle w:val="46"/>
            </w:pPr>
          </w:p>
        </w:tc>
        <w:tc>
          <w:tcPr>
            <w:tcW w:w="3930" w:type="pct"/>
            <w:shd w:val="clear" w:color="auto" w:fill="auto"/>
            <w:tcMar>
              <w:top w:w="0" w:type="dxa"/>
              <w:left w:w="57" w:type="dxa"/>
              <w:bottom w:w="0" w:type="dxa"/>
              <w:right w:w="57" w:type="dxa"/>
            </w:tcMar>
            <w:vAlign w:val="center"/>
          </w:tcPr>
          <w:p w14:paraId="0310FACA">
            <w:pPr>
              <w:pStyle w:val="46"/>
            </w:pPr>
          </w:p>
        </w:tc>
        <w:tc>
          <w:tcPr>
            <w:tcW w:w="472" w:type="pct"/>
            <w:shd w:val="clear" w:color="auto" w:fill="auto"/>
            <w:tcMar>
              <w:top w:w="0" w:type="dxa"/>
              <w:left w:w="57" w:type="dxa"/>
              <w:bottom w:w="0" w:type="dxa"/>
              <w:right w:w="57" w:type="dxa"/>
            </w:tcMar>
            <w:vAlign w:val="center"/>
          </w:tcPr>
          <w:p w14:paraId="3D71BE92">
            <w:pPr>
              <w:pStyle w:val="46"/>
            </w:pPr>
          </w:p>
        </w:tc>
      </w:tr>
      <w:tr w14:paraId="2137A4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17F9808C">
            <w:pPr>
              <w:pStyle w:val="46"/>
            </w:pPr>
          </w:p>
        </w:tc>
        <w:tc>
          <w:tcPr>
            <w:tcW w:w="3930" w:type="pct"/>
            <w:shd w:val="clear" w:color="auto" w:fill="auto"/>
            <w:tcMar>
              <w:top w:w="0" w:type="dxa"/>
              <w:left w:w="57" w:type="dxa"/>
              <w:bottom w:w="0" w:type="dxa"/>
              <w:right w:w="57" w:type="dxa"/>
            </w:tcMar>
            <w:vAlign w:val="center"/>
          </w:tcPr>
          <w:p w14:paraId="59C528F0">
            <w:pPr>
              <w:pStyle w:val="46"/>
            </w:pPr>
          </w:p>
        </w:tc>
        <w:tc>
          <w:tcPr>
            <w:tcW w:w="472" w:type="pct"/>
            <w:shd w:val="clear" w:color="auto" w:fill="auto"/>
            <w:tcMar>
              <w:top w:w="0" w:type="dxa"/>
              <w:left w:w="57" w:type="dxa"/>
              <w:bottom w:w="0" w:type="dxa"/>
              <w:right w:w="57" w:type="dxa"/>
            </w:tcMar>
            <w:vAlign w:val="center"/>
          </w:tcPr>
          <w:p w14:paraId="7BC07439">
            <w:pPr>
              <w:pStyle w:val="46"/>
            </w:pPr>
          </w:p>
        </w:tc>
      </w:tr>
      <w:tr w14:paraId="25DEB3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6EA5C4C1">
            <w:pPr>
              <w:pStyle w:val="46"/>
            </w:pPr>
          </w:p>
        </w:tc>
        <w:tc>
          <w:tcPr>
            <w:tcW w:w="3930" w:type="pct"/>
            <w:shd w:val="clear" w:color="auto" w:fill="auto"/>
            <w:tcMar>
              <w:top w:w="0" w:type="dxa"/>
              <w:left w:w="57" w:type="dxa"/>
              <w:bottom w:w="0" w:type="dxa"/>
              <w:right w:w="57" w:type="dxa"/>
            </w:tcMar>
            <w:vAlign w:val="center"/>
          </w:tcPr>
          <w:p w14:paraId="687A0A36">
            <w:pPr>
              <w:pStyle w:val="46"/>
            </w:pPr>
          </w:p>
        </w:tc>
        <w:tc>
          <w:tcPr>
            <w:tcW w:w="472" w:type="pct"/>
            <w:shd w:val="clear" w:color="auto" w:fill="auto"/>
            <w:tcMar>
              <w:top w:w="0" w:type="dxa"/>
              <w:left w:w="57" w:type="dxa"/>
              <w:bottom w:w="0" w:type="dxa"/>
              <w:right w:w="57" w:type="dxa"/>
            </w:tcMar>
            <w:vAlign w:val="center"/>
          </w:tcPr>
          <w:p w14:paraId="2CE69B40">
            <w:pPr>
              <w:pStyle w:val="46"/>
            </w:pPr>
          </w:p>
        </w:tc>
      </w:tr>
      <w:tr w14:paraId="1B2D92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6BA1B95D">
            <w:pPr>
              <w:pStyle w:val="46"/>
            </w:pPr>
          </w:p>
        </w:tc>
        <w:tc>
          <w:tcPr>
            <w:tcW w:w="3930" w:type="pct"/>
            <w:shd w:val="clear" w:color="auto" w:fill="auto"/>
            <w:tcMar>
              <w:top w:w="0" w:type="dxa"/>
              <w:left w:w="57" w:type="dxa"/>
              <w:bottom w:w="0" w:type="dxa"/>
              <w:right w:w="57" w:type="dxa"/>
            </w:tcMar>
            <w:vAlign w:val="center"/>
          </w:tcPr>
          <w:p w14:paraId="365119F9">
            <w:pPr>
              <w:pStyle w:val="46"/>
            </w:pPr>
          </w:p>
        </w:tc>
        <w:tc>
          <w:tcPr>
            <w:tcW w:w="472" w:type="pct"/>
            <w:shd w:val="clear" w:color="auto" w:fill="auto"/>
            <w:tcMar>
              <w:top w:w="0" w:type="dxa"/>
              <w:left w:w="57" w:type="dxa"/>
              <w:bottom w:w="0" w:type="dxa"/>
              <w:right w:w="57" w:type="dxa"/>
            </w:tcMar>
            <w:vAlign w:val="center"/>
          </w:tcPr>
          <w:p w14:paraId="605E4297">
            <w:pPr>
              <w:pStyle w:val="46"/>
            </w:pPr>
          </w:p>
        </w:tc>
      </w:tr>
      <w:tr w14:paraId="0E53DE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3E5D8EBC">
            <w:pPr>
              <w:pStyle w:val="46"/>
            </w:pPr>
          </w:p>
        </w:tc>
        <w:tc>
          <w:tcPr>
            <w:tcW w:w="3930" w:type="pct"/>
            <w:shd w:val="clear" w:color="auto" w:fill="auto"/>
            <w:tcMar>
              <w:top w:w="0" w:type="dxa"/>
              <w:left w:w="57" w:type="dxa"/>
              <w:bottom w:w="0" w:type="dxa"/>
              <w:right w:w="57" w:type="dxa"/>
            </w:tcMar>
            <w:vAlign w:val="center"/>
          </w:tcPr>
          <w:p w14:paraId="2639A102">
            <w:pPr>
              <w:pStyle w:val="46"/>
            </w:pPr>
          </w:p>
        </w:tc>
        <w:tc>
          <w:tcPr>
            <w:tcW w:w="472" w:type="pct"/>
            <w:shd w:val="clear" w:color="auto" w:fill="auto"/>
            <w:tcMar>
              <w:top w:w="0" w:type="dxa"/>
              <w:left w:w="57" w:type="dxa"/>
              <w:bottom w:w="0" w:type="dxa"/>
              <w:right w:w="57" w:type="dxa"/>
            </w:tcMar>
            <w:vAlign w:val="center"/>
          </w:tcPr>
          <w:p w14:paraId="0BE293FC">
            <w:pPr>
              <w:pStyle w:val="46"/>
            </w:pPr>
          </w:p>
        </w:tc>
      </w:tr>
      <w:tr w14:paraId="78C381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4281FD77">
            <w:pPr>
              <w:pStyle w:val="46"/>
            </w:pPr>
          </w:p>
        </w:tc>
        <w:tc>
          <w:tcPr>
            <w:tcW w:w="3930" w:type="pct"/>
            <w:shd w:val="clear" w:color="auto" w:fill="auto"/>
            <w:tcMar>
              <w:top w:w="0" w:type="dxa"/>
              <w:left w:w="57" w:type="dxa"/>
              <w:bottom w:w="0" w:type="dxa"/>
              <w:right w:w="57" w:type="dxa"/>
            </w:tcMar>
            <w:vAlign w:val="center"/>
          </w:tcPr>
          <w:p w14:paraId="0FE58B43">
            <w:pPr>
              <w:pStyle w:val="46"/>
            </w:pPr>
          </w:p>
        </w:tc>
        <w:tc>
          <w:tcPr>
            <w:tcW w:w="472" w:type="pct"/>
            <w:shd w:val="clear" w:color="auto" w:fill="auto"/>
            <w:tcMar>
              <w:top w:w="0" w:type="dxa"/>
              <w:left w:w="57" w:type="dxa"/>
              <w:bottom w:w="0" w:type="dxa"/>
              <w:right w:w="57" w:type="dxa"/>
            </w:tcMar>
            <w:vAlign w:val="center"/>
          </w:tcPr>
          <w:p w14:paraId="741C3253">
            <w:pPr>
              <w:pStyle w:val="46"/>
            </w:pPr>
          </w:p>
        </w:tc>
      </w:tr>
      <w:tr w14:paraId="5C2D11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7F53B16D">
            <w:pPr>
              <w:pStyle w:val="46"/>
            </w:pPr>
          </w:p>
        </w:tc>
        <w:tc>
          <w:tcPr>
            <w:tcW w:w="3930" w:type="pct"/>
            <w:shd w:val="clear" w:color="auto" w:fill="auto"/>
            <w:tcMar>
              <w:top w:w="0" w:type="dxa"/>
              <w:left w:w="57" w:type="dxa"/>
              <w:bottom w:w="0" w:type="dxa"/>
              <w:right w:w="57" w:type="dxa"/>
            </w:tcMar>
            <w:vAlign w:val="center"/>
          </w:tcPr>
          <w:p w14:paraId="48CA971C">
            <w:pPr>
              <w:pStyle w:val="46"/>
            </w:pPr>
          </w:p>
        </w:tc>
        <w:tc>
          <w:tcPr>
            <w:tcW w:w="472" w:type="pct"/>
            <w:shd w:val="clear" w:color="auto" w:fill="auto"/>
            <w:tcMar>
              <w:top w:w="0" w:type="dxa"/>
              <w:left w:w="57" w:type="dxa"/>
              <w:bottom w:w="0" w:type="dxa"/>
              <w:right w:w="57" w:type="dxa"/>
            </w:tcMar>
            <w:vAlign w:val="center"/>
          </w:tcPr>
          <w:p w14:paraId="1F13F866">
            <w:pPr>
              <w:pStyle w:val="46"/>
            </w:pPr>
          </w:p>
        </w:tc>
      </w:tr>
      <w:tr w14:paraId="2425A9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8" w:type="pct"/>
            <w:shd w:val="clear" w:color="auto" w:fill="auto"/>
            <w:tcMar>
              <w:top w:w="0" w:type="dxa"/>
              <w:left w:w="57" w:type="dxa"/>
              <w:bottom w:w="0" w:type="dxa"/>
              <w:right w:w="57" w:type="dxa"/>
            </w:tcMar>
            <w:vAlign w:val="center"/>
          </w:tcPr>
          <w:p w14:paraId="480F1BDD">
            <w:pPr>
              <w:pStyle w:val="46"/>
            </w:pPr>
          </w:p>
        </w:tc>
        <w:tc>
          <w:tcPr>
            <w:tcW w:w="3930" w:type="pct"/>
            <w:shd w:val="clear" w:color="auto" w:fill="auto"/>
            <w:tcMar>
              <w:top w:w="0" w:type="dxa"/>
              <w:left w:w="57" w:type="dxa"/>
              <w:bottom w:w="0" w:type="dxa"/>
              <w:right w:w="57" w:type="dxa"/>
            </w:tcMar>
            <w:vAlign w:val="center"/>
          </w:tcPr>
          <w:p w14:paraId="06ACC5B4">
            <w:pPr>
              <w:pStyle w:val="46"/>
            </w:pPr>
          </w:p>
        </w:tc>
        <w:tc>
          <w:tcPr>
            <w:tcW w:w="472" w:type="pct"/>
            <w:shd w:val="clear" w:color="auto" w:fill="auto"/>
            <w:tcMar>
              <w:top w:w="0" w:type="dxa"/>
              <w:left w:w="57" w:type="dxa"/>
              <w:bottom w:w="0" w:type="dxa"/>
              <w:right w:w="57" w:type="dxa"/>
            </w:tcMar>
            <w:vAlign w:val="center"/>
          </w:tcPr>
          <w:p w14:paraId="2D294AC1">
            <w:pPr>
              <w:pStyle w:val="46"/>
            </w:pPr>
          </w:p>
        </w:tc>
      </w:tr>
    </w:tbl>
    <w:p w14:paraId="50814E13">
      <w:pPr>
        <w:pStyle w:val="29"/>
        <w:ind w:firstLine="480"/>
      </w:pPr>
    </w:p>
    <w:p w14:paraId="0B9D0CA4">
      <w:pPr>
        <w:pStyle w:val="29"/>
        <w:ind w:firstLine="480"/>
      </w:pPr>
      <w:r>
        <w:rPr>
          <w:rFonts w:hint="eastAsia"/>
        </w:rPr>
        <w:t>本部分是对模型中使用的重要变量进行说明，一般排版时要放到一张表格中。</w:t>
      </w:r>
    </w:p>
    <w:p w14:paraId="22FAABF9">
      <w:pPr>
        <w:pStyle w:val="29"/>
        <w:ind w:firstLine="480"/>
      </w:pPr>
      <w:r>
        <w:rPr>
          <w:rFonts w:hint="eastAsia"/>
        </w:rPr>
        <w:t>注意：第一：不需要把所有变量都放到这个表里面，模型中用到的临时变量可以不放。第二：下文中首次出现这些变量时也要进行解释，不然会降低文章的可读性。</w:t>
      </w:r>
    </w:p>
    <w:p w14:paraId="05A4325F">
      <w:pPr>
        <w:pStyle w:val="29"/>
        <w:ind w:firstLine="480"/>
      </w:pPr>
      <w:r>
        <w:rPr>
          <w:rFonts w:hint="eastAsia"/>
        </w:rPr>
        <w:t>注：表中未提及的符号在文中出现时进行说明。</w:t>
      </w:r>
    </w:p>
    <w:p w14:paraId="072D21DC">
      <w:pPr>
        <w:pStyle w:val="29"/>
        <w:ind w:firstLine="480"/>
      </w:pPr>
    </w:p>
    <w:p w14:paraId="6978A300">
      <w:pPr>
        <w:pStyle w:val="29"/>
        <w:ind w:firstLine="480"/>
      </w:pPr>
    </w:p>
    <w:p w14:paraId="54122C09">
      <w:pPr>
        <w:pStyle w:val="29"/>
        <w:ind w:firstLine="480"/>
      </w:pPr>
    </w:p>
    <w:p w14:paraId="624953E6">
      <w:pPr>
        <w:pStyle w:val="32"/>
      </w:pPr>
      <w:r>
        <w:br w:type="page"/>
      </w:r>
      <w:r>
        <w:rPr>
          <w:rFonts w:hint="eastAsia"/>
        </w:rPr>
        <w:t>问题分析</w:t>
      </w:r>
      <w:bookmarkEnd w:id="7"/>
    </w:p>
    <w:p w14:paraId="32247CE4">
      <w:pPr>
        <w:pStyle w:val="34"/>
      </w:pPr>
      <w:bookmarkStart w:id="8" w:name="_Toc206756656"/>
      <w:r>
        <w:t>问题总分析</w:t>
      </w:r>
      <w:bookmarkEnd w:id="8"/>
    </w:p>
    <w:p w14:paraId="3CD8049B">
      <w:pPr>
        <w:pStyle w:val="29"/>
        <w:ind w:firstLine="480"/>
      </w:pPr>
      <w:r>
        <w:t>首先，</w:t>
      </w:r>
      <w:r>
        <w:rPr>
          <w:rFonts w:hint="eastAsia"/>
        </w:rPr>
        <w:t>XXX其次，XXX再次，XXX</w:t>
      </w:r>
      <w:r>
        <w:t>最后，</w:t>
      </w:r>
      <w:r>
        <w:rPr>
          <w:rFonts w:hint="eastAsia"/>
        </w:rPr>
        <w:t>XXX，并利用XXX方法检验模型的合理性</w:t>
      </w:r>
      <w:r>
        <w:t>。</w:t>
      </w:r>
    </w:p>
    <w:p w14:paraId="4635769D">
      <w:pPr>
        <w:pStyle w:val="29"/>
        <w:ind w:firstLine="480"/>
      </w:pPr>
      <w:r>
        <w:rPr>
          <w:rFonts w:hint="eastAsia"/>
        </w:rPr>
        <w:t>本文的总体分析流程图如下:</w:t>
      </w:r>
    </w:p>
    <w:p w14:paraId="0C1449BE">
      <w:pPr>
        <w:pStyle w:val="29"/>
        <w:ind w:firstLine="480"/>
      </w:pPr>
    </w:p>
    <w:p w14:paraId="015DB64C">
      <w:pPr>
        <w:spacing w:before="120"/>
        <w:ind w:firstLine="560"/>
        <w:jc w:val="center"/>
        <w:rPr>
          <w:sz w:val="24"/>
        </w:rPr>
      </w:pPr>
      <w:r>
        <w:object>
          <v:shape id="_x0000_i1025" o:spt="75" type="#_x0000_t75" style="height:213pt;width:429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14:paraId="2F41CB94">
      <w:pPr>
        <w:pStyle w:val="42"/>
        <w:spacing w:before="48" w:after="120"/>
      </w:pPr>
      <w:r>
        <w:t>问题的总分析</w:t>
      </w:r>
    </w:p>
    <w:p w14:paraId="0A2BB4F6">
      <w:pPr>
        <w:pStyle w:val="34"/>
      </w:pPr>
      <w:bookmarkStart w:id="9" w:name="_Toc206756657"/>
      <w:r>
        <w:t>具体问题分析</w:t>
      </w:r>
      <w:bookmarkEnd w:id="9"/>
    </w:p>
    <w:p w14:paraId="49CA0870">
      <w:pPr>
        <w:pStyle w:val="36"/>
        <w:rPr>
          <w:bCs/>
        </w:rPr>
      </w:pPr>
      <w:bookmarkStart w:id="10" w:name="_Toc206756658"/>
      <w:r>
        <w:t>问题一的分析</w:t>
      </w:r>
      <w:bookmarkEnd w:id="10"/>
    </w:p>
    <w:p w14:paraId="66B28252">
      <w:pPr>
        <w:pStyle w:val="29"/>
        <w:ind w:firstLine="480"/>
      </w:pPr>
      <w:r>
        <w:rPr>
          <w:rFonts w:hint="eastAsia"/>
        </w:rPr>
        <w:t>问题一要求XXX（不要用我们！）用第三人称，本文。</w:t>
      </w:r>
    </w:p>
    <w:p w14:paraId="693E6CD6">
      <w:pPr>
        <w:pStyle w:val="29"/>
        <w:ind w:firstLine="480"/>
      </w:pPr>
      <w:r>
        <w:rPr>
          <w:rFonts w:hint="eastAsia"/>
        </w:rPr>
        <w:t>从实际问题到模型建立是一种从具体到抽象的思维过程，问题分析这一部分就是沟通这一过程的桥梁，因为它反映了建模者对于问题的认识程度如何，也体现了解决问题的雏形，起着承上启下的作用，也很能反应出建模者的综合水平。</w:t>
      </w:r>
    </w:p>
    <w:p w14:paraId="1AE240E9">
      <w:pPr>
        <w:pStyle w:val="29"/>
        <w:ind w:firstLine="480"/>
      </w:pPr>
      <w:r>
        <w:rPr>
          <w:rFonts w:hint="eastAsia"/>
        </w:rPr>
        <w:t>这部分的内容应包括：题目中包含的信息和条件，利用信息和条件对题目做整体分析，确定用什么方法建立模型，一般是每个问题单独分析一小节，分析过程要简明扼要， 不需要放结论。</w:t>
      </w:r>
    </w:p>
    <w:p w14:paraId="74E0E516">
      <w:pPr>
        <w:pStyle w:val="29"/>
        <w:ind w:firstLine="480"/>
      </w:pPr>
      <w:r>
        <w:rPr>
          <w:rFonts w:hint="eastAsia"/>
        </w:rPr>
        <w:t>建议在文字说明的同时用图形或图表（例如流程图）列出思维过程，这会使你的思维显得很清晰，让人觉得一目了然。</w:t>
      </w:r>
    </w:p>
    <w:p w14:paraId="72C170E7">
      <w:pPr>
        <w:pStyle w:val="29"/>
        <w:ind w:firstLine="480"/>
      </w:pPr>
      <w:r>
        <w:rPr>
          <w:rFonts w:hint="eastAsia"/>
        </w:rPr>
        <w:t>（注意：问题分析这一部分放置的位置比较灵活，可以放在问题重述后面作为单独的一节</w:t>
      </w:r>
      <w:r>
        <w:t>(</w:t>
      </w:r>
      <w:r>
        <w:rPr>
          <w:rFonts w:hint="eastAsia"/>
        </w:rPr>
        <w:t>见到的频率最高</w:t>
      </w:r>
      <w:r>
        <w:t>)</w:t>
      </w:r>
      <w:r>
        <w:rPr>
          <w:rFonts w:hint="eastAsia"/>
        </w:rPr>
        <w:t>，也可以放在模型假设和符号说明后面作为单独的一节，还可以针对每个问题将其写在模型建立中。）</w:t>
      </w:r>
    </w:p>
    <w:p w14:paraId="02154E20">
      <w:pPr>
        <w:pStyle w:val="29"/>
        <w:ind w:firstLine="480"/>
      </w:pPr>
    </w:p>
    <w:p w14:paraId="0662CD03">
      <w:pPr>
        <w:pStyle w:val="29"/>
        <w:ind w:firstLine="480"/>
      </w:pPr>
    </w:p>
    <w:p w14:paraId="175FA617">
      <w:pPr>
        <w:pStyle w:val="36"/>
        <w:rPr>
          <w:bCs/>
        </w:rPr>
      </w:pPr>
      <w:bookmarkStart w:id="11" w:name="_Toc206756659"/>
      <w:r>
        <w:t>问题二的分析</w:t>
      </w:r>
      <w:bookmarkEnd w:id="11"/>
    </w:p>
    <w:p w14:paraId="4B737B17">
      <w:pPr>
        <w:pStyle w:val="29"/>
        <w:ind w:firstLine="480"/>
      </w:pPr>
      <w:r>
        <w:rPr>
          <w:rFonts w:hint="eastAsia"/>
        </w:rPr>
        <w:t>问题二要求XXXX</w:t>
      </w:r>
    </w:p>
    <w:p w14:paraId="2845FB89">
      <w:pPr>
        <w:pStyle w:val="29"/>
        <w:ind w:firstLine="480"/>
      </w:pPr>
    </w:p>
    <w:p w14:paraId="1FCF6E38">
      <w:pPr>
        <w:pStyle w:val="36"/>
        <w:rPr>
          <w:bCs/>
        </w:rPr>
      </w:pPr>
      <w:bookmarkStart w:id="12" w:name="_Toc206756660"/>
      <w:r>
        <w:t>问题三的分析</w:t>
      </w:r>
      <w:bookmarkEnd w:id="12"/>
    </w:p>
    <w:p w14:paraId="73C41DB4">
      <w:pPr>
        <w:pStyle w:val="29"/>
        <w:ind w:firstLine="480"/>
      </w:pPr>
      <w:r>
        <w:rPr>
          <w:rFonts w:hint="eastAsia"/>
        </w:rPr>
        <w:t>问题三要求XXX。</w:t>
      </w:r>
    </w:p>
    <w:p w14:paraId="45B4678B">
      <w:pPr>
        <w:pStyle w:val="29"/>
        <w:ind w:firstLine="480"/>
      </w:pPr>
    </w:p>
    <w:p w14:paraId="34F521BA">
      <w:pPr>
        <w:pStyle w:val="36"/>
        <w:rPr>
          <w:bCs/>
        </w:rPr>
      </w:pPr>
      <w:bookmarkStart w:id="13" w:name="_Toc206756661"/>
      <w:r>
        <w:t>问题四的分析</w:t>
      </w:r>
      <w:bookmarkEnd w:id="13"/>
    </w:p>
    <w:p w14:paraId="3B1BBB6E">
      <w:pPr>
        <w:pStyle w:val="29"/>
        <w:ind w:firstLine="480"/>
      </w:pPr>
      <w:r>
        <w:t>问题四要求</w:t>
      </w:r>
      <w:r>
        <w:rPr>
          <w:rFonts w:hint="eastAsia"/>
        </w:rPr>
        <w:t>XXX</w:t>
      </w:r>
    </w:p>
    <w:p w14:paraId="50F73B1F">
      <w:pPr>
        <w:pStyle w:val="29"/>
        <w:ind w:firstLine="480"/>
      </w:pPr>
    </w:p>
    <w:p w14:paraId="211D94E8">
      <w:pPr>
        <w:pStyle w:val="32"/>
      </w:pPr>
      <w:bookmarkStart w:id="14" w:name="_Toc206756663"/>
      <w:r>
        <w:t>模型建立与求解</w:t>
      </w:r>
      <w:bookmarkEnd w:id="14"/>
    </w:p>
    <w:p w14:paraId="583C6B03">
      <w:pPr>
        <w:pStyle w:val="29"/>
        <w:rPr>
          <w:rFonts w:hint="default"/>
        </w:rPr>
      </w:pPr>
      <w:r>
        <w:rPr>
          <w:rFonts w:hint="default"/>
        </w:rPr>
        <w:t>问题一要求在外网电价、小区负荷和光伏预测完全已知的条件下，在0:00一次性制定全天每10分钟的购电和储能充放电策略，使任意时刻微网供电不低于负荷、储能首末储电量相同，并最小化全天购电费用。</w:t>
      </w:r>
    </w:p>
    <w:p w14:paraId="1ECA46F0">
      <w:pPr>
        <w:pStyle w:val="29"/>
        <w:rPr>
          <w:rFonts w:hint="default"/>
        </w:rPr>
      </w:pPr>
      <w:r>
        <w:rPr>
          <w:rFonts w:hint="default"/>
        </w:rPr>
        <w:t>该问题本质上是带储能循环约束的确定性经济调度问题。电价较低时购电充电，电价较高时放电替代购电。由于目标与约束均为线性函数，引入0-1充放电状态变量后，问题可化为</w:t>
      </w:r>
      <w:r>
        <w:rPr>
          <w:rFonts w:hint="default"/>
          <w:b/>
          <w:bCs/>
        </w:rPr>
        <w:t>混合整数线性规划模型</w:t>
      </w:r>
      <w:r>
        <w:rPr>
          <w:rFonts w:hint="default"/>
        </w:rPr>
        <w:t>。</w:t>
      </w:r>
    </w:p>
    <w:p w14:paraId="191815AC">
      <w:pPr>
        <w:pStyle w:val="29"/>
      </w:pPr>
    </w:p>
    <w:p w14:paraId="1CFD85F8">
      <w:pPr>
        <w:pStyle w:val="34"/>
      </w:pPr>
      <w:bookmarkStart w:id="15" w:name="_Toc206756664"/>
      <w:r>
        <w:t>问题一</w:t>
      </w:r>
      <w:bookmarkEnd w:id="15"/>
    </w:p>
    <w:p w14:paraId="7E1837CE">
      <w:pPr>
        <w:pStyle w:val="29"/>
        <w:rPr>
          <w:rFonts w:hint="eastAsia"/>
          <w:lang w:val="en-US" w:eastAsia="zh-CN"/>
        </w:rPr>
      </w:pPr>
      <w:r>
        <w:rPr>
          <w:rFonts w:hint="eastAsia"/>
          <w:lang w:val="en-US" w:eastAsia="zh-CN"/>
        </w:rPr>
        <w:t>4.1.1数据预处理</w:t>
      </w:r>
    </w:p>
    <w:p w14:paraId="6801229C">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附件1共包含144行数据，时间列依次为00:10、00:20、……、23:50和0:00+1，其中0:00+1表示当天24:00。原始数据给出的是各时间点上的负荷功率、光伏发电功率和电价瞬时值，</w:t>
      </w:r>
      <w:r>
        <w:rPr>
          <w:rFonts w:hint="eastAsia" w:cs="Times New Roman"/>
          <w:i w:val="0"/>
          <w:iCs w:val="0"/>
          <w:caps w:val="0"/>
          <w:color w:val="000000"/>
          <w:spacing w:val="0"/>
          <w:sz w:val="24"/>
          <w:szCs w:val="24"/>
          <w:shd w:val="clear" w:fill="FFFFFF"/>
          <w:lang w:val="en-US" w:eastAsia="zh-CN"/>
        </w:rPr>
        <w:t>鉴于实际情况中，负荷功率、光伏发电功率和电价均随时间进行连续变化，</w:t>
      </w:r>
      <w:r>
        <w:rPr>
          <w:rFonts w:hint="default" w:ascii="Times New Roman" w:hAnsi="Times New Roman" w:eastAsia="宋体" w:cs="Times New Roman"/>
          <w:i w:val="0"/>
          <w:iCs w:val="0"/>
          <w:caps w:val="0"/>
          <w:color w:val="000000"/>
          <w:spacing w:val="0"/>
          <w:sz w:val="24"/>
          <w:szCs w:val="24"/>
          <w:shd w:val="clear" w:fill="FFFFFF"/>
          <w:lang w:val="en-US" w:eastAsia="zh-CN"/>
        </w:rPr>
        <w:t>本文以10分钟为一个调度时段</w:t>
      </w:r>
      <w:r>
        <w:rPr>
          <w:rFonts w:hint="eastAsia" w:cs="Times New Roman"/>
          <w:i w:val="0"/>
          <w:iCs w:val="0"/>
          <w:caps w:val="0"/>
          <w:color w:val="000000"/>
          <w:spacing w:val="0"/>
          <w:sz w:val="24"/>
          <w:szCs w:val="24"/>
          <w:shd w:val="clear" w:fill="FFFFFF"/>
          <w:lang w:val="en-US" w:eastAsia="zh-CN"/>
        </w:rPr>
        <w:t>，</w:t>
      </w:r>
      <w:r>
        <w:rPr>
          <w:rFonts w:hint="default" w:ascii="Times New Roman" w:hAnsi="Times New Roman" w:eastAsia="宋体" w:cs="Times New Roman"/>
          <w:i w:val="0"/>
          <w:iCs w:val="0"/>
          <w:caps w:val="0"/>
          <w:color w:val="000000"/>
          <w:spacing w:val="0"/>
          <w:sz w:val="24"/>
          <w:szCs w:val="24"/>
          <w:shd w:val="clear" w:fill="FFFFFF"/>
          <w:lang w:val="en-US" w:eastAsia="zh-CN"/>
        </w:rPr>
        <w:t>将相邻两个时间点的平均值作为对应时段的代表值。</w:t>
      </w:r>
    </w:p>
    <w:p w14:paraId="0CC880ED">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记原始时间点上的负荷功率为</w:t>
      </w:r>
    </w:p>
    <w:p w14:paraId="4369854B">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L,0</w:t>
      </w: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L,1</w:t>
      </w: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L,143</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201DA7E3">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其中下标0对应00:10，下标1对应00:20，依此类推，下标143对应0:00+1。记光伏发电功率为</w:t>
      </w:r>
    </w:p>
    <w:p w14:paraId="455D76EE">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V,0</w:t>
      </w: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V,1</w:t>
      </w:r>
      <w:r>
        <w:rPr>
          <w:rFonts w:hint="default" w:ascii="Times New Roman" w:hAnsi="Times New Roman" w:eastAsia="宋体" w:cs="Times New Roman"/>
          <w:i w:val="0"/>
          <w:iCs w:val="0"/>
          <w:caps w:val="0"/>
          <w:color w:val="000000"/>
          <w:spacing w:val="0"/>
          <w:sz w:val="24"/>
          <w:szCs w:val="24"/>
          <w:shd w:val="clear" w:fill="FFFFFF"/>
          <w:lang w:val="en-US" w:eastAsia="zh-CN"/>
        </w:rPr>
        <w:t>、……、P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V,143</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7F9C5239">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记电价为</w:t>
      </w:r>
    </w:p>
    <w:p w14:paraId="7E3C2EE7">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0</w:t>
      </w:r>
      <w:r>
        <w:rPr>
          <w:rFonts w:hint="default" w:ascii="Times New Roman" w:hAnsi="Times New Roman" w:eastAsia="宋体" w:cs="Times New Roman"/>
          <w:i w:val="0"/>
          <w:iCs w:val="0"/>
          <w:caps w:val="0"/>
          <w:color w:val="000000"/>
          <w:spacing w:val="0"/>
          <w:sz w:val="24"/>
          <w:szCs w:val="24"/>
          <w:shd w:val="clear" w:fill="FFFFFF"/>
          <w:lang w:val="en-US" w:eastAsia="zh-CN"/>
        </w:rPr>
        <w:t>、π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1</w:t>
      </w:r>
      <w:r>
        <w:rPr>
          <w:rFonts w:hint="default" w:ascii="Times New Roman" w:hAnsi="Times New Roman" w:eastAsia="宋体" w:cs="Times New Roman"/>
          <w:i w:val="0"/>
          <w:iCs w:val="0"/>
          <w:caps w:val="0"/>
          <w:color w:val="000000"/>
          <w:spacing w:val="0"/>
          <w:sz w:val="24"/>
          <w:szCs w:val="24"/>
          <w:shd w:val="clear" w:fill="FFFFFF"/>
          <w:lang w:val="en-US" w:eastAsia="zh-CN"/>
        </w:rPr>
        <w:t>、……、π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143</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3A2F1274">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第t个10分钟时段对应时间区间10t分钟至10(t+1)分钟。对于第t个时段的负荷功率，采用如下平均：</w:t>
      </w:r>
    </w:p>
    <w:p w14:paraId="4C4BB8D2">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当t=0时，P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L,143</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L,0</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7943ADEB">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当t=1,2,……,143时，P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L,t−1</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6CD74DD0">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光伏发电功率采用相同处理：</w:t>
      </w:r>
    </w:p>
    <w:p w14:paraId="149A90C0">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当t=0时，P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V,143</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V,0</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6B71B4A6">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当t=1,2,……,143时，P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V,t−1</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119731C9">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电价同样处理为：</w:t>
      </w:r>
    </w:p>
    <w:p w14:paraId="0E498D39">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当t=0时，π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143</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0</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4650454B">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当t=1,2,……,143时，π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0.5 × (π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t−1</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π</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w:t>
      </w:r>
    </w:p>
    <w:p w14:paraId="501FA66D">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其中，t=0对应0:00—0:10时段。问题一中</w:t>
      </w:r>
      <w:r>
        <w:rPr>
          <w:rFonts w:hint="eastAsia" w:cs="Times New Roman"/>
          <w:i w:val="0"/>
          <w:iCs w:val="0"/>
          <w:caps w:val="0"/>
          <w:color w:val="000000"/>
          <w:spacing w:val="0"/>
          <w:sz w:val="24"/>
          <w:szCs w:val="24"/>
          <w:shd w:val="clear" w:fill="FFFFFF"/>
          <w:lang w:val="en-US" w:eastAsia="zh-CN"/>
        </w:rPr>
        <w:t>由题意知，</w:t>
      </w:r>
      <w:r>
        <w:rPr>
          <w:rFonts w:hint="default" w:ascii="Times New Roman" w:hAnsi="Times New Roman" w:eastAsia="宋体" w:cs="Times New Roman"/>
          <w:i w:val="0"/>
          <w:iCs w:val="0"/>
          <w:caps w:val="0"/>
          <w:color w:val="000000"/>
          <w:spacing w:val="0"/>
          <w:sz w:val="24"/>
          <w:szCs w:val="24"/>
          <w:shd w:val="clear" w:fill="FFFFFF"/>
          <w:lang w:val="en-US" w:eastAsia="zh-CN"/>
        </w:rPr>
        <w:t>每天的电价和负荷相同，因此将当天24:00循环作为0:00时刻，用于计算第一个时段的平均值。</w:t>
      </w:r>
    </w:p>
    <w:p w14:paraId="62369B4D">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完成上述平均后，将各时段代表功率乘以时段长度Δt=1/6小时，得到各时段的电量：</w:t>
      </w:r>
    </w:p>
    <w:p w14:paraId="111CF26D">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L</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L,t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Δt，S</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P</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V,t</w:t>
      </w:r>
      <w:r>
        <w:rPr>
          <w:rFonts w:hint="default" w:ascii="Times New Roman" w:hAnsi="Times New Roman" w:eastAsia="宋体" w:cs="Times New Roman"/>
          <w:i w:val="0"/>
          <w:iCs w:val="0"/>
          <w:caps w:val="0"/>
          <w:color w:val="000000"/>
          <w:spacing w:val="0"/>
          <w:sz w:val="24"/>
          <w:szCs w:val="24"/>
          <w:shd w:val="clear" w:fill="FFFFFF"/>
          <w:lang w:val="en-US" w:eastAsia="zh-CN"/>
        </w:rPr>
        <w:t xml:space="preserve"> × Δt。</w:t>
      </w:r>
    </w:p>
    <w:p w14:paraId="549BDBF7">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r>
        <w:rPr>
          <w:rFonts w:hint="default" w:ascii="Times New Roman" w:hAnsi="Times New Roman" w:eastAsia="宋体" w:cs="Times New Roman"/>
          <w:i w:val="0"/>
          <w:iCs w:val="0"/>
          <w:caps w:val="0"/>
          <w:color w:val="000000"/>
          <w:spacing w:val="0"/>
          <w:sz w:val="24"/>
          <w:szCs w:val="24"/>
          <w:shd w:val="clear" w:fill="FFFFFF"/>
          <w:lang w:val="en-US" w:eastAsia="zh-CN"/>
        </w:rPr>
        <w:t>其中L</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为第t个时段的负荷电量，单位为kWh；S</w:t>
      </w:r>
      <w:r>
        <w:rPr>
          <w:rFonts w:hint="default" w:ascii="Times New Roman" w:hAnsi="Times New Roman" w:eastAsia="宋体" w:cs="Times New Roman"/>
          <w:i w:val="0"/>
          <w:iCs w:val="0"/>
          <w:caps w:val="0"/>
          <w:color w:val="000000"/>
          <w:spacing w:val="0"/>
          <w:sz w:val="24"/>
          <w:szCs w:val="24"/>
          <w:shd w:val="clear" w:fill="FFFFFF"/>
          <w:vertAlign w:val="subscript"/>
          <w:lang w:val="en-US" w:eastAsia="zh-CN"/>
        </w:rPr>
        <w:t>t</w:t>
      </w:r>
      <w:r>
        <w:rPr>
          <w:rFonts w:hint="default" w:ascii="Times New Roman" w:hAnsi="Times New Roman" w:eastAsia="宋体" w:cs="Times New Roman"/>
          <w:i w:val="0"/>
          <w:iCs w:val="0"/>
          <w:caps w:val="0"/>
          <w:color w:val="000000"/>
          <w:spacing w:val="0"/>
          <w:sz w:val="24"/>
          <w:szCs w:val="24"/>
          <w:shd w:val="clear" w:fill="FFFFFF"/>
          <w:lang w:val="en-US" w:eastAsia="zh-CN"/>
        </w:rPr>
        <w:t>为第t个时段的光伏发电电量，单位为kWh。经过上述预处理，电价、负荷和光伏功率均被转换为144个10分钟时段的区间平均值，并且该处理不改变全天负荷和光伏发电总量。</w:t>
      </w:r>
    </w:p>
    <w:p w14:paraId="1D06A940">
      <w:pPr>
        <w:pStyle w:val="29"/>
      </w:pPr>
      <w:r>
        <w:drawing>
          <wp:inline distT="0" distB="0" distL="114300" distR="114300">
            <wp:extent cx="3391535" cy="2103120"/>
            <wp:effectExtent l="0" t="0" r="1206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3391535" cy="2103120"/>
                    </a:xfrm>
                    <a:prstGeom prst="rect">
                      <a:avLst/>
                    </a:prstGeom>
                    <a:noFill/>
                    <a:ln>
                      <a:noFill/>
                    </a:ln>
                  </pic:spPr>
                </pic:pic>
              </a:graphicData>
            </a:graphic>
          </wp:inline>
        </w:drawing>
      </w:r>
    </w:p>
    <w:p w14:paraId="49AF2722">
      <w:pPr>
        <w:pStyle w:val="29"/>
        <w:rPr>
          <w:rFonts w:hint="default"/>
          <w:lang w:val="en-US" w:eastAsia="zh-CN"/>
        </w:rPr>
      </w:pPr>
    </w:p>
    <w:p w14:paraId="318905F8">
      <w:pPr>
        <w:pStyle w:val="29"/>
        <w:rPr>
          <w:rFonts w:hint="default" w:ascii="Times New Roman" w:hAnsi="Times New Roman" w:eastAsia="宋体" w:cs="Times New Roman"/>
          <w:i w:val="0"/>
          <w:iCs w:val="0"/>
          <w:caps w:val="0"/>
          <w:color w:val="000000"/>
          <w:spacing w:val="0"/>
          <w:sz w:val="24"/>
          <w:szCs w:val="24"/>
          <w:shd w:val="clear" w:fill="FFFFFF"/>
          <w:lang w:val="en-US" w:eastAsia="zh-CN"/>
        </w:rPr>
      </w:pPr>
    </w:p>
    <w:p w14:paraId="342A1D97">
      <w:pPr>
        <w:pStyle w:val="29"/>
        <w:ind w:firstLine="480"/>
        <w:rPr>
          <w:rFonts w:hint="default"/>
        </w:rPr>
      </w:pPr>
      <w:r>
        <w:rPr>
          <w:rFonts w:hint="eastAsia"/>
          <w:lang w:val="en-US" w:eastAsia="zh-CN"/>
        </w:rPr>
        <w:t>4.1.2</w:t>
      </w:r>
      <w:r>
        <w:rPr>
          <w:rFonts w:hint="default"/>
        </w:rPr>
        <w:t xml:space="preserve"> 模型假设</w:t>
      </w:r>
    </w:p>
    <w:p w14:paraId="0A2D58B7">
      <w:pPr>
        <w:pStyle w:val="29"/>
        <w:ind w:firstLine="480"/>
        <w:rPr>
          <w:rFonts w:ascii="宋体" w:hAnsi="宋体" w:eastAsia="宋体" w:cs="宋体"/>
          <w:sz w:val="24"/>
          <w:szCs w:val="24"/>
        </w:rPr>
      </w:pPr>
      <w:r>
        <w:rPr>
          <w:rFonts w:hint="default"/>
        </w:rPr>
        <w:t>（1）</w:t>
      </w:r>
      <w:r>
        <w:rPr>
          <w:rFonts w:ascii="宋体" w:hAnsi="宋体" w:eastAsia="宋体" w:cs="宋体"/>
          <w:sz w:val="24"/>
          <w:szCs w:val="24"/>
        </w:rPr>
        <w:t>储能设备的充放电效率按往返效率处理，即往返效率等于充电效率与放电效率的乘积。题目给出的90%未区分充电过程与放电过程，因此本文假设充电效率和放电效率对称，取为往返效率的平方根，即约94.87%。</w:t>
      </w:r>
    </w:p>
    <w:p w14:paraId="287D2B76">
      <w:pPr>
        <w:pStyle w:val="29"/>
        <w:ind w:firstLine="480"/>
        <w:rPr>
          <w:rFonts w:hint="default"/>
        </w:rPr>
      </w:pPr>
      <w:r>
        <w:rPr>
          <w:rFonts w:hint="default"/>
        </w:rPr>
        <w:t>（2）充放电功率上限作用于母线侧充放电量，单时段上限为5000×1/6≈833.333 kWh；</w:t>
      </w:r>
    </w:p>
    <w:p w14:paraId="4C4911CF">
      <w:pPr>
        <w:pStyle w:val="29"/>
        <w:ind w:firstLine="480"/>
        <w:rPr>
          <w:rFonts w:hint="default"/>
        </w:rPr>
      </w:pPr>
      <w:r>
        <w:rPr>
          <w:rFonts w:hint="default"/>
        </w:rPr>
        <w:t>（3）各10分钟时段内负荷和光伏功率保持恒定；</w:t>
      </w:r>
    </w:p>
    <w:p w14:paraId="46E05393">
      <w:pPr>
        <w:pStyle w:val="29"/>
        <w:ind w:firstLine="480"/>
        <w:rPr>
          <w:rFonts w:hint="default"/>
        </w:rPr>
      </w:pPr>
      <w:r>
        <w:rPr>
          <w:rFonts w:hint="default"/>
        </w:rPr>
        <w:t>（4）多余光伏可自由弃光，不计收入也不计惩罚；</w:t>
      </w:r>
    </w:p>
    <w:p w14:paraId="22B10BBD">
      <w:pPr>
        <w:pStyle w:val="29"/>
        <w:ind w:firstLine="480"/>
        <w:rPr>
          <w:rFonts w:hint="default"/>
        </w:rPr>
      </w:pPr>
      <w:r>
        <w:rPr>
          <w:rFonts w:hint="default"/>
        </w:rPr>
        <w:t>（5）问题一不设购电上限，但微网不向外部电网售电；</w:t>
      </w:r>
    </w:p>
    <w:p w14:paraId="309A1B9C">
      <w:pPr>
        <w:pStyle w:val="29"/>
        <w:ind w:firstLine="480"/>
        <w:rPr>
          <w:rFonts w:hint="eastAsia"/>
          <w:lang w:val="en-US" w:eastAsia="zh-CN"/>
        </w:rPr>
      </w:pPr>
      <w:r>
        <w:rPr>
          <w:rFonts w:hint="default"/>
        </w:rPr>
        <w:t>（6）储能初始储电量6000 kWh，运行上下限1200、10800 kWh。</w:t>
      </w:r>
      <w:r>
        <w:rPr>
          <w:rFonts w:hint="eastAsia"/>
          <w:lang w:val="en-US" w:eastAsia="zh-CN"/>
        </w:rPr>
        <w:t xml:space="preserve"> </w:t>
      </w:r>
    </w:p>
    <w:p w14:paraId="0886BC8A">
      <w:pPr>
        <w:pStyle w:val="29"/>
        <w:ind w:firstLine="480"/>
        <w:rPr>
          <w:rFonts w:hint="default"/>
          <w:lang w:val="en-US" w:eastAsia="zh-CN"/>
        </w:rPr>
      </w:pPr>
    </w:p>
    <w:p w14:paraId="1620E2A2">
      <w:pPr>
        <w:pStyle w:val="29"/>
        <w:ind w:firstLine="480"/>
        <w:rPr>
          <w:rFonts w:hint="eastAsia"/>
          <w:lang w:val="en-US" w:eastAsia="zh-CN"/>
        </w:rPr>
      </w:pPr>
      <w:r>
        <w:rPr>
          <w:rFonts w:hint="eastAsia"/>
          <w:lang w:val="en-US" w:eastAsia="zh-CN"/>
        </w:rPr>
        <w:t>4.1.3混合整数线性规划模型</w:t>
      </w:r>
    </w:p>
    <w:p w14:paraId="4E3DDACD">
      <w:pPr>
        <w:pStyle w:val="29"/>
        <w:ind w:firstLine="480"/>
        <w:rPr>
          <w:rFonts w:hint="eastAsia"/>
          <w:lang w:val="en-US" w:eastAsia="zh-CN"/>
        </w:rPr>
      </w:pPr>
    </w:p>
    <w:p w14:paraId="0B04DFD0">
      <w:pPr>
        <w:pStyle w:val="29"/>
        <w:ind w:firstLine="480"/>
        <w:rPr>
          <w:rFonts w:hint="eastAsia"/>
          <w:lang w:val="en-US" w:eastAsia="zh-CN"/>
        </w:rPr>
      </w:pPr>
      <w:r>
        <w:rPr>
          <w:rFonts w:hint="eastAsia"/>
          <w:lang w:val="en-US" w:eastAsia="zh-CN"/>
        </w:rPr>
        <w:t>4.1.3.1 模型思路</w:t>
      </w:r>
    </w:p>
    <w:p w14:paraId="50053822">
      <w:pPr>
        <w:pStyle w:val="29"/>
        <w:ind w:firstLine="480"/>
        <w:rPr>
          <w:rFonts w:hint="default"/>
          <w:lang w:val="en-US" w:eastAsia="zh-CN"/>
        </w:rPr>
      </w:pPr>
      <w:r>
        <w:rPr>
          <w:rFonts w:hint="default"/>
          <w:lang w:val="en-US" w:eastAsia="zh-CN"/>
        </w:rPr>
        <w:t>问题一的核心是在光伏出力、小区负荷和外网电价完全已知的条件下，合理安排各时段的购电量和储能充放电量，使全天购电费用最小。模型需要同时处理三类关系：一是微网内部的功率平衡关系，二是储能电量的时间递推关系，三是充放电状态之间的互斥关系。</w:t>
      </w:r>
    </w:p>
    <w:p w14:paraId="13D8C3CF">
      <w:pPr>
        <w:pStyle w:val="29"/>
        <w:ind w:firstLine="480"/>
        <w:rPr>
          <w:rFonts w:hint="default"/>
          <w:lang w:val="en-US" w:eastAsia="zh-CN"/>
        </w:rPr>
      </w:pPr>
      <w:r>
        <w:rPr>
          <w:rFonts w:hint="default"/>
          <w:lang w:val="en-US" w:eastAsia="zh-CN"/>
        </w:rPr>
        <w:t>前两类关系可以用连续变量的线性等式或不等式精确描述；第三类关系需要借助0-1状态变量。</w:t>
      </w:r>
      <w:r>
        <w:rPr>
          <w:rFonts w:ascii="宋体" w:hAnsi="宋体" w:eastAsia="宋体" w:cs="宋体"/>
          <w:sz w:val="24"/>
          <w:szCs w:val="24"/>
        </w:rPr>
        <w:t>由于储能设备在同一时段不能同时进行充电和放电，仅使用连续变量无法从约束层面表达这一运行特性。若采用线性规划模型，虽然可通过极小正则项或事后校验抑制同时充放电，但模型本身并不保证该条件成立。为此，本文引入0-1充放电状态变量(z</w:t>
      </w:r>
      <w:r>
        <w:rPr>
          <w:rFonts w:ascii="宋体" w:hAnsi="宋体" w:eastAsia="宋体" w:cs="宋体"/>
          <w:sz w:val="24"/>
          <w:szCs w:val="24"/>
          <w:vertAlign w:val="subscript"/>
        </w:rPr>
        <w:t>t</w:t>
      </w:r>
      <w:r>
        <w:rPr>
          <w:rFonts w:ascii="宋体" w:hAnsi="宋体" w:eastAsia="宋体" w:cs="宋体"/>
          <w:sz w:val="24"/>
          <w:szCs w:val="24"/>
        </w:rPr>
        <w:t>)，将充电量和放电量分别限制在两种互斥运行模式中，从而建立</w:t>
      </w:r>
      <w:r>
        <w:rPr>
          <w:rFonts w:ascii="宋体" w:hAnsi="宋体" w:eastAsia="宋体" w:cs="宋体"/>
          <w:b/>
          <w:bCs/>
          <w:sz w:val="24"/>
          <w:szCs w:val="24"/>
        </w:rPr>
        <w:t>混合整数线性规划模型</w:t>
      </w:r>
      <w:r>
        <w:rPr>
          <w:rFonts w:ascii="宋体" w:hAnsi="宋体" w:eastAsia="宋体" w:cs="宋体"/>
          <w:sz w:val="24"/>
          <w:szCs w:val="24"/>
        </w:rPr>
        <w:t>。该模型能够严格刻画储能运行逻辑，保证任意时段充电与放电不会同时发生，且在小规模问题下仍可由分支定界算法求得全局最优解。</w:t>
      </w:r>
      <w:r>
        <w:rPr>
          <w:rFonts w:hint="default"/>
          <w:lang w:val="en-US" w:eastAsia="zh-CN"/>
        </w:rPr>
        <w:t>因此，本文将问题一建立为混合整数线性规划模型。相比只使用连续变量的线性规划松弛，该模型能够从约束层面严格保证同一时段储能不会同时充电和放电。</w:t>
      </w:r>
    </w:p>
    <w:p w14:paraId="18ED2349">
      <w:pPr>
        <w:pStyle w:val="29"/>
        <w:ind w:firstLine="480"/>
        <w:rPr>
          <w:rFonts w:hint="default"/>
          <w:lang w:val="en-US" w:eastAsia="zh-CN"/>
        </w:rPr>
      </w:pPr>
    </w:p>
    <w:p w14:paraId="76C1627F">
      <w:pPr>
        <w:pStyle w:val="29"/>
        <w:ind w:firstLine="480"/>
        <w:rPr>
          <w:rFonts w:hint="default"/>
          <w:lang w:val="en-US" w:eastAsia="zh-CN"/>
        </w:rPr>
      </w:pPr>
      <w:r>
        <w:rPr>
          <w:rFonts w:hint="eastAsia"/>
          <w:lang w:val="en-US" w:eastAsia="zh-CN"/>
        </w:rPr>
        <w:t>4.1.3.2 决策变量</w:t>
      </w:r>
    </w:p>
    <w:p w14:paraId="22517EE4">
      <w:pPr>
        <w:pStyle w:val="29"/>
        <w:ind w:firstLine="480"/>
        <w:rPr>
          <w:rFonts w:hint="default"/>
          <w:lang w:val="en-US" w:eastAsia="zh-CN"/>
        </w:rPr>
      </w:pPr>
      <w:r>
        <w:rPr>
          <w:rFonts w:hint="default"/>
          <w:lang w:val="en-US" w:eastAsia="zh-CN"/>
        </w:rPr>
        <w:t>模型将一天划分为T=144个10分钟时段，Δt=1/6 h，时段编号为t=0,1,…,143。</w:t>
      </w:r>
    </w:p>
    <w:p w14:paraId="24145D55">
      <w:pPr>
        <w:pStyle w:val="29"/>
        <w:ind w:firstLine="480"/>
        <w:rPr>
          <w:rFonts w:hint="default"/>
          <w:lang w:val="en-US" w:eastAsia="zh-CN"/>
        </w:rPr>
      </w:pPr>
      <w:r>
        <w:rPr>
          <w:rFonts w:hint="default"/>
          <w:lang w:val="en-US" w:eastAsia="zh-CN"/>
        </w:rPr>
        <w:t>决策变量包括：</w:t>
      </w:r>
    </w:p>
    <w:p w14:paraId="614500D0">
      <w:pPr>
        <w:pStyle w:val="29"/>
        <w:ind w:firstLine="480"/>
        <w:rPr>
          <w:rFonts w:hint="default"/>
          <w:lang w:val="en-US" w:eastAsia="zh-CN"/>
        </w:rPr>
      </w:pPr>
      <w:r>
        <w:rPr>
          <w:rFonts w:hint="default"/>
          <w:lang w:val="en-US" w:eastAsia="zh-CN"/>
        </w:rPr>
        <w:t>g</w:t>
      </w:r>
      <w:r>
        <w:rPr>
          <w:rFonts w:hint="default"/>
          <w:vertAlign w:val="subscript"/>
          <w:lang w:val="en-US" w:eastAsia="zh-CN"/>
        </w:rPr>
        <w:t>t</w:t>
      </w:r>
      <w:r>
        <w:rPr>
          <w:rFonts w:hint="default"/>
          <w:lang w:val="en-US" w:eastAsia="zh-CN"/>
        </w:rPr>
        <w:t>：第t个时段的计划购电量，单位为kWh，满足g</w:t>
      </w:r>
      <w:r>
        <w:rPr>
          <w:rFonts w:hint="default"/>
          <w:vertAlign w:val="subscript"/>
          <w:lang w:val="en-US" w:eastAsia="zh-CN"/>
        </w:rPr>
        <w:t>t</w:t>
      </w:r>
      <w:r>
        <w:rPr>
          <w:rFonts w:hint="eastAsia"/>
          <w:vertAlign w:val="subscript"/>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w:t>
      </w:r>
    </w:p>
    <w:p w14:paraId="124921B8">
      <w:pPr>
        <w:pStyle w:val="29"/>
        <w:ind w:firstLine="480"/>
        <w:rPr>
          <w:rFonts w:hint="default"/>
          <w:lang w:val="en-US" w:eastAsia="zh-CN"/>
        </w:rPr>
      </w:pPr>
      <w:r>
        <w:rPr>
          <w:rFonts w:hint="default"/>
          <w:lang w:val="en-US" w:eastAsia="zh-CN"/>
        </w:rPr>
        <w:t>c</w:t>
      </w:r>
      <w:r>
        <w:rPr>
          <w:rFonts w:hint="default"/>
          <w:vertAlign w:val="subscript"/>
          <w:lang w:val="en-US" w:eastAsia="zh-CN"/>
        </w:rPr>
        <w:t>t</w:t>
      </w:r>
      <w:r>
        <w:rPr>
          <w:rFonts w:hint="default"/>
          <w:lang w:val="en-US" w:eastAsia="zh-CN"/>
        </w:rPr>
        <w:t>：第t个时段的储能充电量，单位为kWh，满足c</w:t>
      </w:r>
      <w:r>
        <w:rPr>
          <w:rFonts w:hint="default"/>
          <w:vertAlign w:val="subscript"/>
          <w:lang w:val="en-US" w:eastAsia="zh-CN"/>
        </w:rPr>
        <w:t>t</w:t>
      </w:r>
      <w:r>
        <w:rPr>
          <w:rFonts w:hint="eastAsia"/>
          <w:vertAlign w:val="subscript"/>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w:t>
      </w:r>
    </w:p>
    <w:p w14:paraId="3FEB4AA2">
      <w:pPr>
        <w:pStyle w:val="29"/>
        <w:ind w:firstLine="480"/>
        <w:rPr>
          <w:rFonts w:hint="default"/>
          <w:lang w:val="en-US" w:eastAsia="zh-CN"/>
        </w:rPr>
      </w:pPr>
      <w:r>
        <w:rPr>
          <w:rFonts w:hint="default"/>
          <w:lang w:val="en-US" w:eastAsia="zh-CN"/>
        </w:rPr>
        <w:t>d</w:t>
      </w:r>
      <w:r>
        <w:rPr>
          <w:rFonts w:hint="default"/>
          <w:vertAlign w:val="subscript"/>
          <w:lang w:val="en-US" w:eastAsia="zh-CN"/>
        </w:rPr>
        <w:t>t</w:t>
      </w:r>
      <w:r>
        <w:rPr>
          <w:rFonts w:hint="default"/>
          <w:lang w:val="en-US" w:eastAsia="zh-CN"/>
        </w:rPr>
        <w:t>：第t个时段的储能放电量，单位为kWh，满足d</w:t>
      </w:r>
      <w:r>
        <w:rPr>
          <w:rFonts w:hint="default"/>
          <w:vertAlign w:val="subscript"/>
          <w:lang w:val="en-US" w:eastAsia="zh-CN"/>
        </w:rPr>
        <w:t>t</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w:t>
      </w:r>
    </w:p>
    <w:p w14:paraId="0F7D491B">
      <w:pPr>
        <w:pStyle w:val="29"/>
        <w:ind w:firstLine="480"/>
        <w:rPr>
          <w:rFonts w:hint="default"/>
          <w:lang w:val="en-US" w:eastAsia="zh-CN"/>
        </w:rPr>
      </w:pPr>
      <w:r>
        <w:rPr>
          <w:rFonts w:hint="default"/>
          <w:lang w:val="en-US" w:eastAsia="zh-CN"/>
        </w:rPr>
        <w:t>z</w:t>
      </w:r>
      <w:r>
        <w:rPr>
          <w:rFonts w:hint="default"/>
          <w:vertAlign w:val="subscript"/>
          <w:lang w:val="en-US" w:eastAsia="zh-CN"/>
        </w:rPr>
        <w:t>t</w:t>
      </w:r>
      <w:r>
        <w:rPr>
          <w:rFonts w:hint="default"/>
          <w:lang w:val="en-US" w:eastAsia="zh-CN"/>
        </w:rPr>
        <w:t>：第t个时段的储能充放电状态变量，z</w:t>
      </w:r>
      <w:r>
        <w:rPr>
          <w:rFonts w:hint="default"/>
          <w:vertAlign w:val="subscript"/>
          <w:lang w:val="en-US" w:eastAsia="zh-CN"/>
        </w:rPr>
        <w:t>t</w:t>
      </w:r>
      <w:r>
        <w:rPr>
          <w:rFonts w:hint="default"/>
          <w:lang w:val="en-US" w:eastAsia="zh-CN"/>
        </w:rPr>
        <w:t>∈{0,1}；z</w:t>
      </w:r>
      <w:r>
        <w:rPr>
          <w:rFonts w:hint="default"/>
          <w:vertAlign w:val="subscript"/>
          <w:lang w:val="en-US" w:eastAsia="zh-CN"/>
        </w:rPr>
        <w:t>t</w:t>
      </w:r>
      <w:r>
        <w:rPr>
          <w:rFonts w:hint="default"/>
          <w:lang w:val="en-US" w:eastAsia="zh-CN"/>
        </w:rPr>
        <w:t>=1表示充电，z</w:t>
      </w:r>
      <w:r>
        <w:rPr>
          <w:rFonts w:hint="default"/>
          <w:vertAlign w:val="subscript"/>
          <w:lang w:val="en-US" w:eastAsia="zh-CN"/>
        </w:rPr>
        <w:t>t</w:t>
      </w:r>
      <w:r>
        <w:rPr>
          <w:rFonts w:hint="default"/>
          <w:lang w:val="en-US" w:eastAsia="zh-CN"/>
        </w:rPr>
        <w:t>=0表示不充电；</w:t>
      </w:r>
    </w:p>
    <w:p w14:paraId="1B9CBE4D">
      <w:pPr>
        <w:pStyle w:val="29"/>
        <w:ind w:firstLine="480"/>
        <w:rPr>
          <w:rFonts w:hint="default"/>
          <w:lang w:val="en-US" w:eastAsia="zh-CN"/>
        </w:rPr>
      </w:pPr>
      <w:r>
        <w:rPr>
          <w:rFonts w:hint="default"/>
          <w:lang w:val="en-US" w:eastAsia="zh-CN"/>
        </w:rPr>
        <w:t>s</w:t>
      </w:r>
      <w:r>
        <w:rPr>
          <w:rFonts w:hint="default"/>
          <w:vertAlign w:val="subscript"/>
          <w:lang w:val="en-US" w:eastAsia="zh-CN"/>
        </w:rPr>
        <w:t>t</w:t>
      </w:r>
      <w:r>
        <w:rPr>
          <w:rFonts w:hint="default"/>
          <w:lang w:val="en-US" w:eastAsia="zh-CN"/>
        </w:rPr>
        <w:t>：第t个时段结束时的储电量，单位为kWh，其中t=0,1,…,144。</w:t>
      </w:r>
    </w:p>
    <w:p w14:paraId="1E7CE5AB">
      <w:pPr>
        <w:pStyle w:val="29"/>
        <w:ind w:firstLine="480"/>
        <w:rPr>
          <w:rFonts w:hint="default"/>
          <w:lang w:val="en-US" w:eastAsia="zh-CN"/>
        </w:rPr>
      </w:pPr>
      <w:r>
        <w:rPr>
          <w:rFonts w:hint="default"/>
          <w:lang w:val="en-US" w:eastAsia="zh-CN"/>
        </w:rPr>
        <w:t>其中g</w:t>
      </w:r>
      <w:r>
        <w:rPr>
          <w:rFonts w:hint="default"/>
          <w:vertAlign w:val="subscript"/>
          <w:lang w:val="en-US" w:eastAsia="zh-CN"/>
        </w:rPr>
        <w:t>t</w:t>
      </w:r>
      <w:r>
        <w:rPr>
          <w:rFonts w:hint="default"/>
          <w:lang w:val="en-US" w:eastAsia="zh-CN"/>
        </w:rPr>
        <w:t>、c</w:t>
      </w:r>
      <w:r>
        <w:rPr>
          <w:rFonts w:hint="default"/>
          <w:vertAlign w:val="subscript"/>
          <w:lang w:val="en-US" w:eastAsia="zh-CN"/>
        </w:rPr>
        <w:t>t</w:t>
      </w:r>
      <w:r>
        <w:rPr>
          <w:rFonts w:hint="default"/>
          <w:lang w:val="en-US" w:eastAsia="zh-CN"/>
        </w:rPr>
        <w:t>、d</w:t>
      </w:r>
      <w:r>
        <w:rPr>
          <w:rFonts w:hint="default"/>
          <w:vertAlign w:val="subscript"/>
          <w:lang w:val="en-US" w:eastAsia="zh-CN"/>
        </w:rPr>
        <w:t>t</w:t>
      </w:r>
      <w:r>
        <w:rPr>
          <w:rFonts w:hint="default"/>
          <w:lang w:val="en-US" w:eastAsia="zh-CN"/>
        </w:rPr>
        <w:t>和s</w:t>
      </w:r>
      <w:r>
        <w:rPr>
          <w:rFonts w:hint="default"/>
          <w:vertAlign w:val="subscript"/>
          <w:lang w:val="en-US" w:eastAsia="zh-CN"/>
        </w:rPr>
        <w:t>t</w:t>
      </w:r>
      <w:r>
        <w:rPr>
          <w:rFonts w:hint="default"/>
          <w:lang w:val="en-US" w:eastAsia="zh-CN"/>
        </w:rPr>
        <w:t>为连续变量，z</w:t>
      </w:r>
      <w:r>
        <w:rPr>
          <w:rFonts w:hint="default"/>
          <w:vertAlign w:val="subscript"/>
          <w:lang w:val="en-US" w:eastAsia="zh-CN"/>
        </w:rPr>
        <w:t>t</w:t>
      </w:r>
      <w:r>
        <w:rPr>
          <w:rFonts w:hint="default"/>
          <w:lang w:val="en-US" w:eastAsia="zh-CN"/>
        </w:rPr>
        <w:t>为0-1整数变量</w:t>
      </w:r>
      <w:r>
        <w:rPr>
          <w:rFonts w:hint="eastAsia"/>
          <w:lang w:val="en-US" w:eastAsia="zh-CN"/>
        </w:rPr>
        <w:t>，</w:t>
      </w:r>
      <w:r>
        <w:rPr>
          <w:rFonts w:hint="default"/>
          <w:lang w:val="en-US" w:eastAsia="zh-CN"/>
        </w:rPr>
        <w:t>用于刻画储能设备的运行模式。</w:t>
      </w:r>
    </w:p>
    <w:p w14:paraId="146ED3B9">
      <w:pPr>
        <w:pStyle w:val="29"/>
        <w:ind w:firstLine="480"/>
        <w:rPr>
          <w:rFonts w:hint="default"/>
          <w:lang w:val="en-US" w:eastAsia="zh-CN"/>
        </w:rPr>
      </w:pPr>
    </w:p>
    <w:p w14:paraId="68A02563">
      <w:pPr>
        <w:pStyle w:val="29"/>
        <w:ind w:firstLine="480"/>
        <w:rPr>
          <w:rFonts w:hint="eastAsia"/>
          <w:lang w:val="en-US" w:eastAsia="zh-CN"/>
        </w:rPr>
      </w:pPr>
      <w:r>
        <w:rPr>
          <w:rFonts w:hint="eastAsia"/>
          <w:lang w:val="en-US" w:eastAsia="zh-CN"/>
        </w:rPr>
        <w:t>4.1.3.3 目标函数</w:t>
      </w:r>
    </w:p>
    <w:p w14:paraId="5FBE759D">
      <w:pPr>
        <w:pStyle w:val="29"/>
        <w:ind w:firstLine="480"/>
        <w:rPr>
          <w:rFonts w:hint="default"/>
          <w:lang w:val="en-US" w:eastAsia="zh-CN"/>
        </w:rPr>
      </w:pPr>
      <w:r>
        <w:rPr>
          <w:rFonts w:hint="default"/>
          <w:lang w:val="en-US" w:eastAsia="zh-CN"/>
        </w:rPr>
        <w:t>微网的经济目标是全天购电费用最小。由于外网购电费用等于各时段购电量与对应电价的乘积之和，目标函数为</w:t>
      </w:r>
    </w:p>
    <w:tbl>
      <w:tblPr>
        <w:tblStyle w:val="21"/>
        <w:tblW w:w="4999"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6"/>
        <w:gridCol w:w="4073"/>
        <w:gridCol w:w="840"/>
      </w:tblGrid>
      <w:tr w14:paraId="4D1C59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410" w:hRule="atLeast"/>
        </w:trPr>
        <w:tc>
          <w:tcPr>
            <w:tcW w:w="90" w:type="dxa"/>
            <w:tcBorders>
              <w:top w:val="nil"/>
              <w:left w:val="nil"/>
              <w:bottom w:val="nil"/>
              <w:right w:val="nil"/>
            </w:tcBorders>
            <w:shd w:val="clear" w:color="auto" w:fill="FFFFFF"/>
            <w:tcMar>
              <w:left w:w="0" w:type="dxa"/>
              <w:right w:w="0" w:type="dxa"/>
            </w:tcMar>
            <w:vAlign w:val="center"/>
          </w:tcPr>
          <w:p w14:paraId="796932DD">
            <w:pPr>
              <w:pStyle w:val="29"/>
              <w:ind w:firstLine="480"/>
              <w:rPr>
                <w:rFonts w:hint="default"/>
                <w:lang w:val="en-US" w:eastAsia="zh-CN"/>
              </w:rPr>
            </w:pPr>
          </w:p>
        </w:tc>
        <w:tc>
          <w:tcPr>
            <w:tcW w:w="4136" w:type="dxa"/>
            <w:tcBorders>
              <w:top w:val="nil"/>
              <w:left w:val="nil"/>
              <w:bottom w:val="nil"/>
              <w:right w:val="nil"/>
            </w:tcBorders>
            <w:shd w:val="clear" w:color="auto" w:fill="FFFFFF"/>
            <w:tcMar>
              <w:left w:w="0" w:type="dxa"/>
              <w:right w:w="0" w:type="dxa"/>
            </w:tcMar>
            <w:vAlign w:val="center"/>
          </w:tcPr>
          <w:p w14:paraId="06E979BB">
            <w:pPr>
              <w:pStyle w:val="29"/>
              <w:ind w:firstLine="480"/>
              <w:rPr>
                <w:rFonts w:hint="default"/>
                <w:lang w:val="en-US" w:eastAsia="zh-CN"/>
              </w:rPr>
            </w:pPr>
            <w:r>
              <w:rPr>
                <w:rFonts w:hint="default"/>
                <w:lang w:val="en-US" w:eastAsia="zh-CN"/>
              </w:rPr>
              <w:drawing>
                <wp:inline distT="0" distB="0" distL="114300" distR="114300">
                  <wp:extent cx="1353820" cy="738505"/>
                  <wp:effectExtent l="0" t="0" r="0" b="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13"/>
                          <a:stretch>
                            <a:fillRect/>
                          </a:stretch>
                        </pic:blipFill>
                        <pic:spPr>
                          <a:xfrm>
                            <a:off x="0" y="0"/>
                            <a:ext cx="1353820" cy="738505"/>
                          </a:xfrm>
                          <a:prstGeom prst="rect">
                            <a:avLst/>
                          </a:prstGeom>
                          <a:noFill/>
                          <a:ln w="9525">
                            <a:noFill/>
                          </a:ln>
                        </pic:spPr>
                      </pic:pic>
                    </a:graphicData>
                  </a:graphic>
                </wp:inline>
              </w:drawing>
            </w:r>
          </w:p>
        </w:tc>
        <w:tc>
          <w:tcPr>
            <w:tcW w:w="773" w:type="dxa"/>
            <w:tcBorders>
              <w:top w:val="nil"/>
              <w:left w:val="nil"/>
              <w:bottom w:val="nil"/>
              <w:right w:val="nil"/>
            </w:tcBorders>
            <w:shd w:val="clear" w:color="auto" w:fill="FFFFFF"/>
            <w:tcMar>
              <w:left w:w="0" w:type="dxa"/>
              <w:right w:w="0" w:type="dxa"/>
            </w:tcMar>
            <w:vAlign w:val="center"/>
          </w:tcPr>
          <w:p w14:paraId="58A00248">
            <w:pPr>
              <w:pStyle w:val="29"/>
              <w:ind w:firstLine="480"/>
              <w:rPr>
                <w:rFonts w:hint="default"/>
                <w:lang w:val="en-US" w:eastAsia="zh-CN"/>
              </w:rPr>
            </w:pPr>
            <w:r>
              <w:rPr>
                <w:rFonts w:hint="default"/>
                <w:lang w:val="en-US" w:eastAsia="zh-CN"/>
              </w:rPr>
              <w:t>(1)</w:t>
            </w:r>
          </w:p>
        </w:tc>
      </w:tr>
    </w:tbl>
    <w:p w14:paraId="4CDCFBA7">
      <w:pPr>
        <w:pStyle w:val="29"/>
        <w:ind w:firstLine="480"/>
        <w:rPr>
          <w:rFonts w:hint="default"/>
          <w:lang w:val="en-US" w:eastAsia="zh-CN"/>
        </w:rPr>
      </w:pPr>
      <w:r>
        <w:rPr>
          <w:rFonts w:hint="default"/>
          <w:lang w:val="en-US" w:eastAsia="zh-CN"/>
        </w:rPr>
        <w:t>式中π</w:t>
      </w:r>
      <w:r>
        <w:rPr>
          <w:rFonts w:hint="default"/>
          <w:vertAlign w:val="subscript"/>
          <w:lang w:val="en-US" w:eastAsia="zh-CN"/>
        </w:rPr>
        <w:t>t</w:t>
      </w:r>
      <w:r>
        <w:rPr>
          <w:rFonts w:hint="default"/>
          <w:lang w:val="en-US" w:eastAsia="zh-CN"/>
        </w:rPr>
        <w:t>为第t个时段的电价，单位为元/kWh；g</w:t>
      </w:r>
      <w:r>
        <w:rPr>
          <w:rFonts w:hint="default"/>
          <w:vertAlign w:val="subscript"/>
          <w:lang w:val="en-US" w:eastAsia="zh-CN"/>
        </w:rPr>
        <w:t>t</w:t>
      </w:r>
      <w:r>
        <w:rPr>
          <w:rFonts w:hint="default"/>
          <w:lang w:val="en-US" w:eastAsia="zh-CN"/>
        </w:rPr>
        <w:t>为第t个时段的购电量，单位为kWh。目标函数不包含储能运行成本、弃光惩罚和售电收益。</w:t>
      </w:r>
    </w:p>
    <w:p w14:paraId="385067A8">
      <w:pPr>
        <w:pStyle w:val="29"/>
        <w:ind w:firstLine="480"/>
        <w:rPr>
          <w:rFonts w:hint="default"/>
          <w:lang w:val="en-US" w:eastAsia="zh-CN"/>
        </w:rPr>
      </w:pPr>
    </w:p>
    <w:p w14:paraId="440BE7AD">
      <w:pPr>
        <w:pStyle w:val="29"/>
        <w:ind w:firstLine="480"/>
        <w:rPr>
          <w:rFonts w:hint="eastAsia"/>
          <w:lang w:val="en-US" w:eastAsia="zh-CN"/>
        </w:rPr>
      </w:pPr>
      <w:r>
        <w:rPr>
          <w:rFonts w:hint="eastAsia"/>
          <w:lang w:val="en-US" w:eastAsia="zh-CN"/>
        </w:rPr>
        <w:t>4.1.3.4 约束条件</w:t>
      </w:r>
    </w:p>
    <w:p w14:paraId="6E7D5CB5">
      <w:pPr>
        <w:pStyle w:val="29"/>
        <w:ind w:firstLine="480"/>
        <w:rPr>
          <w:rFonts w:hint="default"/>
          <w:lang w:val="en-US" w:eastAsia="zh-CN"/>
        </w:rPr>
      </w:pPr>
      <w:r>
        <w:rPr>
          <w:rFonts w:hint="default"/>
          <w:lang w:val="en-US" w:eastAsia="zh-CN"/>
        </w:rPr>
        <w:t>模型的约束条件包括功率平衡、储能电量递推、充放电功率、储电量上下界与循环，以及充放电互斥五类约束。</w:t>
      </w:r>
    </w:p>
    <w:p w14:paraId="12EB5B4C">
      <w:pPr>
        <w:pStyle w:val="29"/>
        <w:ind w:firstLine="480"/>
        <w:rPr>
          <w:rFonts w:hint="default"/>
          <w:lang w:val="en-US" w:eastAsia="zh-CN"/>
        </w:rPr>
      </w:pPr>
      <w:r>
        <w:rPr>
          <w:rFonts w:hint="default"/>
          <w:lang w:val="en-US" w:eastAsia="zh-CN"/>
        </w:rPr>
        <w:t>（1）微网功率平衡约束</w:t>
      </w:r>
    </w:p>
    <w:p w14:paraId="550CB2D0">
      <w:pPr>
        <w:pStyle w:val="29"/>
        <w:ind w:firstLine="480"/>
        <w:rPr>
          <w:rFonts w:hint="default"/>
          <w:lang w:val="en-US" w:eastAsia="zh-CN"/>
        </w:rPr>
      </w:pPr>
      <w:r>
        <w:rPr>
          <w:rFonts w:hint="default"/>
          <w:lang w:val="en-US" w:eastAsia="zh-CN"/>
        </w:rPr>
        <w:t>任意时段内，微网购电量、光伏发电量和储能放电量之和，必须能够满足小区负荷和储能充电需求。允许多余光伏弃光时，功率平衡可写为</w:t>
      </w:r>
    </w:p>
    <w:tbl>
      <w:tblPr>
        <w:tblStyle w:val="21"/>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9"/>
        <w:gridCol w:w="8018"/>
        <w:gridCol w:w="840"/>
      </w:tblGrid>
      <w:tr w14:paraId="64653D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 w:type="dxa"/>
            <w:tcBorders>
              <w:top w:val="nil"/>
              <w:left w:val="nil"/>
              <w:bottom w:val="nil"/>
              <w:right w:val="nil"/>
            </w:tcBorders>
            <w:shd w:val="clear" w:color="auto" w:fill="FFFFFF"/>
            <w:tcMar>
              <w:left w:w="0" w:type="dxa"/>
              <w:right w:w="0" w:type="dxa"/>
            </w:tcMar>
            <w:vAlign w:val="center"/>
          </w:tcPr>
          <w:p w14:paraId="441896E4">
            <w:pPr>
              <w:pStyle w:val="29"/>
              <w:ind w:firstLine="480"/>
              <w:rPr>
                <w:rFonts w:hint="default"/>
                <w:lang w:val="en-US" w:eastAsia="zh-CN"/>
              </w:rPr>
            </w:pPr>
          </w:p>
        </w:tc>
        <w:tc>
          <w:tcPr>
            <w:tcW w:w="8334" w:type="dxa"/>
            <w:tcBorders>
              <w:top w:val="nil"/>
              <w:left w:val="nil"/>
              <w:bottom w:val="nil"/>
              <w:right w:val="nil"/>
            </w:tcBorders>
            <w:shd w:val="clear" w:color="auto" w:fill="FFFFFF"/>
            <w:tcMar>
              <w:left w:w="0" w:type="dxa"/>
              <w:right w:w="0" w:type="dxa"/>
            </w:tcMar>
            <w:vAlign w:val="center"/>
          </w:tcPr>
          <w:p w14:paraId="4F3970C6">
            <w:pPr>
              <w:pStyle w:val="29"/>
              <w:ind w:firstLine="480"/>
              <w:rPr>
                <w:rFonts w:hint="default"/>
                <w:lang w:val="en-US" w:eastAsia="zh-CN"/>
              </w:rPr>
            </w:pPr>
            <w:r>
              <w:rPr>
                <w:rFonts w:hint="default"/>
                <w:lang w:val="en-US" w:eastAsia="zh-CN"/>
              </w:rPr>
              <w:drawing>
                <wp:inline distT="0" distB="0" distL="114300" distR="114300">
                  <wp:extent cx="4188460" cy="367665"/>
                  <wp:effectExtent l="0" t="0" r="2540" b="0"/>
                  <wp:docPr id="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6"/>
                          <pic:cNvPicPr>
                            <a:picLocks noChangeAspect="1"/>
                          </pic:cNvPicPr>
                        </pic:nvPicPr>
                        <pic:blipFill>
                          <a:blip r:embed="rId14"/>
                          <a:stretch>
                            <a:fillRect/>
                          </a:stretch>
                        </pic:blipFill>
                        <pic:spPr>
                          <a:xfrm>
                            <a:off x="0" y="0"/>
                            <a:ext cx="4188460" cy="367665"/>
                          </a:xfrm>
                          <a:prstGeom prst="rect">
                            <a:avLst/>
                          </a:prstGeom>
                          <a:noFill/>
                          <a:ln w="9525">
                            <a:noFill/>
                          </a:ln>
                        </pic:spPr>
                      </pic:pic>
                    </a:graphicData>
                  </a:graphic>
                </wp:inline>
              </w:drawing>
            </w:r>
          </w:p>
        </w:tc>
        <w:tc>
          <w:tcPr>
            <w:tcW w:w="454" w:type="dxa"/>
            <w:tcBorders>
              <w:top w:val="nil"/>
              <w:left w:val="nil"/>
              <w:bottom w:val="nil"/>
              <w:right w:val="nil"/>
            </w:tcBorders>
            <w:shd w:val="clear" w:color="auto" w:fill="FFFFFF"/>
            <w:tcMar>
              <w:left w:w="0" w:type="dxa"/>
              <w:right w:w="0" w:type="dxa"/>
            </w:tcMar>
            <w:vAlign w:val="center"/>
          </w:tcPr>
          <w:p w14:paraId="773DE999">
            <w:pPr>
              <w:pStyle w:val="29"/>
              <w:ind w:firstLine="480"/>
              <w:rPr>
                <w:rFonts w:hint="default"/>
                <w:lang w:val="en-US" w:eastAsia="zh-CN"/>
              </w:rPr>
            </w:pPr>
            <w:r>
              <w:rPr>
                <w:rFonts w:hint="default"/>
                <w:lang w:val="en-US" w:eastAsia="zh-CN"/>
              </w:rPr>
              <w:t>(2)</w:t>
            </w:r>
          </w:p>
        </w:tc>
      </w:tr>
    </w:tbl>
    <w:p w14:paraId="6FB21750">
      <w:pPr>
        <w:pStyle w:val="29"/>
        <w:ind w:firstLine="480"/>
        <w:rPr>
          <w:rFonts w:hint="default"/>
          <w:lang w:val="en-US" w:eastAsia="zh-CN"/>
        </w:rPr>
      </w:pPr>
      <w:r>
        <w:rPr>
          <w:rFonts w:hint="default"/>
          <w:lang w:val="en-US" w:eastAsia="zh-CN"/>
        </w:rPr>
        <w:t>式中p</w:t>
      </w:r>
      <w:r>
        <w:rPr>
          <w:rFonts w:hint="default"/>
          <w:vertAlign w:val="subscript"/>
          <w:lang w:val="en-US" w:eastAsia="zh-CN"/>
        </w:rPr>
        <w:t>t</w:t>
      </w:r>
      <w:r>
        <w:rPr>
          <w:rFonts w:hint="default"/>
          <w:vertAlign w:val="superscript"/>
          <w:lang w:val="en-US" w:eastAsia="zh-CN"/>
        </w:rPr>
        <w:t>PV</w:t>
      </w:r>
      <w:r>
        <w:rPr>
          <w:rFonts w:hint="default"/>
          <w:lang w:val="en-US" w:eastAsia="zh-CN"/>
        </w:rPr>
        <w:t>为第t个时段的光伏电量，l</w:t>
      </w:r>
      <w:r>
        <w:rPr>
          <w:rFonts w:hint="default"/>
          <w:vertAlign w:val="subscript"/>
          <w:lang w:val="en-US" w:eastAsia="zh-CN"/>
        </w:rPr>
        <w:t>t</w:t>
      </w:r>
      <w:r>
        <w:rPr>
          <w:rFonts w:hint="default"/>
          <w:lang w:val="en-US" w:eastAsia="zh-CN"/>
        </w:rPr>
        <w:t>为第t个时段的负荷电量。不等式左侧大于右侧的部分即为该时段的弃光电量。该约束既保证了微网供电不低于负荷，也允许将无法利用的多余光伏功率丢弃。</w:t>
      </w:r>
    </w:p>
    <w:p w14:paraId="528B74E2">
      <w:pPr>
        <w:pStyle w:val="29"/>
        <w:ind w:firstLine="480"/>
        <w:rPr>
          <w:rFonts w:hint="default"/>
          <w:lang w:val="en-US" w:eastAsia="zh-CN"/>
        </w:rPr>
      </w:pPr>
      <w:r>
        <w:rPr>
          <w:rFonts w:hint="default"/>
          <w:lang w:val="en-US" w:eastAsia="zh-CN"/>
        </w:rPr>
        <w:t>（2）储能电量递推约束</w:t>
      </w:r>
    </w:p>
    <w:p w14:paraId="0CBC25A1">
      <w:pPr>
        <w:pStyle w:val="29"/>
        <w:ind w:firstLine="480"/>
        <w:rPr>
          <w:rFonts w:hint="default"/>
          <w:lang w:val="en-US" w:eastAsia="zh-CN"/>
        </w:rPr>
      </w:pPr>
      <w:r>
        <w:rPr>
          <w:rFonts w:hint="default"/>
          <w:lang w:val="en-US" w:eastAsia="zh-CN"/>
        </w:rPr>
        <w:t>储能设备在不同时段之间通过充电和放电产生时间耦合。充电时，输入储能侧的电量为η</w:t>
      </w:r>
      <w:r>
        <w:rPr>
          <w:rFonts w:hint="default"/>
          <w:vertAlign w:val="subscript"/>
          <w:lang w:val="en-US" w:eastAsia="zh-CN"/>
        </w:rPr>
        <w:t>c</w:t>
      </w:r>
      <w:r>
        <w:rPr>
          <w:rFonts w:hint="default"/>
          <w:lang w:val="en-US" w:eastAsia="zh-CN"/>
        </w:rPr>
        <w:t xml:space="preserve"> c</w:t>
      </w:r>
      <w:r>
        <w:rPr>
          <w:rFonts w:hint="default"/>
          <w:vertAlign w:val="subscript"/>
          <w:lang w:val="en-US" w:eastAsia="zh-CN"/>
        </w:rPr>
        <w:t>t</w:t>
      </w:r>
      <w:r>
        <w:rPr>
          <w:rFonts w:hint="default"/>
          <w:lang w:val="en-US" w:eastAsia="zh-CN"/>
        </w:rPr>
        <w:t>；放电时，为向微网提供d</w:t>
      </w:r>
      <w:r>
        <w:rPr>
          <w:rFonts w:hint="default"/>
          <w:vertAlign w:val="subscript"/>
          <w:lang w:val="en-US" w:eastAsia="zh-CN"/>
        </w:rPr>
        <w:t>t</w:t>
      </w:r>
      <w:r>
        <w:rPr>
          <w:rFonts w:hint="default"/>
          <w:lang w:val="en-US" w:eastAsia="zh-CN"/>
        </w:rPr>
        <w:t>电量，需要消耗d</w:t>
      </w:r>
      <w:r>
        <w:rPr>
          <w:rFonts w:hint="default"/>
          <w:vertAlign w:val="subscript"/>
          <w:lang w:val="en-US" w:eastAsia="zh-CN"/>
        </w:rPr>
        <w:t>t</w:t>
      </w:r>
      <w:r>
        <w:rPr>
          <w:rFonts w:hint="default"/>
          <w:lang w:val="en-US" w:eastAsia="zh-CN"/>
        </w:rPr>
        <w:t>/η</w:t>
      </w:r>
      <w:r>
        <w:rPr>
          <w:rFonts w:hint="default"/>
          <w:vertAlign w:val="subscript"/>
          <w:lang w:val="en-US" w:eastAsia="zh-CN"/>
        </w:rPr>
        <w:t>d</w:t>
      </w:r>
      <w:r>
        <w:rPr>
          <w:rFonts w:hint="default"/>
          <w:lang w:val="en-US" w:eastAsia="zh-CN"/>
        </w:rPr>
        <w:t>的储电量。因此，储能电量的递推关系为</w:t>
      </w:r>
    </w:p>
    <w:tbl>
      <w:tblPr>
        <w:tblStyle w:val="21"/>
        <w:tblW w:w="8241"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6"/>
        <w:gridCol w:w="7265"/>
        <w:gridCol w:w="970"/>
      </w:tblGrid>
      <w:tr w14:paraId="6693FE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596" w:hRule="atLeast"/>
        </w:trPr>
        <w:tc>
          <w:tcPr>
            <w:tcW w:w="6" w:type="dxa"/>
            <w:tcBorders>
              <w:top w:val="nil"/>
              <w:left w:val="nil"/>
              <w:bottom w:val="nil"/>
              <w:right w:val="nil"/>
            </w:tcBorders>
            <w:shd w:val="clear" w:color="auto" w:fill="FFFFFF"/>
            <w:tcMar>
              <w:left w:w="0" w:type="dxa"/>
              <w:right w:w="0" w:type="dxa"/>
            </w:tcMar>
            <w:vAlign w:val="center"/>
          </w:tcPr>
          <w:p w14:paraId="3142487C">
            <w:pPr>
              <w:pStyle w:val="29"/>
              <w:ind w:firstLine="480"/>
              <w:rPr>
                <w:rFonts w:hint="default"/>
                <w:lang w:val="en-US" w:eastAsia="zh-CN"/>
              </w:rPr>
            </w:pPr>
          </w:p>
        </w:tc>
        <w:tc>
          <w:tcPr>
            <w:tcW w:w="7265" w:type="dxa"/>
            <w:tcBorders>
              <w:top w:val="nil"/>
              <w:left w:val="nil"/>
              <w:bottom w:val="nil"/>
              <w:right w:val="nil"/>
            </w:tcBorders>
            <w:shd w:val="clear" w:color="auto" w:fill="FFFFFF"/>
            <w:tcMar>
              <w:left w:w="0" w:type="dxa"/>
              <w:right w:w="0" w:type="dxa"/>
            </w:tcMar>
            <w:vAlign w:val="center"/>
          </w:tcPr>
          <w:p w14:paraId="2028F0A5">
            <w:pPr>
              <w:pStyle w:val="29"/>
              <w:ind w:firstLine="480"/>
              <w:rPr>
                <w:rFonts w:hint="default"/>
                <w:lang w:val="en-US" w:eastAsia="zh-CN"/>
              </w:rPr>
            </w:pPr>
            <w:r>
              <w:rPr>
                <w:rFonts w:hint="default"/>
                <w:lang w:val="en-US" w:eastAsia="zh-CN"/>
              </w:rPr>
              <w:drawing>
                <wp:inline distT="0" distB="0" distL="114300" distR="114300">
                  <wp:extent cx="2444115" cy="314960"/>
                  <wp:effectExtent l="0" t="0" r="0" b="2540"/>
                  <wp:docPr id="8"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7"/>
                          <pic:cNvPicPr>
                            <a:picLocks noChangeAspect="1"/>
                          </pic:cNvPicPr>
                        </pic:nvPicPr>
                        <pic:blipFill>
                          <a:blip r:embed="rId15"/>
                          <a:stretch>
                            <a:fillRect/>
                          </a:stretch>
                        </pic:blipFill>
                        <pic:spPr>
                          <a:xfrm>
                            <a:off x="0" y="0"/>
                            <a:ext cx="2444115" cy="314960"/>
                          </a:xfrm>
                          <a:prstGeom prst="rect">
                            <a:avLst/>
                          </a:prstGeom>
                          <a:noFill/>
                          <a:ln w="9525">
                            <a:noFill/>
                          </a:ln>
                        </pic:spPr>
                      </pic:pic>
                    </a:graphicData>
                  </a:graphic>
                </wp:inline>
              </w:drawing>
            </w:r>
          </w:p>
        </w:tc>
        <w:tc>
          <w:tcPr>
            <w:tcW w:w="970" w:type="dxa"/>
            <w:tcBorders>
              <w:top w:val="nil"/>
              <w:left w:val="nil"/>
              <w:bottom w:val="nil"/>
              <w:right w:val="nil"/>
            </w:tcBorders>
            <w:shd w:val="clear" w:color="auto" w:fill="FFFFFF"/>
            <w:tcMar>
              <w:left w:w="0" w:type="dxa"/>
              <w:right w:w="0" w:type="dxa"/>
            </w:tcMar>
            <w:vAlign w:val="center"/>
          </w:tcPr>
          <w:p w14:paraId="345295D5">
            <w:pPr>
              <w:pStyle w:val="29"/>
              <w:ind w:firstLine="480"/>
              <w:rPr>
                <w:rFonts w:hint="default"/>
                <w:lang w:val="en-US" w:eastAsia="zh-CN"/>
              </w:rPr>
            </w:pPr>
            <w:r>
              <w:rPr>
                <w:rFonts w:hint="default"/>
                <w:lang w:val="en-US" w:eastAsia="zh-CN"/>
              </w:rPr>
              <w:t>(3)</w:t>
            </w:r>
          </w:p>
        </w:tc>
      </w:tr>
    </w:tbl>
    <w:p w14:paraId="648526A7">
      <w:pPr>
        <w:pStyle w:val="29"/>
        <w:ind w:firstLine="480"/>
        <w:rPr>
          <w:rFonts w:hint="default"/>
          <w:lang w:val="en-US" w:eastAsia="zh-CN"/>
        </w:rPr>
      </w:pPr>
      <w:r>
        <w:rPr>
          <w:rFonts w:hint="default"/>
          <w:lang w:val="en-US" w:eastAsia="zh-CN"/>
        </w:rPr>
        <w:t>其中η</w:t>
      </w:r>
      <w:r>
        <w:rPr>
          <w:rFonts w:hint="default"/>
          <w:vertAlign w:val="subscript"/>
          <w:lang w:val="en-US" w:eastAsia="zh-CN"/>
        </w:rPr>
        <w:t>c</w:t>
      </w:r>
      <w:r>
        <w:rPr>
          <w:rFonts w:hint="default"/>
          <w:lang w:val="en-US" w:eastAsia="zh-CN"/>
        </w:rPr>
        <w:t>和η</w:t>
      </w:r>
      <w:r>
        <w:rPr>
          <w:rFonts w:hint="default"/>
          <w:vertAlign w:val="subscript"/>
          <w:lang w:val="en-US" w:eastAsia="zh-CN"/>
        </w:rPr>
        <w:t>d</w:t>
      </w:r>
      <w:r>
        <w:rPr>
          <w:rFonts w:hint="default"/>
          <w:lang w:val="en-US" w:eastAsia="zh-CN"/>
        </w:rPr>
        <w:t>分别为充电效率和放电效率。本文将题目给出的90%充放电效率解释为往返效率，即η</w:t>
      </w:r>
      <w:r>
        <w:rPr>
          <w:rFonts w:hint="default"/>
          <w:vertAlign w:val="subscript"/>
          <w:lang w:val="en-US" w:eastAsia="zh-CN"/>
        </w:rPr>
        <w:t>c</w:t>
      </w:r>
      <w:r>
        <w:rPr>
          <w:rFonts w:hint="default"/>
          <w:lang w:val="en-US" w:eastAsia="zh-CN"/>
        </w:rPr>
        <w:t>η</w:t>
      </w:r>
      <w:r>
        <w:rPr>
          <w:rFonts w:hint="default"/>
          <w:vertAlign w:val="subscript"/>
          <w:lang w:val="en-US" w:eastAsia="zh-CN"/>
        </w:rPr>
        <w:t>d</w:t>
      </w:r>
      <w:r>
        <w:rPr>
          <w:rFonts w:hint="default"/>
          <w:lang w:val="en-US" w:eastAsia="zh-CN"/>
        </w:rPr>
        <w:t>=0.9，并采用对称效率假设，取η</w:t>
      </w:r>
      <w:r>
        <w:rPr>
          <w:rFonts w:hint="default"/>
          <w:vertAlign w:val="subscript"/>
          <w:lang w:val="en-US" w:eastAsia="zh-CN"/>
        </w:rPr>
        <w:t>c</w:t>
      </w:r>
      <w:r>
        <w:rPr>
          <w:rFonts w:hint="eastAsia"/>
          <w:vertAlign w:val="subscript"/>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η</w:t>
      </w:r>
      <w:r>
        <w:rPr>
          <w:rFonts w:hint="default"/>
          <w:vertAlign w:val="subscript"/>
          <w:lang w:val="en-US" w:eastAsia="zh-CN"/>
        </w:rPr>
        <w:t>d</w:t>
      </w:r>
      <w:r>
        <w:rPr>
          <w:rFonts w:hint="eastAsia"/>
          <w:vertAlign w:val="subscript"/>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√0.9</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0.948683。</w:t>
      </w:r>
      <w:r>
        <w:rPr>
          <w:rFonts w:ascii="宋体" w:hAnsi="宋体" w:eastAsia="宋体" w:cs="宋体"/>
          <w:sz w:val="24"/>
          <w:szCs w:val="24"/>
        </w:rPr>
        <w:t>该设定与已有储能建模研究中的处理方式一致[1]。本文后文储能电量递推公式中的</w:t>
      </w:r>
      <w:r>
        <w:rPr>
          <w:rFonts w:hint="default"/>
          <w:lang w:val="en-US" w:eastAsia="zh-CN"/>
        </w:rPr>
        <w:t>η</w:t>
      </w:r>
      <w:r>
        <w:rPr>
          <w:rFonts w:hint="default"/>
          <w:vertAlign w:val="subscript"/>
          <w:lang w:val="en-US" w:eastAsia="zh-CN"/>
        </w:rPr>
        <w:t>c</w:t>
      </w:r>
      <w:r>
        <w:rPr>
          <w:rFonts w:hint="eastAsia"/>
          <w:vertAlign w:val="baseline"/>
          <w:lang w:val="en-US" w:eastAsia="zh-CN"/>
        </w:rPr>
        <w:t>和</w:t>
      </w:r>
      <w:r>
        <w:rPr>
          <w:rFonts w:hint="default"/>
          <w:lang w:val="en-US" w:eastAsia="zh-CN"/>
        </w:rPr>
        <w:t>η</w:t>
      </w:r>
      <w:r>
        <w:rPr>
          <w:rFonts w:hint="default"/>
          <w:vertAlign w:val="subscript"/>
          <w:lang w:val="en-US" w:eastAsia="zh-CN"/>
        </w:rPr>
        <w:t>d</w:t>
      </w:r>
      <w:r>
        <w:rPr>
          <w:rFonts w:ascii="宋体" w:hAnsi="宋体" w:eastAsia="宋体" w:cs="宋体"/>
          <w:sz w:val="24"/>
          <w:szCs w:val="24"/>
        </w:rPr>
        <w:t>，均采用这一对称效率值。</w:t>
      </w:r>
    </w:p>
    <w:p w14:paraId="4A86F1D7">
      <w:pPr>
        <w:pStyle w:val="29"/>
        <w:ind w:firstLine="480"/>
        <w:rPr>
          <w:rFonts w:hint="default"/>
          <w:lang w:val="en-US" w:eastAsia="zh-CN"/>
        </w:rPr>
      </w:pPr>
      <w:r>
        <w:rPr>
          <w:rFonts w:hint="default"/>
          <w:lang w:val="en-US" w:eastAsia="zh-CN"/>
        </w:rPr>
        <w:t>（</w:t>
      </w:r>
      <w:r>
        <w:rPr>
          <w:rFonts w:hint="eastAsia"/>
          <w:lang w:val="en-US" w:eastAsia="zh-CN"/>
        </w:rPr>
        <w:t>3</w:t>
      </w:r>
      <w:r>
        <w:rPr>
          <w:rFonts w:hint="default"/>
          <w:lang w:val="en-US" w:eastAsia="zh-CN"/>
        </w:rPr>
        <w:t>）储电量上下界与循环约束</w:t>
      </w:r>
    </w:p>
    <w:tbl>
      <w:tblPr>
        <w:tblStyle w:val="21"/>
        <w:tblpPr w:leftFromText="180" w:rightFromText="180" w:vertAnchor="text" w:horzAnchor="page" w:tblpX="1409" w:tblpY="805"/>
        <w:tblOverlap w:val="never"/>
        <w:tblW w:w="9067"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48"/>
        <w:gridCol w:w="7979"/>
        <w:gridCol w:w="840"/>
      </w:tblGrid>
      <w:tr w14:paraId="7F80AA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8" w:type="dxa"/>
            <w:tcBorders>
              <w:top w:val="nil"/>
              <w:left w:val="nil"/>
              <w:bottom w:val="nil"/>
              <w:right w:val="nil"/>
            </w:tcBorders>
            <w:shd w:val="clear" w:color="auto" w:fill="FFFFFF"/>
            <w:tcMar>
              <w:left w:w="0" w:type="dxa"/>
              <w:right w:w="0" w:type="dxa"/>
            </w:tcMar>
            <w:vAlign w:val="center"/>
          </w:tcPr>
          <w:p w14:paraId="5AAC7CAE">
            <w:pPr>
              <w:pStyle w:val="29"/>
              <w:ind w:firstLine="480"/>
              <w:rPr>
                <w:rFonts w:hint="default"/>
                <w:lang w:val="en-US" w:eastAsia="zh-CN"/>
              </w:rPr>
            </w:pPr>
          </w:p>
        </w:tc>
        <w:tc>
          <w:tcPr>
            <w:tcW w:w="7979" w:type="dxa"/>
            <w:tcBorders>
              <w:top w:val="nil"/>
              <w:left w:val="nil"/>
              <w:bottom w:val="nil"/>
              <w:right w:val="nil"/>
            </w:tcBorders>
            <w:shd w:val="clear" w:color="auto" w:fill="FFFFFF"/>
            <w:tcMar>
              <w:left w:w="0" w:type="dxa"/>
              <w:right w:w="0" w:type="dxa"/>
            </w:tcMar>
            <w:vAlign w:val="center"/>
          </w:tcPr>
          <w:p w14:paraId="409DC3F4">
            <w:pPr>
              <w:pStyle w:val="29"/>
              <w:ind w:firstLine="480"/>
              <w:rPr>
                <w:rFonts w:hint="default"/>
                <w:lang w:val="en-US" w:eastAsia="zh-CN"/>
              </w:rPr>
            </w:pPr>
            <w:r>
              <w:rPr>
                <w:rFonts w:hint="default"/>
                <w:lang w:val="en-US" w:eastAsia="zh-CN"/>
              </w:rPr>
              <w:drawing>
                <wp:inline distT="0" distB="0" distL="114300" distR="114300">
                  <wp:extent cx="3169920" cy="277495"/>
                  <wp:effectExtent l="0" t="0" r="5080" b="0"/>
                  <wp:docPr id="10" name="图片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9"/>
                          <pic:cNvPicPr>
                            <a:picLocks noChangeAspect="1"/>
                          </pic:cNvPicPr>
                        </pic:nvPicPr>
                        <pic:blipFill>
                          <a:blip r:embed="rId16"/>
                          <a:stretch>
                            <a:fillRect/>
                          </a:stretch>
                        </pic:blipFill>
                        <pic:spPr>
                          <a:xfrm>
                            <a:off x="0" y="0"/>
                            <a:ext cx="3169920" cy="277495"/>
                          </a:xfrm>
                          <a:prstGeom prst="rect">
                            <a:avLst/>
                          </a:prstGeom>
                          <a:noFill/>
                          <a:ln w="9525">
                            <a:noFill/>
                          </a:ln>
                        </pic:spPr>
                      </pic:pic>
                    </a:graphicData>
                  </a:graphic>
                </wp:inline>
              </w:drawing>
            </w:r>
          </w:p>
        </w:tc>
        <w:tc>
          <w:tcPr>
            <w:tcW w:w="840" w:type="dxa"/>
            <w:tcBorders>
              <w:top w:val="nil"/>
              <w:left w:val="nil"/>
              <w:bottom w:val="nil"/>
              <w:right w:val="nil"/>
            </w:tcBorders>
            <w:shd w:val="clear" w:color="auto" w:fill="FFFFFF"/>
            <w:tcMar>
              <w:left w:w="0" w:type="dxa"/>
              <w:right w:w="0" w:type="dxa"/>
            </w:tcMar>
            <w:vAlign w:val="center"/>
          </w:tcPr>
          <w:p w14:paraId="6E5453B2">
            <w:pPr>
              <w:pStyle w:val="29"/>
              <w:ind w:firstLine="480"/>
              <w:rPr>
                <w:rFonts w:hint="default"/>
                <w:lang w:val="en-US" w:eastAsia="zh-CN"/>
              </w:rPr>
            </w:pPr>
            <w:r>
              <w:rPr>
                <w:rFonts w:hint="default"/>
                <w:lang w:val="en-US" w:eastAsia="zh-CN"/>
              </w:rPr>
              <w:t>(5)</w:t>
            </w:r>
          </w:p>
        </w:tc>
      </w:tr>
    </w:tbl>
    <w:p w14:paraId="4B5A8FDC">
      <w:pPr>
        <w:pStyle w:val="29"/>
        <w:ind w:firstLine="480"/>
        <w:rPr>
          <w:rFonts w:hint="default"/>
          <w:lang w:val="en-US" w:eastAsia="zh-CN"/>
        </w:rPr>
      </w:pPr>
      <w:r>
        <w:rPr>
          <w:rFonts w:hint="default"/>
          <w:lang w:val="en-US" w:eastAsia="zh-CN"/>
        </w:rPr>
        <w:t>为避免储能设备过度充电或过度放电，储电量必须保持在1200至10800 kWh之间。同时，问题一要求储能设备在0:00和24:00的储电量相同，均为6000 kWh，即</w:t>
      </w:r>
    </w:p>
    <w:p w14:paraId="5D0DB46C">
      <w:pPr>
        <w:pStyle w:val="29"/>
        <w:ind w:firstLine="480"/>
        <w:rPr>
          <w:rFonts w:hint="default"/>
          <w:lang w:val="en-US" w:eastAsia="zh-CN"/>
        </w:rPr>
      </w:pPr>
      <w:r>
        <w:rPr>
          <w:rFonts w:hint="default"/>
          <w:lang w:val="en-US" w:eastAsia="zh-CN"/>
        </w:rPr>
        <w:t>（</w:t>
      </w:r>
      <w:r>
        <w:rPr>
          <w:rFonts w:hint="eastAsia"/>
          <w:lang w:val="en-US" w:eastAsia="zh-CN"/>
        </w:rPr>
        <w:t>4</w:t>
      </w:r>
      <w:r>
        <w:rPr>
          <w:rFonts w:hint="default"/>
          <w:lang w:val="en-US" w:eastAsia="zh-CN"/>
        </w:rPr>
        <w:t>）充放电互斥约束</w:t>
      </w:r>
    </w:p>
    <w:p w14:paraId="7D334E09">
      <w:pPr>
        <w:pStyle w:val="29"/>
        <w:ind w:firstLine="480"/>
        <w:rPr>
          <w:rFonts w:hint="default"/>
          <w:lang w:val="en-US" w:eastAsia="zh-CN"/>
        </w:rPr>
      </w:pPr>
      <w:r>
        <w:rPr>
          <w:rFonts w:hint="default"/>
          <w:lang w:val="en-US" w:eastAsia="zh-CN"/>
        </w:rPr>
        <w:t>储能设备在同一时刻不能同时充电和放电。为此引入0-1状态变量z</w:t>
      </w:r>
      <w:r>
        <w:rPr>
          <w:rFonts w:hint="default"/>
          <w:vertAlign w:val="subscript"/>
          <w:lang w:val="en-US" w:eastAsia="zh-CN"/>
        </w:rPr>
        <w:t>t</w:t>
      </w:r>
      <w:r>
        <w:rPr>
          <w:rFonts w:hint="default"/>
          <w:lang w:val="en-US" w:eastAsia="zh-CN"/>
        </w:rPr>
        <w:t>，并规定：当z</w:t>
      </w:r>
      <w:r>
        <w:rPr>
          <w:rFonts w:hint="default"/>
          <w:vertAlign w:val="subscript"/>
          <w:lang w:val="en-US" w:eastAsia="zh-CN"/>
        </w:rPr>
        <w:t>t</w:t>
      </w:r>
      <w:r>
        <w:rPr>
          <w:rFonts w:hint="default"/>
          <w:lang w:val="en-US" w:eastAsia="zh-CN"/>
        </w:rPr>
        <w:t>=1时，第t个时段允许充电，但禁止放电；当z</w:t>
      </w:r>
      <w:r>
        <w:rPr>
          <w:rFonts w:hint="default"/>
          <w:vertAlign w:val="subscript"/>
          <w:lang w:val="en-US" w:eastAsia="zh-CN"/>
        </w:rPr>
        <w:t>t</w:t>
      </w:r>
      <w:r>
        <w:rPr>
          <w:rFonts w:hint="default"/>
          <w:lang w:val="en-US" w:eastAsia="zh-CN"/>
        </w:rPr>
        <w:t>=0时，第t个时段不充电，只允许放电或既不充也不放。相应的约束为</w:t>
      </w:r>
    </w:p>
    <w:tbl>
      <w:tblPr>
        <w:tblStyle w:val="21"/>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2"/>
        <w:gridCol w:w="8015"/>
        <w:gridCol w:w="840"/>
      </w:tblGrid>
      <w:tr w14:paraId="0C0DA2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 w:type="dxa"/>
            <w:tcBorders>
              <w:top w:val="nil"/>
              <w:left w:val="nil"/>
              <w:bottom w:val="nil"/>
              <w:right w:val="nil"/>
            </w:tcBorders>
            <w:shd w:val="clear" w:color="auto" w:fill="FFFFFF"/>
            <w:tcMar>
              <w:left w:w="0" w:type="dxa"/>
              <w:right w:w="0" w:type="dxa"/>
            </w:tcMar>
            <w:vAlign w:val="center"/>
          </w:tcPr>
          <w:p w14:paraId="254EC732">
            <w:pPr>
              <w:pStyle w:val="29"/>
              <w:ind w:firstLine="480"/>
              <w:rPr>
                <w:rFonts w:hint="default"/>
                <w:lang w:val="en-US" w:eastAsia="zh-CN"/>
              </w:rPr>
            </w:pPr>
          </w:p>
        </w:tc>
        <w:tc>
          <w:tcPr>
            <w:tcW w:w="8334" w:type="dxa"/>
            <w:tcBorders>
              <w:top w:val="nil"/>
              <w:left w:val="nil"/>
              <w:bottom w:val="nil"/>
              <w:right w:val="nil"/>
            </w:tcBorders>
            <w:shd w:val="clear" w:color="auto" w:fill="FFFFFF"/>
            <w:tcMar>
              <w:left w:w="0" w:type="dxa"/>
              <w:right w:w="0" w:type="dxa"/>
            </w:tcMar>
            <w:vAlign w:val="center"/>
          </w:tcPr>
          <w:p w14:paraId="5EC1C909">
            <w:pPr>
              <w:pStyle w:val="29"/>
              <w:ind w:firstLine="480"/>
              <w:rPr>
                <w:rFonts w:hint="default"/>
                <w:lang w:val="en-US" w:eastAsia="zh-CN"/>
              </w:rPr>
            </w:pPr>
            <w:r>
              <w:rPr>
                <w:rFonts w:hint="default"/>
                <w:lang w:val="en-US" w:eastAsia="zh-CN"/>
              </w:rPr>
              <w:drawing>
                <wp:inline distT="0" distB="0" distL="114300" distR="114300">
                  <wp:extent cx="4142105" cy="280035"/>
                  <wp:effectExtent l="0" t="0" r="0" b="12065"/>
                  <wp:docPr id="11" name="图片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IMG_260"/>
                          <pic:cNvPicPr>
                            <a:picLocks noChangeAspect="1"/>
                          </pic:cNvPicPr>
                        </pic:nvPicPr>
                        <pic:blipFill>
                          <a:blip r:embed="rId17"/>
                          <a:stretch>
                            <a:fillRect/>
                          </a:stretch>
                        </pic:blipFill>
                        <pic:spPr>
                          <a:xfrm>
                            <a:off x="0" y="0"/>
                            <a:ext cx="4142105" cy="280035"/>
                          </a:xfrm>
                          <a:prstGeom prst="rect">
                            <a:avLst/>
                          </a:prstGeom>
                          <a:noFill/>
                          <a:ln w="9525">
                            <a:noFill/>
                          </a:ln>
                        </pic:spPr>
                      </pic:pic>
                    </a:graphicData>
                  </a:graphic>
                </wp:inline>
              </w:drawing>
            </w:r>
          </w:p>
        </w:tc>
        <w:tc>
          <w:tcPr>
            <w:tcW w:w="454" w:type="dxa"/>
            <w:tcBorders>
              <w:top w:val="nil"/>
              <w:left w:val="nil"/>
              <w:bottom w:val="nil"/>
              <w:right w:val="nil"/>
            </w:tcBorders>
            <w:shd w:val="clear" w:color="auto" w:fill="FFFFFF"/>
            <w:tcMar>
              <w:left w:w="0" w:type="dxa"/>
              <w:right w:w="0" w:type="dxa"/>
            </w:tcMar>
            <w:vAlign w:val="center"/>
          </w:tcPr>
          <w:p w14:paraId="7A9C38EC">
            <w:pPr>
              <w:pStyle w:val="29"/>
              <w:ind w:firstLine="480"/>
              <w:rPr>
                <w:rFonts w:hint="default"/>
                <w:lang w:val="en-US" w:eastAsia="zh-CN"/>
              </w:rPr>
            </w:pPr>
            <w:r>
              <w:rPr>
                <w:rFonts w:hint="default"/>
                <w:lang w:val="en-US" w:eastAsia="zh-CN"/>
              </w:rPr>
              <w:t>(6)</w:t>
            </w:r>
          </w:p>
        </w:tc>
      </w:tr>
      <w:tr w14:paraId="08B052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 w:type="dxa"/>
            <w:tcBorders>
              <w:top w:val="nil"/>
              <w:left w:val="nil"/>
              <w:bottom w:val="nil"/>
              <w:right w:val="nil"/>
            </w:tcBorders>
            <w:shd w:val="clear" w:color="auto" w:fill="FFFFFF"/>
            <w:tcMar>
              <w:left w:w="0" w:type="dxa"/>
              <w:right w:w="0" w:type="dxa"/>
            </w:tcMar>
            <w:vAlign w:val="center"/>
          </w:tcPr>
          <w:p w14:paraId="7110AE08">
            <w:pPr>
              <w:pStyle w:val="29"/>
              <w:ind w:firstLine="480"/>
              <w:rPr>
                <w:rFonts w:hint="default"/>
                <w:lang w:val="en-US" w:eastAsia="zh-CN"/>
              </w:rPr>
            </w:pPr>
          </w:p>
          <w:p w14:paraId="53741335">
            <w:pPr>
              <w:pStyle w:val="29"/>
              <w:ind w:firstLine="480"/>
              <w:rPr>
                <w:rFonts w:hint="default"/>
                <w:lang w:val="en-US" w:eastAsia="zh-CN"/>
              </w:rPr>
            </w:pPr>
          </w:p>
        </w:tc>
        <w:tc>
          <w:tcPr>
            <w:tcW w:w="8334" w:type="dxa"/>
            <w:tcBorders>
              <w:top w:val="nil"/>
              <w:left w:val="nil"/>
              <w:bottom w:val="nil"/>
              <w:right w:val="nil"/>
            </w:tcBorders>
            <w:shd w:val="clear" w:color="auto" w:fill="FFFFFF"/>
            <w:tcMar>
              <w:left w:w="0" w:type="dxa"/>
              <w:right w:w="0" w:type="dxa"/>
            </w:tcMar>
            <w:vAlign w:val="center"/>
          </w:tcPr>
          <w:p w14:paraId="520BCB17">
            <w:pPr>
              <w:pStyle w:val="29"/>
              <w:ind w:firstLine="480"/>
              <w:rPr>
                <w:rFonts w:hint="default"/>
                <w:lang w:val="en-US" w:eastAsia="zh-CN"/>
              </w:rPr>
            </w:pPr>
          </w:p>
        </w:tc>
        <w:tc>
          <w:tcPr>
            <w:tcW w:w="454" w:type="dxa"/>
            <w:tcBorders>
              <w:top w:val="nil"/>
              <w:left w:val="nil"/>
              <w:bottom w:val="nil"/>
              <w:right w:val="nil"/>
            </w:tcBorders>
            <w:shd w:val="clear" w:color="auto" w:fill="FFFFFF"/>
            <w:tcMar>
              <w:left w:w="0" w:type="dxa"/>
              <w:right w:w="0" w:type="dxa"/>
            </w:tcMar>
            <w:vAlign w:val="center"/>
          </w:tcPr>
          <w:p w14:paraId="17629881">
            <w:pPr>
              <w:pStyle w:val="29"/>
              <w:ind w:firstLine="480"/>
              <w:rPr>
                <w:rFonts w:hint="default"/>
                <w:lang w:val="en-US" w:eastAsia="zh-CN"/>
              </w:rPr>
            </w:pPr>
          </w:p>
        </w:tc>
      </w:tr>
    </w:tbl>
    <w:p w14:paraId="1F910401">
      <w:pPr>
        <w:pStyle w:val="29"/>
        <w:ind w:firstLine="480"/>
        <w:rPr>
          <w:rFonts w:hint="default"/>
          <w:lang w:val="en-US" w:eastAsia="zh-CN"/>
        </w:rPr>
      </w:pPr>
      <w:r>
        <w:rPr>
          <w:rFonts w:hint="default"/>
          <w:lang w:val="en-US" w:eastAsia="zh-CN"/>
        </w:rPr>
        <w:t>该约束的物理含义如下表所示。</w:t>
      </w:r>
    </w:p>
    <w:p w14:paraId="73494FFC">
      <w:pPr>
        <w:pStyle w:val="29"/>
        <w:ind w:firstLine="480"/>
        <w:jc w:val="center"/>
        <w:rPr>
          <w:rFonts w:hint="default"/>
          <w:lang w:val="en-US" w:eastAsia="zh-CN"/>
        </w:rPr>
      </w:pPr>
      <w:r>
        <w:rPr>
          <w:rFonts w:hint="default"/>
          <w:lang w:val="en-US" w:eastAsia="zh-CN"/>
        </w:rPr>
        <w:t>表1 充放电状态变量z</w:t>
      </w:r>
      <w:r>
        <w:rPr>
          <w:rFonts w:hint="default"/>
          <w:vertAlign w:val="subscript"/>
          <w:lang w:val="en-US" w:eastAsia="zh-CN"/>
        </w:rPr>
        <w:t>t</w:t>
      </w:r>
      <w:r>
        <w:rPr>
          <w:rFonts w:hint="default"/>
          <w:lang w:val="en-US" w:eastAsia="zh-CN"/>
        </w:rPr>
        <w:t>的含义</w:t>
      </w:r>
    </w:p>
    <w:tbl>
      <w:tblPr>
        <w:tblStyle w:val="21"/>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47"/>
        <w:gridCol w:w="2268"/>
        <w:gridCol w:w="2721"/>
        <w:gridCol w:w="2721"/>
      </w:tblGrid>
      <w:tr w14:paraId="30F6762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47" w:type="dxa"/>
            <w:tcBorders>
              <w:top w:val="single" w:color="auto" w:sz="12" w:space="0"/>
              <w:left w:val="nil"/>
              <w:bottom w:val="single" w:color="auto" w:sz="6" w:space="0"/>
              <w:right w:val="nil"/>
            </w:tcBorders>
            <w:shd w:val="clear" w:color="auto" w:fill="FFFFFF"/>
            <w:tcMar>
              <w:left w:w="0" w:type="dxa"/>
              <w:right w:w="0" w:type="dxa"/>
            </w:tcMar>
            <w:vAlign w:val="center"/>
          </w:tcPr>
          <w:p w14:paraId="7172F5DD">
            <w:pPr>
              <w:pStyle w:val="29"/>
              <w:ind w:firstLine="480"/>
              <w:rPr>
                <w:rFonts w:hint="default"/>
                <w:lang w:val="en-US" w:eastAsia="zh-CN"/>
              </w:rPr>
            </w:pPr>
            <w:r>
              <w:rPr>
                <w:rFonts w:hint="default"/>
                <w:lang w:val="en-US" w:eastAsia="zh-CN"/>
              </w:rPr>
              <w:t>z</w:t>
            </w:r>
            <w:r>
              <w:rPr>
                <w:rFonts w:hint="default"/>
                <w:vertAlign w:val="subscript"/>
                <w:lang w:val="en-US" w:eastAsia="zh-CN"/>
              </w:rPr>
              <w:t>t</w:t>
            </w:r>
            <w:r>
              <w:rPr>
                <w:rFonts w:hint="default"/>
                <w:lang w:val="en-US" w:eastAsia="zh-CN"/>
              </w:rPr>
              <w:t>取值</w:t>
            </w:r>
          </w:p>
        </w:tc>
        <w:tc>
          <w:tcPr>
            <w:tcW w:w="2268" w:type="dxa"/>
            <w:tcBorders>
              <w:top w:val="single" w:color="auto" w:sz="12" w:space="0"/>
              <w:left w:val="nil"/>
              <w:bottom w:val="single" w:color="auto" w:sz="6" w:space="0"/>
              <w:right w:val="nil"/>
            </w:tcBorders>
            <w:shd w:val="clear" w:color="auto" w:fill="FFFFFF"/>
            <w:tcMar>
              <w:left w:w="0" w:type="dxa"/>
              <w:right w:w="0" w:type="dxa"/>
            </w:tcMar>
            <w:vAlign w:val="center"/>
          </w:tcPr>
          <w:p w14:paraId="38F5DD28">
            <w:pPr>
              <w:pStyle w:val="29"/>
              <w:ind w:firstLine="480"/>
              <w:rPr>
                <w:rFonts w:hint="default"/>
                <w:lang w:val="en-US" w:eastAsia="zh-CN"/>
              </w:rPr>
            </w:pPr>
            <w:r>
              <w:rPr>
                <w:rFonts w:hint="default"/>
                <w:lang w:val="en-US" w:eastAsia="zh-CN"/>
              </w:rPr>
              <w:t>运行状态</w:t>
            </w:r>
          </w:p>
        </w:tc>
        <w:tc>
          <w:tcPr>
            <w:tcW w:w="2721" w:type="dxa"/>
            <w:tcBorders>
              <w:top w:val="single" w:color="auto" w:sz="12" w:space="0"/>
              <w:left w:val="nil"/>
              <w:bottom w:val="single" w:color="auto" w:sz="6" w:space="0"/>
              <w:right w:val="nil"/>
            </w:tcBorders>
            <w:shd w:val="clear" w:color="auto" w:fill="FFFFFF"/>
            <w:tcMar>
              <w:left w:w="0" w:type="dxa"/>
              <w:right w:w="0" w:type="dxa"/>
            </w:tcMar>
            <w:vAlign w:val="center"/>
          </w:tcPr>
          <w:p w14:paraId="2A32092D">
            <w:pPr>
              <w:pStyle w:val="29"/>
              <w:ind w:firstLine="480"/>
              <w:rPr>
                <w:rFonts w:hint="default"/>
                <w:lang w:val="en-US" w:eastAsia="zh-CN"/>
              </w:rPr>
            </w:pPr>
            <w:r>
              <w:rPr>
                <w:rFonts w:hint="default"/>
                <w:lang w:val="en-US" w:eastAsia="zh-CN"/>
              </w:rPr>
              <w:t>对c</w:t>
            </w:r>
            <w:r>
              <w:rPr>
                <w:rFonts w:hint="default"/>
                <w:vertAlign w:val="subscript"/>
                <w:lang w:val="en-US" w:eastAsia="zh-CN"/>
              </w:rPr>
              <w:t>t</w:t>
            </w:r>
            <w:r>
              <w:rPr>
                <w:rFonts w:hint="default"/>
                <w:lang w:val="en-US" w:eastAsia="zh-CN"/>
              </w:rPr>
              <w:t>的约束</w:t>
            </w:r>
          </w:p>
        </w:tc>
        <w:tc>
          <w:tcPr>
            <w:tcW w:w="2721" w:type="dxa"/>
            <w:tcBorders>
              <w:top w:val="single" w:color="auto" w:sz="12" w:space="0"/>
              <w:left w:val="nil"/>
              <w:bottom w:val="single" w:color="auto" w:sz="6" w:space="0"/>
              <w:right w:val="nil"/>
            </w:tcBorders>
            <w:shd w:val="clear" w:color="auto" w:fill="FFFFFF"/>
            <w:tcMar>
              <w:left w:w="0" w:type="dxa"/>
              <w:right w:w="0" w:type="dxa"/>
            </w:tcMar>
            <w:vAlign w:val="center"/>
          </w:tcPr>
          <w:p w14:paraId="6DF6AB20">
            <w:pPr>
              <w:pStyle w:val="29"/>
              <w:ind w:firstLine="480"/>
              <w:rPr>
                <w:rFonts w:hint="default"/>
                <w:lang w:val="en-US" w:eastAsia="zh-CN"/>
              </w:rPr>
            </w:pPr>
            <w:r>
              <w:rPr>
                <w:rFonts w:hint="default"/>
                <w:lang w:val="en-US" w:eastAsia="zh-CN"/>
              </w:rPr>
              <w:t>对d</w:t>
            </w:r>
            <w:r>
              <w:rPr>
                <w:rFonts w:hint="default"/>
                <w:vertAlign w:val="subscript"/>
                <w:lang w:val="en-US" w:eastAsia="zh-CN"/>
              </w:rPr>
              <w:t>t</w:t>
            </w:r>
            <w:r>
              <w:rPr>
                <w:rFonts w:hint="default"/>
                <w:lang w:val="en-US" w:eastAsia="zh-CN"/>
              </w:rPr>
              <w:t>的约束</w:t>
            </w:r>
          </w:p>
        </w:tc>
      </w:tr>
      <w:tr w14:paraId="6CE4D4A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47" w:type="dxa"/>
            <w:tcBorders>
              <w:top w:val="single" w:color="auto" w:sz="12" w:space="0"/>
              <w:left w:val="nil"/>
              <w:bottom w:val="single" w:color="auto" w:sz="12" w:space="0"/>
              <w:right w:val="nil"/>
            </w:tcBorders>
            <w:shd w:val="clear" w:color="auto" w:fill="FFFFFF"/>
            <w:tcMar>
              <w:left w:w="0" w:type="dxa"/>
              <w:right w:w="0" w:type="dxa"/>
            </w:tcMar>
            <w:vAlign w:val="center"/>
          </w:tcPr>
          <w:p w14:paraId="6462378E">
            <w:pPr>
              <w:pStyle w:val="29"/>
              <w:ind w:firstLine="480"/>
              <w:rPr>
                <w:rFonts w:hint="default"/>
                <w:lang w:val="en-US" w:eastAsia="zh-CN"/>
              </w:rPr>
            </w:pPr>
            <w:r>
              <w:rPr>
                <w:rFonts w:hint="default"/>
                <w:lang w:val="en-US" w:eastAsia="zh-CN"/>
              </w:rPr>
              <w:t>1</w:t>
            </w:r>
          </w:p>
        </w:tc>
        <w:tc>
          <w:tcPr>
            <w:tcW w:w="2268" w:type="dxa"/>
            <w:tcBorders>
              <w:top w:val="single" w:color="auto" w:sz="12" w:space="0"/>
              <w:left w:val="nil"/>
              <w:bottom w:val="single" w:color="auto" w:sz="12" w:space="0"/>
              <w:right w:val="nil"/>
            </w:tcBorders>
            <w:shd w:val="clear" w:color="auto" w:fill="FFFFFF"/>
            <w:tcMar>
              <w:left w:w="0" w:type="dxa"/>
              <w:right w:w="0" w:type="dxa"/>
            </w:tcMar>
            <w:vAlign w:val="center"/>
          </w:tcPr>
          <w:p w14:paraId="7399660A">
            <w:pPr>
              <w:pStyle w:val="29"/>
              <w:ind w:firstLine="480"/>
              <w:rPr>
                <w:rFonts w:hint="default"/>
                <w:lang w:val="en-US" w:eastAsia="zh-CN"/>
              </w:rPr>
            </w:pPr>
            <w:r>
              <w:rPr>
                <w:rFonts w:hint="default"/>
                <w:lang w:val="en-US" w:eastAsia="zh-CN"/>
              </w:rPr>
              <w:t>充电模式</w:t>
            </w:r>
          </w:p>
        </w:tc>
        <w:tc>
          <w:tcPr>
            <w:tcW w:w="2721" w:type="dxa"/>
            <w:tcBorders>
              <w:top w:val="single" w:color="auto" w:sz="12" w:space="0"/>
              <w:left w:val="nil"/>
              <w:bottom w:val="single" w:color="auto" w:sz="12" w:space="0"/>
              <w:right w:val="nil"/>
            </w:tcBorders>
            <w:shd w:val="clear" w:color="auto" w:fill="FFFFFF"/>
            <w:tcMar>
              <w:left w:w="0" w:type="dxa"/>
              <w:right w:w="0" w:type="dxa"/>
            </w:tcMar>
            <w:vAlign w:val="center"/>
          </w:tcPr>
          <w:p w14:paraId="460E9E56">
            <w:pPr>
              <w:pStyle w:val="29"/>
              <w:ind w:firstLine="480"/>
              <w:rPr>
                <w:rFonts w:hint="default"/>
                <w:lang w:val="en-US" w:eastAsia="zh-CN"/>
              </w:rPr>
            </w:pPr>
            <w:r>
              <w:rPr>
                <w:rFonts w:hint="default"/>
                <w:lang w:val="en-US" w:eastAsia="zh-CN"/>
              </w:rPr>
              <w:t>0≤c</w:t>
            </w:r>
            <w:r>
              <w:rPr>
                <w:rFonts w:hint="default"/>
                <w:vertAlign w:val="subscript"/>
                <w:lang w:val="en-US" w:eastAsia="zh-CN"/>
              </w:rPr>
              <w:t>t</w:t>
            </w:r>
            <w:r>
              <w:rPr>
                <w:rFonts w:hint="default"/>
                <w:lang w:val="en-US" w:eastAsia="zh-CN"/>
              </w:rPr>
              <w:t>≤833.333</w:t>
            </w:r>
          </w:p>
        </w:tc>
        <w:tc>
          <w:tcPr>
            <w:tcW w:w="2721" w:type="dxa"/>
            <w:tcBorders>
              <w:top w:val="single" w:color="auto" w:sz="12" w:space="0"/>
              <w:left w:val="nil"/>
              <w:bottom w:val="single" w:color="auto" w:sz="12" w:space="0"/>
              <w:right w:val="nil"/>
            </w:tcBorders>
            <w:shd w:val="clear" w:color="auto" w:fill="FFFFFF"/>
            <w:tcMar>
              <w:left w:w="0" w:type="dxa"/>
              <w:right w:w="0" w:type="dxa"/>
            </w:tcMar>
            <w:vAlign w:val="center"/>
          </w:tcPr>
          <w:p w14:paraId="71631285">
            <w:pPr>
              <w:pStyle w:val="29"/>
              <w:ind w:firstLine="480"/>
              <w:rPr>
                <w:rFonts w:hint="default"/>
                <w:lang w:val="en-US" w:eastAsia="zh-CN"/>
              </w:rPr>
            </w:pPr>
            <w:r>
              <w:rPr>
                <w:rFonts w:hint="default"/>
                <w:lang w:val="en-US" w:eastAsia="zh-CN"/>
              </w:rPr>
              <w:t>d</w:t>
            </w:r>
            <w:r>
              <w:rPr>
                <w:rFonts w:hint="default"/>
                <w:vertAlign w:val="subscript"/>
                <w:lang w:val="en-US" w:eastAsia="zh-CN"/>
              </w:rPr>
              <w:t>t</w:t>
            </w:r>
            <w:r>
              <w:rPr>
                <w:rFonts w:hint="default"/>
                <w:lang w:val="en-US" w:eastAsia="zh-CN"/>
              </w:rPr>
              <w:t>=0</w:t>
            </w:r>
          </w:p>
        </w:tc>
      </w:tr>
      <w:tr w14:paraId="41AE01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247" w:type="dxa"/>
            <w:tcBorders>
              <w:top w:val="single" w:color="auto" w:sz="12" w:space="0"/>
              <w:left w:val="nil"/>
              <w:bottom w:val="single" w:color="auto" w:sz="12" w:space="0"/>
              <w:right w:val="nil"/>
            </w:tcBorders>
            <w:shd w:val="clear" w:color="auto" w:fill="FFFFFF"/>
            <w:tcMar>
              <w:left w:w="0" w:type="dxa"/>
              <w:right w:w="0" w:type="dxa"/>
            </w:tcMar>
            <w:vAlign w:val="center"/>
          </w:tcPr>
          <w:p w14:paraId="15C31021">
            <w:pPr>
              <w:pStyle w:val="29"/>
              <w:ind w:firstLine="480"/>
              <w:rPr>
                <w:rFonts w:hint="default"/>
                <w:lang w:val="en-US" w:eastAsia="zh-CN"/>
              </w:rPr>
            </w:pPr>
            <w:r>
              <w:rPr>
                <w:rFonts w:hint="default"/>
                <w:lang w:val="en-US" w:eastAsia="zh-CN"/>
              </w:rPr>
              <w:t>0</w:t>
            </w:r>
          </w:p>
        </w:tc>
        <w:tc>
          <w:tcPr>
            <w:tcW w:w="2268" w:type="dxa"/>
            <w:tcBorders>
              <w:top w:val="single" w:color="auto" w:sz="12" w:space="0"/>
              <w:left w:val="nil"/>
              <w:bottom w:val="single" w:color="auto" w:sz="12" w:space="0"/>
              <w:right w:val="nil"/>
            </w:tcBorders>
            <w:shd w:val="clear" w:color="auto" w:fill="FFFFFF"/>
            <w:tcMar>
              <w:left w:w="0" w:type="dxa"/>
              <w:right w:w="0" w:type="dxa"/>
            </w:tcMar>
            <w:vAlign w:val="center"/>
          </w:tcPr>
          <w:p w14:paraId="5B799460">
            <w:pPr>
              <w:pStyle w:val="29"/>
              <w:ind w:firstLine="480"/>
              <w:rPr>
                <w:rFonts w:hint="default"/>
                <w:lang w:val="en-US" w:eastAsia="zh-CN"/>
              </w:rPr>
            </w:pPr>
            <w:r>
              <w:rPr>
                <w:rFonts w:hint="default"/>
                <w:lang w:val="en-US" w:eastAsia="zh-CN"/>
              </w:rPr>
              <w:t>不充电模式</w:t>
            </w:r>
          </w:p>
        </w:tc>
        <w:tc>
          <w:tcPr>
            <w:tcW w:w="2721" w:type="dxa"/>
            <w:tcBorders>
              <w:top w:val="single" w:color="auto" w:sz="12" w:space="0"/>
              <w:left w:val="nil"/>
              <w:bottom w:val="single" w:color="auto" w:sz="12" w:space="0"/>
              <w:right w:val="nil"/>
            </w:tcBorders>
            <w:shd w:val="clear" w:color="auto" w:fill="FFFFFF"/>
            <w:tcMar>
              <w:left w:w="0" w:type="dxa"/>
              <w:right w:w="0" w:type="dxa"/>
            </w:tcMar>
            <w:vAlign w:val="center"/>
          </w:tcPr>
          <w:p w14:paraId="1E1BDB92">
            <w:pPr>
              <w:pStyle w:val="29"/>
              <w:ind w:firstLine="480"/>
              <w:rPr>
                <w:rFonts w:hint="default"/>
                <w:lang w:val="en-US" w:eastAsia="zh-CN"/>
              </w:rPr>
            </w:pPr>
            <w:r>
              <w:rPr>
                <w:rFonts w:hint="default"/>
                <w:lang w:val="en-US" w:eastAsia="zh-CN"/>
              </w:rPr>
              <w:t>c</w:t>
            </w:r>
            <w:r>
              <w:rPr>
                <w:rFonts w:hint="default"/>
                <w:vertAlign w:val="subscript"/>
                <w:lang w:val="en-US" w:eastAsia="zh-CN"/>
              </w:rPr>
              <w:t>t</w:t>
            </w:r>
            <w:r>
              <w:rPr>
                <w:rFonts w:hint="default"/>
                <w:lang w:val="en-US" w:eastAsia="zh-CN"/>
              </w:rPr>
              <w:t>=0</w:t>
            </w:r>
          </w:p>
        </w:tc>
        <w:tc>
          <w:tcPr>
            <w:tcW w:w="2721" w:type="dxa"/>
            <w:tcBorders>
              <w:top w:val="single" w:color="auto" w:sz="12" w:space="0"/>
              <w:left w:val="nil"/>
              <w:bottom w:val="single" w:color="auto" w:sz="12" w:space="0"/>
              <w:right w:val="nil"/>
            </w:tcBorders>
            <w:shd w:val="clear" w:color="auto" w:fill="FFFFFF"/>
            <w:tcMar>
              <w:left w:w="0" w:type="dxa"/>
              <w:right w:w="0" w:type="dxa"/>
            </w:tcMar>
            <w:vAlign w:val="center"/>
          </w:tcPr>
          <w:p w14:paraId="1651DBD8">
            <w:pPr>
              <w:pStyle w:val="29"/>
              <w:ind w:firstLine="480"/>
              <w:rPr>
                <w:rFonts w:hint="default"/>
                <w:lang w:val="en-US" w:eastAsia="zh-CN"/>
              </w:rPr>
            </w:pPr>
            <w:r>
              <w:rPr>
                <w:rFonts w:hint="default"/>
                <w:lang w:val="en-US" w:eastAsia="zh-CN"/>
              </w:rPr>
              <w:t>0≤d</w:t>
            </w:r>
            <w:r>
              <w:rPr>
                <w:rFonts w:hint="default"/>
                <w:vertAlign w:val="subscript"/>
                <w:lang w:val="en-US" w:eastAsia="zh-CN"/>
              </w:rPr>
              <w:t>t</w:t>
            </w:r>
            <w:r>
              <w:rPr>
                <w:rFonts w:hint="default"/>
                <w:lang w:val="en-US" w:eastAsia="zh-CN"/>
              </w:rPr>
              <w:t>≤833.333</w:t>
            </w:r>
          </w:p>
        </w:tc>
      </w:tr>
    </w:tbl>
    <w:p w14:paraId="214F770A">
      <w:pPr>
        <w:pStyle w:val="29"/>
        <w:ind w:firstLine="480"/>
        <w:rPr>
          <w:rFonts w:hint="default"/>
          <w:lang w:val="en-US" w:eastAsia="zh-CN"/>
        </w:rPr>
      </w:pPr>
      <w:r>
        <w:rPr>
          <w:rFonts w:hint="default"/>
          <w:lang w:val="en-US" w:eastAsia="zh-CN"/>
        </w:rPr>
        <w:t>由于z</w:t>
      </w:r>
      <w:r>
        <w:rPr>
          <w:rFonts w:hint="default"/>
          <w:vertAlign w:val="subscript"/>
          <w:lang w:val="en-US" w:eastAsia="zh-CN"/>
        </w:rPr>
        <w:t>t</w:t>
      </w:r>
      <w:r>
        <w:rPr>
          <w:rFonts w:hint="default"/>
          <w:lang w:val="en-US" w:eastAsia="zh-CN"/>
        </w:rPr>
        <w:t>为二进制变量，且c</w:t>
      </w:r>
      <w:r>
        <w:rPr>
          <w:rFonts w:hint="default"/>
          <w:vertAlign w:val="subscript"/>
          <w:lang w:val="en-US" w:eastAsia="zh-CN"/>
        </w:rPr>
        <w:t>t</w:t>
      </w:r>
      <w:r>
        <w:rPr>
          <w:rFonts w:hint="default"/>
          <w:lang w:val="en-US" w:eastAsia="zh-CN"/>
        </w:rPr>
        <w:t>和d</w:t>
      </w:r>
      <w:r>
        <w:rPr>
          <w:rFonts w:hint="default"/>
          <w:vertAlign w:val="subscript"/>
          <w:lang w:val="en-US" w:eastAsia="zh-CN"/>
        </w:rPr>
        <w:t>t</w:t>
      </w:r>
      <w:r>
        <w:rPr>
          <w:rFonts w:hint="default"/>
          <w:lang w:val="en-US" w:eastAsia="zh-CN"/>
        </w:rPr>
        <w:t>分别受z</w:t>
      </w:r>
      <w:r>
        <w:rPr>
          <w:rFonts w:hint="default"/>
          <w:vertAlign w:val="subscript"/>
          <w:lang w:val="en-US" w:eastAsia="zh-CN"/>
        </w:rPr>
        <w:t>t</w:t>
      </w:r>
      <w:r>
        <w:rPr>
          <w:rFonts w:hint="default"/>
          <w:lang w:val="en-US" w:eastAsia="zh-CN"/>
        </w:rPr>
        <w:t>和1−z</w:t>
      </w:r>
      <w:r>
        <w:rPr>
          <w:rFonts w:hint="default"/>
          <w:vertAlign w:val="subscript"/>
          <w:lang w:val="en-US" w:eastAsia="zh-CN"/>
        </w:rPr>
        <w:t>t</w:t>
      </w:r>
      <w:r>
        <w:rPr>
          <w:rFonts w:hint="default"/>
          <w:lang w:val="en-US" w:eastAsia="zh-CN"/>
        </w:rPr>
        <w:t>控制，同一时段不可能同时出现c</w:t>
      </w:r>
      <w:r>
        <w:rPr>
          <w:rFonts w:hint="default"/>
          <w:vertAlign w:val="subscript"/>
          <w:lang w:val="en-US" w:eastAsia="zh-CN"/>
        </w:rPr>
        <w:t>t</w:t>
      </w:r>
      <w:r>
        <w:rPr>
          <w:rFonts w:hint="default"/>
          <w:lang w:val="en-US" w:eastAsia="zh-CN"/>
        </w:rPr>
        <w:t>&gt;0和d</w:t>
      </w:r>
      <w:r>
        <w:rPr>
          <w:rFonts w:hint="default"/>
          <w:vertAlign w:val="subscript"/>
          <w:lang w:val="en-US" w:eastAsia="zh-CN"/>
        </w:rPr>
        <w:t>t</w:t>
      </w:r>
      <w:r>
        <w:rPr>
          <w:rFonts w:hint="default"/>
          <w:lang w:val="en-US" w:eastAsia="zh-CN"/>
        </w:rPr>
        <w:t>&gt;0。</w:t>
      </w:r>
    </w:p>
    <w:p w14:paraId="3BDA7CC3">
      <w:pPr>
        <w:pStyle w:val="29"/>
        <w:ind w:firstLine="480"/>
        <w:rPr>
          <w:rFonts w:hint="default"/>
          <w:lang w:val="en-US" w:eastAsia="zh-CN"/>
        </w:rPr>
      </w:pPr>
    </w:p>
    <w:p w14:paraId="54107C19">
      <w:pPr>
        <w:pStyle w:val="29"/>
        <w:ind w:firstLine="480"/>
        <w:rPr>
          <w:rFonts w:hint="default"/>
          <w:lang w:val="en-US" w:eastAsia="zh-CN"/>
        </w:rPr>
      </w:pPr>
      <w:r>
        <w:rPr>
          <w:rFonts w:hint="eastAsia"/>
          <w:lang w:val="en-US" w:eastAsia="zh-CN"/>
        </w:rPr>
        <w:t xml:space="preserve">4.1.4 </w:t>
      </w:r>
    </w:p>
    <w:p w14:paraId="27716F98">
      <w:pPr>
        <w:pStyle w:val="29"/>
        <w:ind w:firstLine="480"/>
        <w:rPr>
          <w:rFonts w:hint="eastAsia"/>
          <w:lang w:val="en-US" w:eastAsia="zh-CN"/>
        </w:rPr>
      </w:pPr>
      <w:r>
        <w:rPr>
          <w:rFonts w:hint="eastAsia"/>
          <w:lang w:val="en-US" w:eastAsia="zh-CN"/>
        </w:rPr>
        <w:t>将144个购电量g</w:t>
      </w:r>
      <w:r>
        <w:rPr>
          <w:rFonts w:hint="eastAsia"/>
          <w:vertAlign w:val="subscript"/>
          <w:lang w:val="en-US" w:eastAsia="zh-CN"/>
        </w:rPr>
        <w:t>t</w:t>
      </w:r>
      <w:r>
        <w:rPr>
          <w:rFonts w:hint="eastAsia"/>
          <w:lang w:val="en-US" w:eastAsia="zh-CN"/>
        </w:rPr>
        <w:t>、144个充电量c</w:t>
      </w:r>
      <w:r>
        <w:rPr>
          <w:rFonts w:hint="eastAsia"/>
          <w:vertAlign w:val="subscript"/>
          <w:lang w:val="en-US" w:eastAsia="zh-CN"/>
        </w:rPr>
        <w:t>t</w:t>
      </w:r>
      <w:r>
        <w:rPr>
          <w:rFonts w:hint="eastAsia"/>
          <w:lang w:val="en-US" w:eastAsia="zh-CN"/>
        </w:rPr>
        <w:t>、144个放电量d</w:t>
      </w:r>
      <w:r>
        <w:rPr>
          <w:rFonts w:hint="eastAsia"/>
          <w:vertAlign w:val="subscript"/>
          <w:lang w:val="en-US" w:eastAsia="zh-CN"/>
        </w:rPr>
        <w:t>t</w:t>
      </w:r>
      <w:r>
        <w:rPr>
          <w:rFonts w:hint="eastAsia"/>
          <w:lang w:val="en-US" w:eastAsia="zh-CN"/>
        </w:rPr>
        <w:t>和144个充放电状态变量z</w:t>
      </w:r>
      <w:r>
        <w:rPr>
          <w:rFonts w:hint="eastAsia"/>
          <w:vertAlign w:val="subscript"/>
          <w:lang w:val="en-US" w:eastAsia="zh-CN"/>
        </w:rPr>
        <w:t>t</w:t>
      </w:r>
      <w:r>
        <w:rPr>
          <w:rFonts w:hint="eastAsia"/>
          <w:lang w:val="en-US" w:eastAsia="zh-CN"/>
        </w:rPr>
        <w:t>按顺序放入一个长向量x。目标函数可以简写为最小化q^T x，其中q只在购电量对应的位置取电价π</w:t>
      </w:r>
      <w:r>
        <w:rPr>
          <w:rFonts w:hint="eastAsia"/>
          <w:vertAlign w:val="subscript"/>
          <w:lang w:val="en-US" w:eastAsia="zh-CN"/>
        </w:rPr>
        <w:t>t</w:t>
      </w:r>
      <w:r>
        <w:rPr>
          <w:rFonts w:hint="eastAsia"/>
          <w:lang w:val="en-US" w:eastAsia="zh-CN"/>
        </w:rPr>
        <w:t>，其余位置均为0。</w:t>
      </w:r>
    </w:p>
    <w:p w14:paraId="4BFF7A01">
      <w:pPr>
        <w:pStyle w:val="29"/>
        <w:ind w:firstLine="480"/>
        <w:rPr>
          <w:rFonts w:hint="eastAsia"/>
          <w:lang w:val="en-US" w:eastAsia="zh-CN"/>
        </w:rPr>
      </w:pPr>
      <w:r>
        <w:rPr>
          <w:rFonts w:hint="eastAsia"/>
          <w:lang w:val="en-US" w:eastAsia="zh-CN"/>
        </w:rPr>
        <w:t>模型约束统一写成两部分。第一部分为等式约束A_eq x=b_eq，表示储能设备24:00储电量与0:00储电量相等。第二部分为不等式约束A_ub x≤b_ub，包括功率平衡、储电量上下界、充放电功率限制和充放电互斥四类约束。</w:t>
      </w:r>
    </w:p>
    <w:p w14:paraId="75D185A0">
      <w:pPr>
        <w:pStyle w:val="29"/>
        <w:ind w:firstLine="480"/>
        <w:rPr>
          <w:rFonts w:hint="eastAsia"/>
          <w:lang w:val="en-US" w:eastAsia="zh-CN"/>
        </w:rPr>
      </w:pPr>
      <w:r>
        <w:rPr>
          <w:rFonts w:hint="eastAsia"/>
          <w:lang w:val="en-US" w:eastAsia="zh-CN"/>
        </w:rPr>
        <w:t>变量范围统一写为l≤x≤u。其中g_t的下界为0且无上界；c_t和d_t的取值范围为0至833.333 kWh；z_t的取值范围为0至1。同时，144个状态变量必须满足z_t∈{0,1}。</w:t>
      </w:r>
    </w:p>
    <w:p w14:paraId="369210C8">
      <w:pPr>
        <w:pStyle w:val="29"/>
        <w:ind w:firstLine="480"/>
        <w:rPr>
          <w:rFonts w:hint="eastAsia"/>
          <w:lang w:val="en-US" w:eastAsia="zh-CN"/>
        </w:rPr>
      </w:pPr>
      <w:r>
        <w:rPr>
          <w:rFonts w:hint="eastAsia"/>
          <w:lang w:val="en-US" w:eastAsia="zh-CN"/>
        </w:rPr>
        <w:t>因此，问题一最终可统一表示为如下混合整数线性规划：</w:t>
      </w:r>
    </w:p>
    <w:p w14:paraId="5712BFE1">
      <w:pPr>
        <w:pStyle w:val="18"/>
        <w:keepNext w:val="0"/>
        <w:keepLines w:val="0"/>
        <w:widowControl/>
        <w:suppressLineNumbers w:val="0"/>
        <w:bidi w:val="0"/>
        <w:ind w:firstLine="480"/>
        <w:rPr>
          <w:rFonts w:hint="eastAsia"/>
          <w:lang w:val="en-US" w:eastAsia="zh-CN"/>
        </w:rPr>
      </w:pPr>
      <m:oMath>
        <m:r>
          <m:rPr/>
          <w:rPr>
            <w:rFonts w:hint="default" w:ascii="Cambria Math"/>
          </w:rPr>
          <m:t>min</m:t>
        </m:r>
        <m:sSup>
          <m:sSupPr>
            <m:ctrlPr>
              <w:rPr>
                <w:rFonts w:hint="default" w:ascii="Cambria Math"/>
              </w:rPr>
            </m:ctrlPr>
          </m:sSupPr>
          <m:e>
            <m:r>
              <m:rPr/>
              <w:rPr>
                <w:rFonts w:hint="default" w:ascii="Cambria Math"/>
              </w:rPr>
              <m:t>q</m:t>
            </m:r>
            <m:ctrlPr>
              <w:rPr>
                <w:rFonts w:hint="default" w:ascii="Cambria Math"/>
              </w:rPr>
            </m:ctrlPr>
          </m:e>
          <m:sup>
            <m:r>
              <m:rPr/>
              <w:rPr>
                <w:rFonts w:hint="default" w:ascii="Cambria Math"/>
              </w:rPr>
              <m:t>T</m:t>
            </m:r>
            <m:ctrlPr>
              <w:rPr>
                <w:rFonts w:hint="default" w:ascii="Cambria Math"/>
              </w:rPr>
            </m:ctrlPr>
          </m:sup>
        </m:sSup>
        <m:r>
          <m:rPr/>
          <w:rPr>
            <w:rFonts w:hint="default" w:ascii="Cambria Math"/>
          </w:rPr>
          <m:t>x</m:t>
        </m:r>
        <m:r>
          <m:rPr/>
          <w:rPr>
            <w:rFonts w:hint="eastAsia" w:ascii="Cambria Math"/>
            <w:lang w:eastAsia="zh-CN"/>
          </w:rPr>
          <m:t>，</m:t>
        </m:r>
        <m:r>
          <m:rPr/>
          <w:rPr>
            <w:rFonts w:hint="default" w:ascii="Cambria Math"/>
            <w:lang w:val="en-US" w:eastAsia="zh-CN"/>
          </w:rPr>
          <m:t xml:space="preserve">s.t.  </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e</m:t>
            </m:r>
            <m:ctrlPr>
              <w:rPr>
                <w:rFonts w:hint="default" w:ascii="Cambria Math"/>
              </w:rPr>
            </m:ctrlPr>
          </m:sub>
        </m:sSub>
        <m:r>
          <m:rPr/>
          <w:rPr>
            <w:rFonts w:hint="default" w:ascii="Cambria Math"/>
          </w:rPr>
          <m:t>qx=</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e</m:t>
            </m:r>
            <m:ctrlPr>
              <w:rPr>
                <w:rFonts w:hint="default" w:ascii="Cambria Math"/>
              </w:rPr>
            </m:ctrlPr>
          </m:sub>
        </m:sSub>
        <m:r>
          <m:rPr/>
          <w:rPr>
            <w:rFonts w:hint="default" w:ascii="Cambria Math"/>
          </w:rPr>
          <m:t>q</m:t>
        </m:r>
        <m:r>
          <m:rPr/>
          <w:rPr>
            <w:rFonts w:hint="eastAsia" w:ascii="Cambria Math"/>
            <w:lang w:eastAsia="zh-CN"/>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u</m:t>
            </m:r>
            <m:ctrlPr>
              <w:rPr>
                <w:rFonts w:hint="default" w:ascii="Cambria Math"/>
              </w:rPr>
            </m:ctrlPr>
          </m:sub>
        </m:sSub>
        <m:r>
          <m:rPr/>
          <w:rPr>
            <w:rFonts w:hint="default" w:ascii="Cambria Math"/>
          </w:rPr>
          <m:t>bx≤</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u</m:t>
            </m:r>
            <m:ctrlPr>
              <w:rPr>
                <w:rFonts w:hint="default" w:ascii="Cambria Math"/>
              </w:rPr>
            </m:ctrlPr>
          </m:sub>
        </m:sSub>
        <m:r>
          <m:rPr/>
          <w:rPr>
            <w:rFonts w:hint="default" w:ascii="Cambria Math"/>
          </w:rPr>
          <m:t>b</m:t>
        </m:r>
        <m:r>
          <m:rPr/>
          <w:rPr>
            <w:rFonts w:hint="eastAsia" w:ascii="Cambria Math"/>
            <w:lang w:eastAsia="zh-CN"/>
          </w:rPr>
          <m:t>，</m:t>
        </m:r>
        <m:r>
          <m:rPr/>
          <w:rPr>
            <w:rFonts w:hint="default" w:ascii="Cambria Math"/>
          </w:rPr>
          <m:t>l≤x≤u</m:t>
        </m:r>
        <m:r>
          <m:rPr/>
          <w:rPr>
            <w:rFonts w:hint="eastAsia" w:ascii="Cambria Math"/>
            <w:lang w:eastAsia="zh-CN"/>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r>
          <m:rPr/>
          <w:rPr>
            <w:rFonts w:hint="default" w:ascii="Cambria Math"/>
            <w:lang w:val="en-US" w:eastAsia="zh-CN"/>
          </w:rPr>
          <m:t>{</m:t>
        </m:r>
        <m:r>
          <m:rPr/>
          <w:rPr>
            <w:rFonts w:hint="default" w:ascii="Cambria Math"/>
          </w:rPr>
          <m:t>0,1</m:t>
        </m:r>
        <m:r>
          <m:rPr/>
          <w:rPr>
            <w:rFonts w:hint="default" w:ascii="Cambria Math"/>
            <w:lang w:val="en-US" w:eastAsia="zh-CN"/>
          </w:rPr>
          <m:t>}</m:t>
        </m:r>
      </m:oMath>
      <w:r>
        <w:rPr>
          <w:rFonts w:hint="eastAsia"/>
          <w:lang w:val="en-US" w:eastAsia="zh-CN"/>
        </w:rPr>
        <w:t>(10)</w:t>
      </w:r>
    </w:p>
    <w:p w14:paraId="0C7FAE56">
      <w:pPr>
        <w:pStyle w:val="29"/>
        <w:ind w:firstLine="480"/>
        <w:rPr>
          <w:rFonts w:hint="eastAsia"/>
          <w:lang w:val="en-US" w:eastAsia="zh-CN"/>
        </w:rPr>
      </w:pPr>
      <w:r>
        <w:rPr>
          <w:rFonts w:hint="eastAsia"/>
          <w:lang w:val="en-US" w:eastAsia="zh-CN"/>
        </w:rPr>
        <w:t>式中q为目标系数向量；A_eq和b_eq表示储能循环等式约束；A_ub和b_ub表示全部不等式约束；l和u为变量下界和上界；集合J对应144个0-1状态变量z_t。</w:t>
      </w:r>
    </w:p>
    <w:p w14:paraId="27F4AA4B">
      <w:pPr>
        <w:pStyle w:val="29"/>
        <w:ind w:firstLine="480"/>
        <w:rPr>
          <w:rFonts w:hint="eastAsia"/>
          <w:lang w:val="en-US" w:eastAsia="zh-CN"/>
        </w:rPr>
      </w:pPr>
    </w:p>
    <w:p w14:paraId="29FCC597">
      <w:pPr>
        <w:pStyle w:val="29"/>
        <w:rPr>
          <w:rFonts w:hint="eastAsia"/>
          <w:lang w:val="en-US" w:eastAsia="zh-CN"/>
        </w:rPr>
      </w:pPr>
      <w:r>
        <w:rPr>
          <w:rFonts w:hint="eastAsia"/>
          <w:lang w:val="en-US" w:eastAsia="zh-CN"/>
        </w:rPr>
        <w:t>4.1.5 求解过程</w:t>
      </w:r>
    </w:p>
    <w:p w14:paraId="7C3C058A">
      <w:pPr>
        <w:pStyle w:val="29"/>
        <w:rPr>
          <w:rFonts w:hint="default"/>
          <w:lang w:val="en-US" w:eastAsia="zh-CN"/>
        </w:rPr>
      </w:pPr>
    </w:p>
    <w:p w14:paraId="7CACB021">
      <w:pPr>
        <w:pStyle w:val="29"/>
        <w:rPr>
          <w:rFonts w:hint="default"/>
          <w:lang w:val="en-US" w:eastAsia="zh-CN"/>
        </w:rPr>
      </w:pPr>
      <w:r>
        <w:rPr>
          <w:rFonts w:hint="default"/>
          <w:lang w:val="en-US" w:eastAsia="zh-CN"/>
        </w:rPr>
        <w:t>问题一最终被表示为混合整数线性规划。对于这类问题，目标函数和约束均为线性，连续变量可以通过线性规划算法高效处理，0-1变量则需要通过分支定界进行组合搜索。本文利用CVXPY建立模型，调用GLPK_MI求解器获得全局最优解。</w:t>
      </w:r>
    </w:p>
    <w:p w14:paraId="3771E2CD">
      <w:pPr>
        <w:pStyle w:val="29"/>
        <w:rPr>
          <w:rFonts w:hint="default"/>
          <w:lang w:val="en-US" w:eastAsia="zh-CN"/>
        </w:rPr>
      </w:pPr>
    </w:p>
    <w:p w14:paraId="1BC2076E">
      <w:pPr>
        <w:pStyle w:val="29"/>
        <w:rPr>
          <w:rFonts w:hint="default"/>
          <w:lang w:val="en-US" w:eastAsia="zh-CN"/>
        </w:rPr>
      </w:pPr>
      <w:r>
        <w:rPr>
          <w:rFonts w:hint="eastAsia"/>
          <w:lang w:val="en-US" w:eastAsia="zh-CN"/>
        </w:rPr>
        <w:t>4.1.5.1 CVXPY流程</w:t>
      </w:r>
    </w:p>
    <w:p w14:paraId="0DC02E81">
      <w:pPr>
        <w:pStyle w:val="29"/>
        <w:rPr>
          <w:rFonts w:hint="default"/>
          <w:lang w:val="en-US" w:eastAsia="zh-CN"/>
        </w:rPr>
      </w:pPr>
      <w:r>
        <w:rPr>
          <w:rFonts w:hint="default"/>
          <w:lang w:val="en-US" w:eastAsia="zh-CN"/>
        </w:rPr>
        <w:t>步骤1：读取附件1，得到144组时间点上的电价、小区负荷和光伏发电功率。</w:t>
      </w:r>
    </w:p>
    <w:p w14:paraId="2C709991">
      <w:pPr>
        <w:pStyle w:val="29"/>
        <w:rPr>
          <w:rFonts w:hint="default"/>
          <w:lang w:val="en-US" w:eastAsia="zh-CN"/>
        </w:rPr>
      </w:pPr>
      <w:r>
        <w:rPr>
          <w:rFonts w:hint="default"/>
          <w:lang w:val="en-US" w:eastAsia="zh-CN"/>
        </w:rPr>
        <w:t>步骤2：对三个原始序列分别进行相邻时间点平均，得到144个10分钟时段的电价、负荷功率和光伏功率。</w:t>
      </w:r>
    </w:p>
    <w:p w14:paraId="7F613A53">
      <w:pPr>
        <w:pStyle w:val="29"/>
        <w:rPr>
          <w:rFonts w:hint="default"/>
          <w:lang w:val="en-US" w:eastAsia="zh-CN"/>
        </w:rPr>
      </w:pPr>
      <w:r>
        <w:rPr>
          <w:rFonts w:hint="default"/>
          <w:lang w:val="en-US" w:eastAsia="zh-CN"/>
        </w:rPr>
        <w:t>步骤3：将负荷功率和光伏功率乘以Δt=1/6 h，转换为时段电量Lt和St。</w:t>
      </w:r>
    </w:p>
    <w:p w14:paraId="1F7E14F4">
      <w:pPr>
        <w:pStyle w:val="29"/>
        <w:rPr>
          <w:rFonts w:hint="default"/>
          <w:lang w:val="en-US" w:eastAsia="zh-CN"/>
        </w:rPr>
      </w:pPr>
      <w:r>
        <w:rPr>
          <w:rFonts w:hint="default"/>
          <w:lang w:val="en-US" w:eastAsia="zh-CN"/>
        </w:rPr>
        <w:t>步骤4：定义连续变量gt、ct、dt和储电量st，定义0-1充放电状态变量zt。</w:t>
      </w:r>
    </w:p>
    <w:p w14:paraId="25A09D65">
      <w:pPr>
        <w:pStyle w:val="29"/>
        <w:rPr>
          <w:rFonts w:hint="default"/>
          <w:lang w:val="en-US" w:eastAsia="zh-CN"/>
        </w:rPr>
      </w:pPr>
      <w:r>
        <w:rPr>
          <w:rFonts w:hint="default"/>
          <w:lang w:val="en-US" w:eastAsia="zh-CN"/>
        </w:rPr>
        <w:t>步骤5：构造功率平衡约束、储能递推约束、充放电功率约束、储电量上下界与循环约束，以及充放电互斥约束。</w:t>
      </w:r>
    </w:p>
    <w:p w14:paraId="30DFBF47">
      <w:pPr>
        <w:pStyle w:val="29"/>
        <w:rPr>
          <w:rFonts w:hint="default"/>
          <w:lang w:val="en-US" w:eastAsia="zh-CN"/>
        </w:rPr>
      </w:pPr>
      <w:r>
        <w:rPr>
          <w:rFonts w:hint="default"/>
          <w:lang w:val="en-US" w:eastAsia="zh-CN"/>
        </w:rPr>
        <w:t>步骤6：以全天购电费用∑t=0T−1πtgt为目标函数，调用GLPK_MI求解。</w:t>
      </w:r>
    </w:p>
    <w:p w14:paraId="72CADF30">
      <w:pPr>
        <w:pStyle w:val="29"/>
        <w:rPr>
          <w:rFonts w:hint="default"/>
          <w:lang w:val="en-US" w:eastAsia="zh-CN"/>
        </w:rPr>
      </w:pPr>
      <w:r>
        <w:rPr>
          <w:rFonts w:hint="default"/>
          <w:lang w:val="en-US" w:eastAsia="zh-CN"/>
        </w:rPr>
        <w:t>步骤7：读取最优解，计算指定时段购电量、4小时充放电量，并进行可行性校验。</w:t>
      </w:r>
    </w:p>
    <w:p w14:paraId="19EDFE63">
      <w:pPr>
        <w:pStyle w:val="29"/>
        <w:rPr>
          <w:rFonts w:hint="default"/>
          <w:lang w:val="en-US" w:eastAsia="zh-CN"/>
        </w:rPr>
      </w:pPr>
    </w:p>
    <w:p w14:paraId="4C997C75">
      <w:pPr>
        <w:pStyle w:val="29"/>
        <w:rPr>
          <w:rFonts w:hint="eastAsia"/>
          <w:lang w:val="en-US" w:eastAsia="zh-CN"/>
        </w:rPr>
      </w:pPr>
      <w:r>
        <w:rPr>
          <w:rFonts w:hint="eastAsia"/>
          <w:lang w:val="en-US" w:eastAsia="zh-CN"/>
        </w:rPr>
        <w:t xml:space="preserve">4.1.5.2 </w:t>
      </w:r>
      <w:r>
        <w:rPr>
          <w:rFonts w:hint="eastAsia"/>
          <w:lang w:val="en-US" w:eastAsia="zh-CN"/>
        </w:rPr>
        <w:tab/>
      </w:r>
    </w:p>
    <w:p w14:paraId="140F1904">
      <w:pPr>
        <w:pStyle w:val="29"/>
        <w:rPr>
          <w:rFonts w:hint="default"/>
          <w:lang w:val="en-US" w:eastAsia="zh-CN"/>
        </w:rPr>
      </w:pPr>
      <w:r>
        <w:rPr>
          <w:rFonts w:hint="default"/>
          <w:lang w:val="en-US" w:eastAsia="zh-CN"/>
        </w:rPr>
        <w:t>GLPK_MI属于混合整数规划求解器，其核心算法为分支定界法。求解时先在忽略整数约束的情况下求解线性规划松弛，得到目标函数下界；若当前解不满足0-1整数条件，则选择某个0-1变量进行分支，分别令其取0和取1，形成两个子问题；对每个子问题继续求解，并利用上下界剪枝，直到找到整数可行解并证明其为全局最优。</w:t>
      </w:r>
    </w:p>
    <w:p w14:paraId="542334F2">
      <w:pPr>
        <w:pStyle w:val="29"/>
        <w:rPr>
          <w:rFonts w:hint="default"/>
          <w:lang w:val="en-US" w:eastAsia="zh-CN"/>
        </w:rPr>
      </w:pPr>
      <w:r>
        <w:rPr>
          <w:rFonts w:hint="default"/>
          <w:lang w:val="en-US" w:eastAsia="zh-CN"/>
        </w:rPr>
        <w:t>本文模型中0-1变量z</w:t>
      </w:r>
      <w:r>
        <w:rPr>
          <w:rFonts w:hint="default"/>
          <w:vertAlign w:val="subscript"/>
          <w:lang w:val="en-US" w:eastAsia="zh-CN"/>
        </w:rPr>
        <w:t>t</w:t>
      </w:r>
      <w:r>
        <w:rPr>
          <w:rFonts w:hint="default"/>
          <w:lang w:val="en-US" w:eastAsia="zh-CN"/>
        </w:rPr>
        <w:t>与连续变量c</w:t>
      </w:r>
      <w:r>
        <w:rPr>
          <w:rFonts w:hint="default"/>
          <w:vertAlign w:val="subscript"/>
          <w:lang w:val="en-US" w:eastAsia="zh-CN"/>
        </w:rPr>
        <w:t>t</w:t>
      </w:r>
      <w:r>
        <w:rPr>
          <w:rFonts w:hint="default"/>
          <w:lang w:val="en-US" w:eastAsia="zh-CN"/>
        </w:rPr>
        <w:t>、d</w:t>
      </w:r>
      <w:r>
        <w:rPr>
          <w:rFonts w:hint="default"/>
          <w:vertAlign w:val="subscript"/>
          <w:lang w:val="en-US" w:eastAsia="zh-CN"/>
        </w:rPr>
        <w:t>t</w:t>
      </w:r>
      <w:r>
        <w:rPr>
          <w:rFonts w:hint="default"/>
          <w:lang w:val="en-US" w:eastAsia="zh-CN"/>
        </w:rPr>
        <w:t>通过线性约束关联。当z</w:t>
      </w:r>
      <w:r>
        <w:rPr>
          <w:rFonts w:hint="default"/>
          <w:vertAlign w:val="subscript"/>
          <w:lang w:val="en-US" w:eastAsia="zh-CN"/>
        </w:rPr>
        <w:t>t</w:t>
      </w:r>
      <w:r>
        <w:rPr>
          <w:rFonts w:hint="default"/>
          <w:lang w:val="en-US" w:eastAsia="zh-CN"/>
        </w:rPr>
        <w:t>被固定为0或1后，剩余问题为连续线性规划，因此分支定界过程效率较高。</w:t>
      </w:r>
    </w:p>
    <w:p w14:paraId="695D1181">
      <w:pPr>
        <w:pStyle w:val="29"/>
        <w:rPr>
          <w:rFonts w:hint="default"/>
          <w:lang w:val="en-US" w:eastAsia="zh-CN"/>
        </w:rPr>
      </w:pPr>
      <w:r>
        <w:rPr>
          <w:rFonts w:hint="default"/>
          <w:lang w:val="en-US" w:eastAsia="zh-CN"/>
        </w:rPr>
        <w:t>求解器返回状态为optimal，说明模型已获得全局最优解。模型共有144个0-1变量、432个连续变量，以及144个功率平衡约束、144个储能递推约束、144组充放电互斥约束和相应边界约束。由于模型规模较小且约束矩阵稀疏，求解过程能够在较短时间内完成，</w:t>
      </w:r>
      <w:r>
        <w:rPr>
          <w:rFonts w:hint="eastAsia"/>
          <w:lang w:val="en-US" w:eastAsia="zh-CN"/>
        </w:rPr>
        <w:t>因此</w:t>
      </w:r>
      <w:r>
        <w:rPr>
          <w:rFonts w:hint="default"/>
          <w:lang w:val="en-US" w:eastAsia="zh-CN"/>
        </w:rPr>
        <w:t>不存在陷入局部最优的问题。</w:t>
      </w:r>
    </w:p>
    <w:p w14:paraId="743EB2EB">
      <w:pPr>
        <w:pStyle w:val="29"/>
        <w:rPr>
          <w:rFonts w:hint="default"/>
          <w:lang w:val="en-US" w:eastAsia="zh-CN"/>
        </w:rPr>
      </w:pPr>
    </w:p>
    <w:p w14:paraId="5DBD98D3">
      <w:pPr>
        <w:pStyle w:val="29"/>
        <w:rPr>
          <w:rFonts w:hint="default"/>
          <w:lang w:val="en-US" w:eastAsia="zh-CN"/>
        </w:rPr>
      </w:pPr>
      <w:r>
        <w:rPr>
          <w:rFonts w:hint="eastAsia"/>
          <w:lang w:val="en-US" w:eastAsia="zh-CN"/>
        </w:rPr>
        <w:t>4.1.5.3 参数设置</w:t>
      </w:r>
    </w:p>
    <w:p w14:paraId="10B15513">
      <w:pPr>
        <w:pStyle w:val="29"/>
        <w:rPr>
          <w:rFonts w:hint="eastAsia"/>
          <w:lang w:val="en-US" w:eastAsia="zh-CN"/>
        </w:rPr>
      </w:pPr>
    </w:p>
    <w:tbl>
      <w:tblPr>
        <w:tblStyle w:val="22"/>
        <w:tblW w:w="4997"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left w:w="0" w:type="dxa"/>
          <w:right w:w="0" w:type="dxa"/>
        </w:tblCellMar>
      </w:tblPr>
      <w:tblGrid>
        <w:gridCol w:w="577"/>
        <w:gridCol w:w="662"/>
        <w:gridCol w:w="624"/>
        <w:gridCol w:w="747"/>
        <w:gridCol w:w="962"/>
        <w:gridCol w:w="747"/>
        <w:gridCol w:w="833"/>
        <w:gridCol w:w="747"/>
        <w:gridCol w:w="718"/>
        <w:gridCol w:w="648"/>
        <w:gridCol w:w="648"/>
        <w:gridCol w:w="1149"/>
      </w:tblGrid>
      <w:tr w14:paraId="154728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left w:w="0" w:type="dxa"/>
            <w:right w:w="0" w:type="dxa"/>
          </w:tblCellMar>
        </w:tblPrEx>
        <w:tc>
          <w:tcPr>
            <w:tcW w:w="318"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22A1E91A">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参数</w:t>
            </w:r>
          </w:p>
        </w:tc>
        <w:tc>
          <w:tcPr>
            <w:tcW w:w="365"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41EF764">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时段总数 T</w:t>
            </w:r>
          </w:p>
        </w:tc>
        <w:tc>
          <w:tcPr>
            <w:tcW w:w="344"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40547394">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时段长度 Δt</w:t>
            </w:r>
          </w:p>
        </w:tc>
        <w:tc>
          <w:tcPr>
            <w:tcW w:w="412"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D7974E5">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最大充放电功率 Pmax</w:t>
            </w:r>
          </w:p>
        </w:tc>
        <w:tc>
          <w:tcPr>
            <w:tcW w:w="530"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C972313">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单时段最大充放电量</w:t>
            </w:r>
          </w:p>
        </w:tc>
        <w:tc>
          <w:tcPr>
            <w:tcW w:w="412"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DF85739">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储电量下限 SOCmin</w:t>
            </w:r>
          </w:p>
        </w:tc>
        <w:tc>
          <w:tcPr>
            <w:tcW w:w="459"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43D3B43">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储电量上限 SOCmax</w:t>
            </w:r>
          </w:p>
        </w:tc>
        <w:tc>
          <w:tcPr>
            <w:tcW w:w="412"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693E5EF">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初始/终止储电量 SOC0</w:t>
            </w:r>
          </w:p>
        </w:tc>
        <w:tc>
          <w:tcPr>
            <w:tcW w:w="396"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7B804386">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往返效率 ηRT</w:t>
            </w:r>
          </w:p>
        </w:tc>
        <w:tc>
          <w:tcPr>
            <w:tcW w:w="357"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738C7A2">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充电效率 ηc</w:t>
            </w:r>
          </w:p>
        </w:tc>
        <w:tc>
          <w:tcPr>
            <w:tcW w:w="357"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0051CBBB">
            <w:pPr>
              <w:pStyle w:val="29"/>
              <w:spacing w:line="240" w:lineRule="auto"/>
              <w:ind w:left="0" w:leftChars="0" w:firstLine="0" w:firstLineChars="0"/>
              <w:jc w:val="left"/>
              <w:rPr>
                <w:rFonts w:hint="eastAsia"/>
                <w:sz w:val="13"/>
                <w:szCs w:val="13"/>
                <w:lang w:val="en-US" w:eastAsia="zh-CN"/>
              </w:rPr>
            </w:pPr>
            <w:r>
              <w:rPr>
                <w:rFonts w:hint="eastAsia"/>
                <w:sz w:val="13"/>
                <w:szCs w:val="13"/>
                <w:lang w:val="en-US" w:eastAsia="zh-CN"/>
              </w:rPr>
              <w:t>放电效率 ηd</w:t>
            </w:r>
          </w:p>
        </w:tc>
        <w:tc>
          <w:tcPr>
            <w:tcW w:w="633"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21F41FC7">
            <w:pPr>
              <w:pStyle w:val="29"/>
              <w:spacing w:line="240" w:lineRule="auto"/>
              <w:ind w:firstLine="480"/>
              <w:jc w:val="left"/>
              <w:rPr>
                <w:rFonts w:hint="eastAsia"/>
                <w:sz w:val="13"/>
                <w:szCs w:val="13"/>
                <w:lang w:val="en-US" w:eastAsia="zh-CN"/>
              </w:rPr>
            </w:pPr>
            <w:r>
              <w:rPr>
                <w:rFonts w:hint="eastAsia"/>
                <w:sz w:val="13"/>
                <w:szCs w:val="13"/>
                <w:lang w:val="en-US" w:eastAsia="zh-CN"/>
              </w:rPr>
              <w:t>求解器</w:t>
            </w:r>
          </w:p>
        </w:tc>
      </w:tr>
      <w:tr w14:paraId="0F5F46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left w:w="0" w:type="dxa"/>
            <w:right w:w="0" w:type="dxa"/>
          </w:tblCellMar>
        </w:tblPrEx>
        <w:tc>
          <w:tcPr>
            <w:tcW w:w="318"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2EB236E">
            <w:pPr>
              <w:pStyle w:val="29"/>
              <w:ind w:left="0" w:leftChars="0" w:firstLine="0" w:firstLineChars="0"/>
              <w:rPr>
                <w:rFonts w:hint="eastAsia"/>
                <w:lang w:val="en-US" w:eastAsia="zh-CN"/>
              </w:rPr>
            </w:pPr>
            <w:r>
              <w:rPr>
                <w:rFonts w:hint="eastAsia"/>
                <w:lang w:val="en-US" w:eastAsia="zh-CN"/>
              </w:rPr>
              <w:t>数值</w:t>
            </w:r>
          </w:p>
        </w:tc>
        <w:tc>
          <w:tcPr>
            <w:tcW w:w="365"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04C0D82B">
            <w:pPr>
              <w:pStyle w:val="29"/>
              <w:ind w:left="0" w:leftChars="0" w:firstLine="0" w:firstLineChars="0"/>
              <w:jc w:val="left"/>
              <w:rPr>
                <w:rFonts w:hint="eastAsia"/>
                <w:sz w:val="15"/>
                <w:szCs w:val="15"/>
                <w:lang w:val="en-US" w:eastAsia="zh-CN"/>
              </w:rPr>
            </w:pPr>
            <w:r>
              <w:rPr>
                <w:rFonts w:hint="eastAsia"/>
                <w:sz w:val="15"/>
                <w:szCs w:val="15"/>
                <w:lang w:val="en-US" w:eastAsia="zh-CN"/>
              </w:rPr>
              <w:t>144</w:t>
            </w:r>
          </w:p>
        </w:tc>
        <w:tc>
          <w:tcPr>
            <w:tcW w:w="344"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22D448D7">
            <w:pPr>
              <w:pStyle w:val="29"/>
              <w:ind w:left="0" w:leftChars="0" w:firstLine="0" w:firstLineChars="0"/>
              <w:jc w:val="left"/>
              <w:rPr>
                <w:rFonts w:hint="eastAsia"/>
                <w:sz w:val="15"/>
                <w:szCs w:val="15"/>
                <w:lang w:val="en-US" w:eastAsia="zh-CN"/>
              </w:rPr>
            </w:pPr>
            <w:r>
              <w:rPr>
                <w:rFonts w:hint="eastAsia"/>
                <w:sz w:val="15"/>
                <w:szCs w:val="15"/>
                <w:lang w:val="en-US" w:eastAsia="zh-CN"/>
              </w:rPr>
              <w:t>1/6 h</w:t>
            </w:r>
          </w:p>
        </w:tc>
        <w:tc>
          <w:tcPr>
            <w:tcW w:w="412"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302C605B">
            <w:pPr>
              <w:pStyle w:val="29"/>
              <w:ind w:left="0" w:leftChars="0" w:firstLine="0" w:firstLineChars="0"/>
              <w:jc w:val="left"/>
              <w:rPr>
                <w:rFonts w:hint="eastAsia"/>
                <w:sz w:val="15"/>
                <w:szCs w:val="15"/>
                <w:lang w:val="en-US" w:eastAsia="zh-CN"/>
              </w:rPr>
            </w:pPr>
            <w:r>
              <w:rPr>
                <w:rFonts w:hint="eastAsia"/>
                <w:sz w:val="15"/>
                <w:szCs w:val="15"/>
                <w:lang w:val="en-US" w:eastAsia="zh-CN"/>
              </w:rPr>
              <w:t>5000 kW</w:t>
            </w:r>
          </w:p>
        </w:tc>
        <w:tc>
          <w:tcPr>
            <w:tcW w:w="530"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3780235F">
            <w:pPr>
              <w:pStyle w:val="29"/>
              <w:ind w:left="0" w:leftChars="0" w:firstLine="0" w:firstLineChars="0"/>
              <w:jc w:val="left"/>
              <w:rPr>
                <w:rFonts w:hint="eastAsia"/>
                <w:sz w:val="15"/>
                <w:szCs w:val="15"/>
                <w:lang w:val="en-US" w:eastAsia="zh-CN"/>
              </w:rPr>
            </w:pPr>
            <w:r>
              <w:rPr>
                <w:rFonts w:hint="eastAsia"/>
                <w:sz w:val="15"/>
                <w:szCs w:val="15"/>
                <w:lang w:val="en-US" w:eastAsia="zh-CN"/>
              </w:rPr>
              <w:t>833.333 kWh</w:t>
            </w:r>
          </w:p>
        </w:tc>
        <w:tc>
          <w:tcPr>
            <w:tcW w:w="412"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23DA7197">
            <w:pPr>
              <w:pStyle w:val="29"/>
              <w:ind w:left="0" w:leftChars="0" w:firstLine="0" w:firstLineChars="0"/>
              <w:jc w:val="left"/>
              <w:rPr>
                <w:rFonts w:hint="eastAsia"/>
                <w:sz w:val="15"/>
                <w:szCs w:val="15"/>
                <w:lang w:val="en-US" w:eastAsia="zh-CN"/>
              </w:rPr>
            </w:pPr>
            <w:r>
              <w:rPr>
                <w:rFonts w:hint="eastAsia"/>
                <w:sz w:val="15"/>
                <w:szCs w:val="15"/>
                <w:lang w:val="en-US" w:eastAsia="zh-CN"/>
              </w:rPr>
              <w:t>1200 kWh</w:t>
            </w:r>
          </w:p>
        </w:tc>
        <w:tc>
          <w:tcPr>
            <w:tcW w:w="459"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DE6AC12">
            <w:pPr>
              <w:pStyle w:val="29"/>
              <w:ind w:left="0" w:leftChars="0" w:firstLine="0" w:firstLineChars="0"/>
              <w:jc w:val="left"/>
              <w:rPr>
                <w:rFonts w:hint="eastAsia"/>
                <w:sz w:val="15"/>
                <w:szCs w:val="15"/>
                <w:lang w:val="en-US" w:eastAsia="zh-CN"/>
              </w:rPr>
            </w:pPr>
            <w:r>
              <w:rPr>
                <w:rFonts w:hint="eastAsia"/>
                <w:sz w:val="15"/>
                <w:szCs w:val="15"/>
                <w:lang w:val="en-US" w:eastAsia="zh-CN"/>
              </w:rPr>
              <w:t>10800 kWh</w:t>
            </w:r>
          </w:p>
        </w:tc>
        <w:tc>
          <w:tcPr>
            <w:tcW w:w="412"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5FF613EF">
            <w:pPr>
              <w:pStyle w:val="29"/>
              <w:ind w:left="0" w:leftChars="0" w:firstLine="0" w:firstLineChars="0"/>
              <w:jc w:val="left"/>
              <w:rPr>
                <w:rFonts w:hint="eastAsia"/>
                <w:sz w:val="15"/>
                <w:szCs w:val="15"/>
                <w:lang w:val="en-US" w:eastAsia="zh-CN"/>
              </w:rPr>
            </w:pPr>
            <w:r>
              <w:rPr>
                <w:rFonts w:hint="eastAsia"/>
                <w:sz w:val="15"/>
                <w:szCs w:val="15"/>
                <w:lang w:val="en-US" w:eastAsia="zh-CN"/>
              </w:rPr>
              <w:t>6000 kWh</w:t>
            </w:r>
          </w:p>
        </w:tc>
        <w:tc>
          <w:tcPr>
            <w:tcW w:w="396"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08D9FDDD">
            <w:pPr>
              <w:pStyle w:val="29"/>
              <w:ind w:left="0" w:leftChars="0" w:firstLine="0" w:firstLineChars="0"/>
              <w:jc w:val="left"/>
              <w:rPr>
                <w:rFonts w:hint="eastAsia"/>
                <w:sz w:val="15"/>
                <w:szCs w:val="15"/>
                <w:lang w:val="en-US" w:eastAsia="zh-CN"/>
              </w:rPr>
            </w:pPr>
            <w:r>
              <w:rPr>
                <w:rFonts w:hint="eastAsia"/>
                <w:sz w:val="15"/>
                <w:szCs w:val="15"/>
                <w:lang w:val="en-US" w:eastAsia="zh-CN"/>
              </w:rPr>
              <w:t>90%</w:t>
            </w:r>
          </w:p>
        </w:tc>
        <w:tc>
          <w:tcPr>
            <w:tcW w:w="357"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4727F2A7">
            <w:pPr>
              <w:pStyle w:val="29"/>
              <w:ind w:left="0" w:leftChars="0" w:firstLine="0" w:firstLineChars="0"/>
              <w:jc w:val="left"/>
              <w:rPr>
                <w:rFonts w:hint="eastAsia"/>
                <w:sz w:val="15"/>
                <w:szCs w:val="15"/>
                <w:lang w:val="en-US" w:eastAsia="zh-CN"/>
              </w:rPr>
            </w:pPr>
            <w:r>
              <w:rPr>
                <w:rFonts w:hint="eastAsia"/>
                <w:sz w:val="15"/>
                <w:szCs w:val="15"/>
                <w:lang w:val="en-US" w:eastAsia="zh-CN"/>
              </w:rPr>
              <w:t>0.9≈0.948683</w:t>
            </w:r>
          </w:p>
        </w:tc>
        <w:tc>
          <w:tcPr>
            <w:tcW w:w="357"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184D2E4">
            <w:pPr>
              <w:pStyle w:val="29"/>
              <w:ind w:left="0" w:leftChars="0" w:firstLine="0" w:firstLineChars="0"/>
              <w:jc w:val="left"/>
              <w:rPr>
                <w:rFonts w:hint="eastAsia"/>
                <w:sz w:val="15"/>
                <w:szCs w:val="15"/>
                <w:lang w:val="en-US" w:eastAsia="zh-CN"/>
              </w:rPr>
            </w:pPr>
            <w:r>
              <w:rPr>
                <w:rFonts w:hint="eastAsia"/>
                <w:sz w:val="15"/>
                <w:szCs w:val="15"/>
                <w:lang w:val="en-US" w:eastAsia="zh-CN"/>
              </w:rPr>
              <w:t>0.9≈0.948683</w:t>
            </w:r>
          </w:p>
        </w:tc>
        <w:tc>
          <w:tcPr>
            <w:tcW w:w="633" w:type="pct"/>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57EC5E51">
            <w:pPr>
              <w:pStyle w:val="29"/>
              <w:ind w:left="0" w:leftChars="0" w:firstLine="0" w:firstLineChars="0"/>
              <w:jc w:val="left"/>
              <w:rPr>
                <w:rFonts w:hint="eastAsia"/>
                <w:sz w:val="15"/>
                <w:szCs w:val="15"/>
                <w:lang w:val="en-US" w:eastAsia="zh-CN"/>
              </w:rPr>
            </w:pPr>
            <w:r>
              <w:rPr>
                <w:rFonts w:hint="eastAsia"/>
                <w:sz w:val="15"/>
                <w:szCs w:val="15"/>
                <w:lang w:val="en-US" w:eastAsia="zh-CN"/>
              </w:rPr>
              <w:t>GLPK_MI</w:t>
            </w:r>
          </w:p>
        </w:tc>
      </w:tr>
    </w:tbl>
    <w:p w14:paraId="7D6CB0F7">
      <w:pPr>
        <w:pStyle w:val="29"/>
        <w:ind w:firstLine="480"/>
        <w:rPr>
          <w:rFonts w:hint="eastAsia"/>
          <w:lang w:val="en-US" w:eastAsia="zh-CN"/>
        </w:rPr>
      </w:pPr>
    </w:p>
    <w:p w14:paraId="7E486CCD">
      <w:pPr>
        <w:pStyle w:val="29"/>
        <w:ind w:firstLine="480"/>
        <w:rPr>
          <w:rFonts w:hint="eastAsia"/>
          <w:lang w:val="en-US" w:eastAsia="zh-CN"/>
        </w:rPr>
      </w:pPr>
    </w:p>
    <w:p w14:paraId="3281A2DC">
      <w:pPr>
        <w:pStyle w:val="29"/>
        <w:ind w:firstLine="480"/>
        <w:rPr>
          <w:rFonts w:hint="eastAsia"/>
          <w:lang w:val="en-US" w:eastAsia="zh-CN"/>
        </w:rPr>
      </w:pPr>
    </w:p>
    <w:p w14:paraId="75A6A91D">
      <w:pPr>
        <w:pStyle w:val="29"/>
        <w:ind w:firstLine="480"/>
        <w:rPr>
          <w:rFonts w:hint="eastAsia"/>
          <w:lang w:val="en-US" w:eastAsia="zh-CN"/>
        </w:rPr>
      </w:pPr>
      <w:r>
        <w:rPr>
          <w:rFonts w:hint="eastAsia"/>
          <w:lang w:val="en-US" w:eastAsia="zh-CN"/>
        </w:rPr>
        <w:t>4.1.6 结果与检验</w:t>
      </w:r>
    </w:p>
    <w:p w14:paraId="6B58BA9A">
      <w:pPr>
        <w:pStyle w:val="29"/>
        <w:ind w:firstLine="480"/>
        <w:rPr>
          <w:rFonts w:hint="eastAsia"/>
          <w:lang w:val="en-US" w:eastAsia="zh-CN"/>
        </w:rPr>
      </w:pPr>
    </w:p>
    <w:p w14:paraId="67DBBEDA">
      <w:pPr>
        <w:pStyle w:val="29"/>
        <w:ind w:firstLine="480"/>
        <w:rPr>
          <w:rFonts w:hint="default"/>
          <w:lang w:val="en-US" w:eastAsia="zh-CN"/>
        </w:rPr>
      </w:pPr>
      <w:r>
        <w:rPr>
          <w:rFonts w:hint="eastAsia"/>
          <w:lang w:val="en-US" w:eastAsia="zh-CN"/>
        </w:rPr>
        <w:t>4.1.6.1</w:t>
      </w:r>
      <w:r>
        <w:rPr>
          <w:rFonts w:hint="default"/>
          <w:lang w:val="en-US" w:eastAsia="zh-CN"/>
        </w:rPr>
        <w:t>指定时段购电结果</w:t>
      </w:r>
    </w:p>
    <w:tbl>
      <w:tblPr>
        <w:tblW w:w="6262"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82"/>
        <w:gridCol w:w="1417"/>
        <w:gridCol w:w="1682"/>
        <w:gridCol w:w="1417"/>
        <w:gridCol w:w="1683"/>
        <w:gridCol w:w="1186"/>
      </w:tblGrid>
      <w:tr w14:paraId="1D073B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73B82DD">
            <w:pPr>
              <w:pStyle w:val="29"/>
              <w:ind w:firstLine="480"/>
              <w:rPr>
                <w:rFonts w:hint="default"/>
                <w:lang w:val="en-US" w:eastAsia="zh-CN"/>
              </w:rPr>
            </w:pPr>
            <w:r>
              <w:rPr>
                <w:rFonts w:hint="default"/>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4872A856">
            <w:pPr>
              <w:pStyle w:val="29"/>
              <w:ind w:left="0" w:leftChars="0" w:firstLine="0" w:firstLineChars="0"/>
              <w:rPr>
                <w:rFonts w:hint="default"/>
                <w:lang w:val="en-US" w:eastAsia="zh-CN"/>
              </w:rPr>
            </w:pPr>
            <w:r>
              <w:rPr>
                <w:rFonts w:hint="default"/>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35FFE765">
            <w:pPr>
              <w:pStyle w:val="29"/>
              <w:ind w:firstLine="480"/>
              <w:rPr>
                <w:rFonts w:hint="default"/>
                <w:lang w:val="en-US" w:eastAsia="zh-CN"/>
              </w:rPr>
            </w:pPr>
            <w:r>
              <w:rPr>
                <w:rFonts w:hint="default"/>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2A512DAA">
            <w:pPr>
              <w:pStyle w:val="29"/>
              <w:ind w:left="0" w:leftChars="0" w:firstLine="0" w:firstLineChars="0"/>
              <w:rPr>
                <w:rFonts w:hint="default"/>
                <w:lang w:val="en-US" w:eastAsia="zh-CN"/>
              </w:rPr>
            </w:pPr>
            <w:r>
              <w:rPr>
                <w:rFonts w:hint="default"/>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ECABD83">
            <w:pPr>
              <w:pStyle w:val="29"/>
              <w:ind w:firstLine="480"/>
              <w:rPr>
                <w:rFonts w:hint="default"/>
                <w:lang w:val="en-US" w:eastAsia="zh-CN"/>
              </w:rPr>
            </w:pPr>
            <w:r>
              <w:rPr>
                <w:rFonts w:hint="default"/>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5A210FAA">
            <w:pPr>
              <w:pStyle w:val="29"/>
              <w:ind w:left="0" w:leftChars="0" w:firstLine="0" w:firstLineChars="0"/>
              <w:rPr>
                <w:rFonts w:hint="default"/>
                <w:lang w:val="en-US" w:eastAsia="zh-CN"/>
              </w:rPr>
            </w:pPr>
            <w:r>
              <w:rPr>
                <w:rFonts w:hint="default"/>
                <w:lang w:val="en-US" w:eastAsia="zh-CN"/>
              </w:rPr>
              <w:t>购电量/kWh</w:t>
            </w:r>
          </w:p>
        </w:tc>
      </w:tr>
      <w:tr w14:paraId="549708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742765CE">
            <w:pPr>
              <w:pStyle w:val="29"/>
              <w:ind w:firstLine="480"/>
              <w:rPr>
                <w:rFonts w:hint="default"/>
                <w:lang w:val="en-US" w:eastAsia="zh-CN"/>
              </w:rPr>
            </w:pPr>
            <w:r>
              <w:rPr>
                <w:rFonts w:hint="default"/>
                <w:lang w:val="en-US" w:eastAsia="zh-CN"/>
              </w:rPr>
              <w:t>10:00-10:10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52B3254F">
            <w:pPr>
              <w:pStyle w:val="29"/>
              <w:ind w:firstLine="480"/>
              <w:rPr>
                <w:rFonts w:hint="default"/>
                <w:lang w:val="en-US" w:eastAsia="zh-CN"/>
              </w:rPr>
            </w:pPr>
            <w:r>
              <w:rPr>
                <w:rFonts w:hint="default"/>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79687D1">
            <w:pPr>
              <w:pStyle w:val="29"/>
              <w:ind w:firstLine="480"/>
              <w:rPr>
                <w:rFonts w:hint="default"/>
                <w:lang w:val="en-US" w:eastAsia="zh-CN"/>
              </w:rPr>
            </w:pPr>
            <w:r>
              <w:rPr>
                <w:rFonts w:hint="default"/>
                <w:lang w:val="en-US" w:eastAsia="zh-CN"/>
              </w:rPr>
              <w:t>12:00-12:10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4D8F6618">
            <w:pPr>
              <w:pStyle w:val="29"/>
              <w:ind w:firstLine="480"/>
              <w:rPr>
                <w:rFonts w:hint="default"/>
                <w:lang w:val="en-US" w:eastAsia="zh-CN"/>
              </w:rPr>
            </w:pPr>
            <w:r>
              <w:rPr>
                <w:rFonts w:hint="default"/>
                <w:lang w:val="en-US" w:eastAsia="zh-CN"/>
              </w:rPr>
              <w:t>483.4077</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77E85A0">
            <w:pPr>
              <w:pStyle w:val="29"/>
              <w:ind w:firstLine="480"/>
              <w:rPr>
                <w:rFonts w:hint="default"/>
                <w:lang w:val="en-US" w:eastAsia="zh-CN"/>
              </w:rPr>
            </w:pPr>
            <w:r>
              <w:rPr>
                <w:rFonts w:hint="default"/>
                <w:lang w:val="en-US" w:eastAsia="zh-CN"/>
              </w:rPr>
              <w:t>14:00-14:10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7E12B3B">
            <w:pPr>
              <w:pStyle w:val="29"/>
              <w:ind w:firstLine="480"/>
              <w:rPr>
                <w:rFonts w:hint="default"/>
                <w:lang w:val="en-US" w:eastAsia="zh-CN"/>
              </w:rPr>
            </w:pPr>
            <w:r>
              <w:rPr>
                <w:rFonts w:hint="default"/>
                <w:lang w:val="en-US" w:eastAsia="zh-CN"/>
              </w:rPr>
              <w:t>0.0000</w:t>
            </w:r>
          </w:p>
        </w:tc>
      </w:tr>
      <w:tr w14:paraId="79B6B9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78BF215E">
            <w:pPr>
              <w:pStyle w:val="29"/>
              <w:ind w:firstLine="480"/>
              <w:rPr>
                <w:rFonts w:hint="default"/>
                <w:lang w:val="en-US" w:eastAsia="zh-CN"/>
              </w:rPr>
            </w:pPr>
            <w:r>
              <w:rPr>
                <w:rFonts w:hint="default"/>
                <w:lang w:val="en-US" w:eastAsia="zh-CN"/>
              </w:rPr>
              <w:t>16:00-16:10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72E1AE04">
            <w:pPr>
              <w:pStyle w:val="29"/>
              <w:ind w:firstLine="480"/>
              <w:rPr>
                <w:rFonts w:hint="default"/>
                <w:lang w:val="en-US" w:eastAsia="zh-CN"/>
              </w:rPr>
            </w:pPr>
            <w:r>
              <w:rPr>
                <w:rFonts w:hint="default"/>
                <w:lang w:val="en-US" w:eastAsia="zh-CN"/>
              </w:rPr>
              <w:t>420.1816</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7FB2E045">
            <w:pPr>
              <w:pStyle w:val="29"/>
              <w:ind w:firstLine="480"/>
              <w:rPr>
                <w:rFonts w:hint="default"/>
                <w:lang w:val="en-US" w:eastAsia="zh-CN"/>
              </w:rPr>
            </w:pPr>
            <w:r>
              <w:rPr>
                <w:rFonts w:hint="default"/>
                <w:lang w:val="en-US" w:eastAsia="zh-CN"/>
              </w:rPr>
              <w:t>18:00-18:10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0C83BD49">
            <w:pPr>
              <w:pStyle w:val="29"/>
              <w:ind w:firstLine="480"/>
              <w:rPr>
                <w:rFonts w:hint="default"/>
                <w:lang w:val="en-US" w:eastAsia="zh-CN"/>
              </w:rPr>
            </w:pPr>
            <w:r>
              <w:rPr>
                <w:rFonts w:hint="default"/>
                <w:lang w:val="en-US" w:eastAsia="zh-CN"/>
              </w:rPr>
              <w:t>639.0720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F792CAE">
            <w:pPr>
              <w:pStyle w:val="29"/>
              <w:ind w:firstLine="480"/>
              <w:rPr>
                <w:rFonts w:hint="default"/>
                <w:lang w:val="en-US" w:eastAsia="zh-CN"/>
              </w:rPr>
            </w:pPr>
            <w:r>
              <w:rPr>
                <w:rFonts w:hint="default"/>
                <w:lang w:val="en-US" w:eastAsia="zh-CN"/>
              </w:rPr>
              <w:t>20:00-20:10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5839F03">
            <w:pPr>
              <w:pStyle w:val="29"/>
              <w:ind w:firstLine="480"/>
              <w:rPr>
                <w:rFonts w:hint="default"/>
                <w:lang w:val="en-US" w:eastAsia="zh-CN"/>
              </w:rPr>
            </w:pPr>
            <w:r>
              <w:rPr>
                <w:rFonts w:hint="default"/>
                <w:lang w:val="en-US" w:eastAsia="zh-CN"/>
              </w:rPr>
              <w:t>0.0000</w:t>
            </w:r>
          </w:p>
        </w:tc>
      </w:tr>
    </w:tbl>
    <w:p w14:paraId="51C9BDB2">
      <w:pPr>
        <w:pStyle w:val="29"/>
        <w:ind w:firstLine="480"/>
        <w:rPr>
          <w:rFonts w:hint="default"/>
          <w:lang w:val="en-US" w:eastAsia="zh-CN"/>
        </w:rPr>
      </w:pPr>
      <w:r>
        <w:rPr>
          <w:rFonts w:hint="default"/>
          <w:lang w:val="en-US" w:eastAsia="zh-CN"/>
        </w:rPr>
        <w:t>全天购电量为57497.7585 kWh，全天购电费为33871.9391元。</w:t>
      </w:r>
    </w:p>
    <w:p w14:paraId="3C881880">
      <w:pPr>
        <w:pStyle w:val="29"/>
        <w:ind w:firstLine="480"/>
        <w:rPr>
          <w:rFonts w:hint="default"/>
          <w:lang w:val="en-US" w:eastAsia="zh-CN"/>
        </w:rPr>
      </w:pPr>
    </w:p>
    <w:p w14:paraId="70382C5F">
      <w:pPr>
        <w:pStyle w:val="29"/>
        <w:ind w:firstLine="480"/>
        <w:rPr>
          <w:rFonts w:hint="default"/>
          <w:lang w:val="en-US" w:eastAsia="zh-CN"/>
        </w:rPr>
      </w:pPr>
      <w:r>
        <w:rPr>
          <w:rFonts w:hint="eastAsia"/>
          <w:lang w:val="en-US" w:eastAsia="zh-CN"/>
        </w:rPr>
        <w:t>4.1.</w:t>
      </w:r>
      <w:r>
        <w:rPr>
          <w:rFonts w:hint="default"/>
          <w:lang w:val="en-US" w:eastAsia="zh-CN"/>
        </w:rPr>
        <w:t>6.2 储能充放电计划</w:t>
      </w:r>
    </w:p>
    <w:tbl>
      <w:tblPr>
        <w:tblW w:w="742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67"/>
        <w:gridCol w:w="1175"/>
        <w:gridCol w:w="1519"/>
        <w:gridCol w:w="1667"/>
        <w:gridCol w:w="1519"/>
        <w:gridCol w:w="1520"/>
      </w:tblGrid>
      <w:tr w14:paraId="705A5E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0EA31C9F">
            <w:pPr>
              <w:pStyle w:val="29"/>
              <w:ind w:firstLine="480"/>
              <w:rPr>
                <w:rFonts w:hint="default"/>
                <w:lang w:val="en-US" w:eastAsia="zh-CN"/>
              </w:rPr>
            </w:pPr>
            <w:r>
              <w:rPr>
                <w:rFonts w:hint="default"/>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34474056">
            <w:pPr>
              <w:pStyle w:val="29"/>
              <w:ind w:left="0" w:leftChars="0" w:firstLine="0" w:firstLineChars="0"/>
              <w:rPr>
                <w:rFonts w:hint="default"/>
                <w:lang w:val="en-US" w:eastAsia="zh-CN"/>
              </w:rPr>
            </w:pPr>
            <w:r>
              <w:rPr>
                <w:rFonts w:hint="default"/>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0A2208A5">
            <w:pPr>
              <w:pStyle w:val="29"/>
              <w:ind w:left="0" w:leftChars="0" w:firstLine="0" w:firstLineChars="0"/>
              <w:rPr>
                <w:rFonts w:hint="default"/>
                <w:lang w:val="en-US" w:eastAsia="zh-CN"/>
              </w:rPr>
            </w:pPr>
            <w:r>
              <w:rPr>
                <w:rFonts w:hint="default"/>
                <w:lang w:val="en-US" w:eastAsia="zh-CN"/>
              </w:rPr>
              <w:t>放电量/kWh</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57824864">
            <w:pPr>
              <w:pStyle w:val="29"/>
              <w:ind w:firstLine="480"/>
              <w:rPr>
                <w:rFonts w:hint="default"/>
                <w:lang w:val="en-US" w:eastAsia="zh-CN"/>
              </w:rPr>
            </w:pPr>
            <w:r>
              <w:rPr>
                <w:rFonts w:hint="default"/>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733719C9">
            <w:pPr>
              <w:pStyle w:val="29"/>
              <w:ind w:left="0" w:leftChars="0" w:firstLine="0" w:firstLineChars="0"/>
              <w:rPr>
                <w:rFonts w:hint="default"/>
                <w:lang w:val="en-US" w:eastAsia="zh-CN"/>
              </w:rPr>
            </w:pPr>
            <w:r>
              <w:rPr>
                <w:rFonts w:hint="default"/>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47529907">
            <w:pPr>
              <w:pStyle w:val="29"/>
              <w:ind w:left="0" w:leftChars="0" w:firstLine="0" w:firstLineChars="0"/>
              <w:rPr>
                <w:rFonts w:hint="default"/>
                <w:lang w:val="en-US" w:eastAsia="zh-CN"/>
              </w:rPr>
            </w:pPr>
            <w:r>
              <w:rPr>
                <w:rFonts w:hint="default"/>
                <w:lang w:val="en-US" w:eastAsia="zh-CN"/>
              </w:rPr>
              <w:t>放电量/kWh</w:t>
            </w:r>
          </w:p>
        </w:tc>
      </w:tr>
      <w:tr w14:paraId="12EFC0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7F599E4">
            <w:pPr>
              <w:pStyle w:val="29"/>
              <w:ind w:firstLine="480"/>
              <w:rPr>
                <w:rFonts w:hint="default"/>
                <w:lang w:val="en-US" w:eastAsia="zh-CN"/>
              </w:rPr>
            </w:pPr>
            <w:r>
              <w:rPr>
                <w:rFonts w:hint="default"/>
                <w:lang w:val="en-US" w:eastAsia="zh-CN"/>
              </w:rPr>
              <w:t>0:00-4:00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6E9DCABC">
            <w:pPr>
              <w:pStyle w:val="29"/>
              <w:ind w:left="0" w:leftChars="0" w:firstLine="0" w:firstLineChars="0"/>
              <w:rPr>
                <w:rFonts w:hint="default"/>
                <w:lang w:val="en-US" w:eastAsia="zh-CN"/>
              </w:rPr>
            </w:pPr>
            <w:r>
              <w:rPr>
                <w:rFonts w:hint="default"/>
                <w:lang w:val="en-US" w:eastAsia="zh-CN"/>
              </w:rPr>
              <w:t>4226.3109</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5A3D5CC3">
            <w:pPr>
              <w:pStyle w:val="29"/>
              <w:rPr>
                <w:rFonts w:hint="default"/>
                <w:lang w:val="en-US" w:eastAsia="zh-CN"/>
              </w:rPr>
            </w:pPr>
            <w:r>
              <w:rPr>
                <w:rFonts w:hint="default"/>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49135AC2">
            <w:pPr>
              <w:pStyle w:val="29"/>
              <w:ind w:firstLine="480"/>
              <w:rPr>
                <w:rFonts w:hint="default"/>
                <w:lang w:val="en-US" w:eastAsia="zh-CN"/>
              </w:rPr>
            </w:pPr>
            <w:r>
              <w:rPr>
                <w:rFonts w:hint="default"/>
                <w:lang w:val="en-US" w:eastAsia="zh-CN"/>
              </w:rPr>
              <w:t>4:00-8:00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A50A0D5">
            <w:pPr>
              <w:pStyle w:val="29"/>
              <w:ind w:firstLine="480"/>
              <w:rPr>
                <w:rFonts w:hint="default"/>
                <w:lang w:val="en-US" w:eastAsia="zh-CN"/>
              </w:rPr>
            </w:pPr>
            <w:r>
              <w:rPr>
                <w:rFonts w:hint="default"/>
                <w:lang w:val="en-US" w:eastAsia="zh-CN"/>
              </w:rPr>
              <w:t>833.3333</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30B78280">
            <w:pPr>
              <w:pStyle w:val="29"/>
              <w:ind w:firstLine="480"/>
              <w:rPr>
                <w:rFonts w:hint="default"/>
                <w:lang w:val="en-US" w:eastAsia="zh-CN"/>
              </w:rPr>
            </w:pPr>
            <w:r>
              <w:rPr>
                <w:rFonts w:hint="default"/>
                <w:lang w:val="en-US" w:eastAsia="zh-CN"/>
              </w:rPr>
              <w:t>6452.2006</w:t>
            </w:r>
          </w:p>
        </w:tc>
      </w:tr>
      <w:tr w14:paraId="51E535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3516321E">
            <w:pPr>
              <w:pStyle w:val="29"/>
              <w:ind w:firstLine="480"/>
              <w:rPr>
                <w:rFonts w:hint="default"/>
                <w:lang w:val="en-US" w:eastAsia="zh-CN"/>
              </w:rPr>
            </w:pPr>
            <w:r>
              <w:rPr>
                <w:rFonts w:hint="default"/>
                <w:lang w:val="en-US" w:eastAsia="zh-CN"/>
              </w:rPr>
              <w:t>8:00-12:00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3B45C3B4">
            <w:pPr>
              <w:pStyle w:val="29"/>
              <w:ind w:left="0" w:leftChars="0" w:firstLine="0" w:firstLineChars="0"/>
              <w:rPr>
                <w:rFonts w:hint="default"/>
                <w:lang w:val="en-US" w:eastAsia="zh-CN"/>
              </w:rPr>
            </w:pPr>
            <w:r>
              <w:rPr>
                <w:rFonts w:hint="default"/>
                <w:lang w:val="en-US" w:eastAsia="zh-CN"/>
              </w:rPr>
              <w:t>3951.1389</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27A7249A">
            <w:pPr>
              <w:pStyle w:val="29"/>
              <w:ind w:firstLine="480"/>
              <w:rPr>
                <w:rFonts w:hint="default"/>
                <w:lang w:val="en-US" w:eastAsia="zh-CN"/>
              </w:rPr>
            </w:pPr>
            <w:r>
              <w:rPr>
                <w:rFonts w:hint="default"/>
                <w:lang w:val="en-US" w:eastAsia="zh-CN"/>
              </w:rPr>
              <w:t>1903.4957</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49CC78D3">
            <w:pPr>
              <w:pStyle w:val="29"/>
              <w:ind w:firstLine="480"/>
              <w:rPr>
                <w:rFonts w:hint="default"/>
                <w:lang w:val="en-US" w:eastAsia="zh-CN"/>
              </w:rPr>
            </w:pPr>
            <w:r>
              <w:rPr>
                <w:rFonts w:hint="default"/>
                <w:lang w:val="en-US" w:eastAsia="zh-CN"/>
              </w:rPr>
              <w:t>12:00-16:00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4CADAC77">
            <w:pPr>
              <w:pStyle w:val="29"/>
              <w:ind w:firstLine="480"/>
              <w:rPr>
                <w:rFonts w:hint="default"/>
                <w:lang w:val="en-US" w:eastAsia="zh-CN"/>
              </w:rPr>
            </w:pPr>
            <w:r>
              <w:rPr>
                <w:rFonts w:hint="default"/>
                <w:lang w:val="en-US" w:eastAsia="zh-CN"/>
              </w:rPr>
              <w:t>5487.4333</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42E56FF">
            <w:pPr>
              <w:pStyle w:val="29"/>
              <w:ind w:firstLine="480"/>
              <w:rPr>
                <w:rFonts w:hint="default"/>
                <w:lang w:val="en-US" w:eastAsia="zh-CN"/>
              </w:rPr>
            </w:pPr>
            <w:r>
              <w:rPr>
                <w:rFonts w:hint="default"/>
                <w:lang w:val="en-US" w:eastAsia="zh-CN"/>
              </w:rPr>
              <w:t>139.0188</w:t>
            </w:r>
          </w:p>
        </w:tc>
      </w:tr>
      <w:tr w14:paraId="49D80C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A6E9CA2">
            <w:pPr>
              <w:pStyle w:val="29"/>
              <w:ind w:firstLine="480"/>
              <w:rPr>
                <w:rFonts w:hint="default"/>
                <w:lang w:val="en-US" w:eastAsia="zh-CN"/>
              </w:rPr>
            </w:pPr>
            <w:r>
              <w:rPr>
                <w:rFonts w:hint="default"/>
                <w:lang w:val="en-US" w:eastAsia="zh-CN"/>
              </w:rPr>
              <w:t>16:00-20:00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20AD90EF">
            <w:pPr>
              <w:pStyle w:val="29"/>
              <w:rPr>
                <w:rFonts w:hint="default"/>
                <w:lang w:val="en-US" w:eastAsia="zh-CN"/>
              </w:rPr>
            </w:pPr>
            <w:r>
              <w:rPr>
                <w:rFonts w:hint="default"/>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65E2C52">
            <w:pPr>
              <w:pStyle w:val="29"/>
              <w:ind w:firstLine="480"/>
              <w:rPr>
                <w:rFonts w:hint="default"/>
                <w:lang w:val="en-US" w:eastAsia="zh-CN"/>
              </w:rPr>
            </w:pPr>
            <w:r>
              <w:rPr>
                <w:rFonts w:hint="default"/>
                <w:lang w:val="en-US" w:eastAsia="zh-CN"/>
              </w:rPr>
              <w:t>5533.8346</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167DE77C">
            <w:pPr>
              <w:pStyle w:val="29"/>
              <w:ind w:firstLine="480"/>
              <w:rPr>
                <w:rFonts w:hint="default"/>
                <w:lang w:val="en-US" w:eastAsia="zh-CN"/>
              </w:rPr>
            </w:pPr>
            <w:r>
              <w:rPr>
                <w:rFonts w:hint="default"/>
                <w:lang w:val="en-US" w:eastAsia="zh-CN"/>
              </w:rPr>
              <w:t>20:00-24:00</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4D461382">
            <w:pPr>
              <w:pStyle w:val="29"/>
              <w:ind w:firstLine="480"/>
              <w:rPr>
                <w:rFonts w:hint="default"/>
                <w:lang w:val="en-US" w:eastAsia="zh-CN"/>
              </w:rPr>
            </w:pPr>
            <w:r>
              <w:rPr>
                <w:rFonts w:hint="default"/>
                <w:lang w:val="en-US" w:eastAsia="zh-CN"/>
              </w:rPr>
              <w:t>5059.6443</w:t>
            </w:r>
          </w:p>
        </w:tc>
        <w:tc>
          <w:tcPr>
            <w:tcW w:w="0" w:type="auto"/>
            <w:tcBorders>
              <w:top w:val="single" w:color="auto" w:sz="2" w:space="0"/>
              <w:left w:val="single" w:color="auto" w:sz="2" w:space="0"/>
              <w:bottom w:val="single" w:color="auto" w:sz="2" w:space="0"/>
              <w:right w:val="single" w:color="auto" w:sz="2" w:space="0"/>
            </w:tcBorders>
            <w:shd w:val="clear" w:color="auto" w:fill="FFFFFF"/>
            <w:tcMar>
              <w:left w:w="0" w:type="dxa"/>
              <w:right w:w="0" w:type="dxa"/>
            </w:tcMar>
            <w:vAlign w:val="top"/>
          </w:tcPr>
          <w:p w14:paraId="07796BD2">
            <w:pPr>
              <w:pStyle w:val="29"/>
              <w:ind w:firstLine="480"/>
              <w:rPr>
                <w:rFonts w:hint="default"/>
                <w:lang w:val="en-US" w:eastAsia="zh-CN"/>
              </w:rPr>
            </w:pPr>
            <w:r>
              <w:rPr>
                <w:rFonts w:hint="default"/>
                <w:lang w:val="en-US" w:eastAsia="zh-CN"/>
              </w:rPr>
              <w:t>3573.5251</w:t>
            </w:r>
          </w:p>
        </w:tc>
      </w:tr>
    </w:tbl>
    <w:p w14:paraId="79567DD1">
      <w:pPr>
        <w:pStyle w:val="29"/>
        <w:ind w:firstLine="480"/>
        <w:rPr>
          <w:rFonts w:hint="default"/>
          <w:lang w:val="en-US" w:eastAsia="zh-CN"/>
        </w:rPr>
      </w:pPr>
      <w:r>
        <w:rPr>
          <w:rFonts w:hint="default"/>
          <w:lang w:val="en-US" w:eastAsia="zh-CN"/>
        </w:rPr>
        <w:t>0:00储电量和24:00储电量均为6000 kWh。储能全天充电19557.8607 kWh，放电17602.0747 kWh。</w:t>
      </w:r>
    </w:p>
    <w:p w14:paraId="01935846">
      <w:pPr>
        <w:pStyle w:val="29"/>
        <w:ind w:firstLine="480"/>
        <w:rPr>
          <w:rFonts w:hint="default"/>
          <w:lang w:val="en-US" w:eastAsia="zh-CN"/>
        </w:rPr>
      </w:pPr>
    </w:p>
    <w:p w14:paraId="67D553E4">
      <w:pPr>
        <w:pStyle w:val="29"/>
        <w:ind w:left="0" w:leftChars="0" w:firstLine="0" w:firstLineChars="0"/>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5752465" cy="3566795"/>
            <wp:effectExtent l="0" t="0" r="635" b="1905"/>
            <wp:docPr id="9" name="图片 9" descr="屏幕截图 2026-09-11 16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9-11 163038"/>
                    <pic:cNvPicPr>
                      <a:picLocks noChangeAspect="1"/>
                    </pic:cNvPicPr>
                  </pic:nvPicPr>
                  <pic:blipFill>
                    <a:blip r:embed="rId12"/>
                    <a:stretch>
                      <a:fillRect/>
                    </a:stretch>
                  </pic:blipFill>
                  <pic:spPr>
                    <a:xfrm>
                      <a:off x="0" y="0"/>
                      <a:ext cx="5752465" cy="3566795"/>
                    </a:xfrm>
                    <a:prstGeom prst="rect">
                      <a:avLst/>
                    </a:prstGeom>
                  </pic:spPr>
                </pic:pic>
              </a:graphicData>
            </a:graphic>
          </wp:inline>
        </w:drawing>
      </w:r>
    </w:p>
    <w:p w14:paraId="1497B5E6">
      <w:pPr>
        <w:pStyle w:val="29"/>
        <w:ind w:left="0" w:leftChars="0" w:firstLine="2400" w:firstLineChars="1000"/>
        <w:rPr>
          <w:rFonts w:hint="eastAsia" w:eastAsia="宋体"/>
          <w:lang w:eastAsia="zh-CN"/>
        </w:rPr>
      </w:pPr>
      <w:r>
        <w:rPr>
          <w:rFonts w:hint="eastAsia"/>
          <w:lang w:val="en-US" w:eastAsia="zh-CN"/>
        </w:rPr>
        <w:t xml:space="preserve">图2 </w:t>
      </w:r>
      <w:r>
        <w:rPr>
          <w:rFonts w:hint="eastAsia" w:eastAsia="宋体"/>
          <w:lang w:eastAsia="zh-CN"/>
        </w:rPr>
        <w:t>问题一最优购电、储能运行和储电量变化</w:t>
      </w:r>
    </w:p>
    <w:p w14:paraId="2E501E59">
      <w:pPr>
        <w:pStyle w:val="29"/>
        <w:ind w:left="0" w:leftChars="0" w:firstLine="1440" w:firstLineChars="600"/>
        <w:rPr>
          <w:rFonts w:hint="eastAsia" w:eastAsia="宋体"/>
          <w:lang w:eastAsia="zh-CN"/>
        </w:rPr>
      </w:pPr>
    </w:p>
    <w:p w14:paraId="379241C6">
      <w:pPr>
        <w:pStyle w:val="29"/>
        <w:ind w:left="0" w:leftChars="0" w:firstLine="480" w:firstLineChars="200"/>
        <w:rPr>
          <w:rFonts w:hint="eastAsia" w:eastAsia="宋体"/>
          <w:lang w:eastAsia="zh-CN"/>
        </w:rPr>
      </w:pPr>
      <w:r>
        <w:rPr>
          <w:rFonts w:hint="eastAsia" w:eastAsia="宋体"/>
          <w:lang w:eastAsia="zh-CN"/>
        </w:rPr>
        <w:t>从图</w:t>
      </w:r>
      <w:r>
        <w:rPr>
          <w:rFonts w:hint="eastAsia"/>
          <w:lang w:val="en-US" w:eastAsia="zh-CN"/>
        </w:rPr>
        <w:t>2</w:t>
      </w:r>
      <w:r>
        <w:rPr>
          <w:rFonts w:hint="eastAsia" w:eastAsia="宋体"/>
          <w:lang w:eastAsia="zh-CN"/>
        </w:rPr>
        <w:t>可以看出，0:00至4:00储能集中充电，4:00至8:00储能放电；8:00至16:00光伏出力较大，储能利用富余光伏继续充电，16:00附近储电量达到10800 kWh；16:00以后储能集中放电，21:00附近储电量降至1200 kWh；22:00以后储能再次充电，最终储电量回到6000 kWh。</w:t>
      </w:r>
    </w:p>
    <w:p w14:paraId="5012C689">
      <w:pPr>
        <w:pStyle w:val="29"/>
        <w:ind w:left="0" w:leftChars="0" w:firstLine="480" w:firstLineChars="200"/>
        <w:rPr>
          <w:rFonts w:hint="eastAsia" w:eastAsia="宋体"/>
          <w:lang w:eastAsia="zh-CN"/>
        </w:rPr>
      </w:pPr>
    </w:p>
    <w:p w14:paraId="2D80FA5A">
      <w:pPr>
        <w:pStyle w:val="29"/>
        <w:ind w:left="0" w:leftChars="0" w:firstLine="480" w:firstLineChars="200"/>
        <w:rPr>
          <w:rFonts w:hint="default"/>
          <w:lang w:val="en-US" w:eastAsia="zh-CN"/>
        </w:rPr>
      </w:pPr>
      <w:r>
        <w:rPr>
          <w:rFonts w:hint="eastAsia"/>
          <w:lang w:val="en-US" w:eastAsia="zh-CN"/>
        </w:rPr>
        <w:t>4.1.6.3</w:t>
      </w:r>
      <w:r>
        <w:rPr>
          <w:rFonts w:hint="default"/>
          <w:lang w:val="en-US" w:eastAsia="zh-CN"/>
        </w:rPr>
        <w:t>可行性校验</w:t>
      </w:r>
    </w:p>
    <w:p w14:paraId="2580908C">
      <w:pPr>
        <w:pStyle w:val="29"/>
        <w:ind w:left="3836" w:leftChars="170" w:hanging="3360" w:hangingChars="1400"/>
        <w:jc w:val="both"/>
        <w:rPr>
          <w:rFonts w:hint="default"/>
          <w:lang w:val="en-US" w:eastAsia="zh-CN"/>
        </w:rPr>
      </w:pPr>
      <w:r>
        <w:rPr>
          <w:rFonts w:hint="default"/>
          <w:lang w:val="en-US" w:eastAsia="zh-CN"/>
        </w:rPr>
        <w:t>对于每个时段，定义功率平衡松弛量</w:t>
      </w:r>
      <w:r>
        <w:rPr>
          <w:rFonts w:hint="default"/>
          <w:lang w:val="en-US" w:eastAsia="zh-CN"/>
        </w:rPr>
        <w:br w:type="textWrapping"/>
      </w:r>
      <w:r>
        <w:rPr>
          <w:rFonts w:hint="default"/>
          <w:lang w:val="en-US" w:eastAsia="zh-CN"/>
        </w:rPr>
        <w:t>Rt=gt+St+dt−ct−Lt.</w:t>
      </w:r>
    </w:p>
    <w:p w14:paraId="4872D91D">
      <w:pPr>
        <w:pStyle w:val="29"/>
        <w:ind w:left="0" w:leftChars="0" w:firstLine="480" w:firstLineChars="200"/>
        <w:rPr>
          <w:rFonts w:hint="default"/>
          <w:lang w:val="en-US" w:eastAsia="zh-CN"/>
        </w:rPr>
      </w:pPr>
      <w:r>
        <w:rPr>
          <w:rFonts w:hint="default"/>
          <w:lang w:val="en-US" w:eastAsia="zh-CN"/>
        </w:rPr>
        <w:t>最优解中Rt的最小值为0，说明任意时段微网供电均不低于负荷，功率平衡约束满足。</w:t>
      </w:r>
    </w:p>
    <w:p w14:paraId="05FB8352">
      <w:pPr>
        <w:pStyle w:val="29"/>
        <w:ind w:left="0" w:leftChars="0" w:firstLine="480" w:firstLineChars="200"/>
        <w:rPr>
          <w:rFonts w:hint="default"/>
          <w:lang w:val="en-US" w:eastAsia="zh-CN"/>
        </w:rPr>
      </w:pPr>
      <w:r>
        <w:rPr>
          <w:rFonts w:hint="default"/>
          <w:lang w:val="en-US" w:eastAsia="zh-CN"/>
        </w:rPr>
        <w:t>储能储电量最小值为1200 kWh，最大值为10800 kWh，均位于给定运行范围内；0:00和24:00储电量均为6000 kWh，满足首末储电量一致性条件。</w:t>
      </w:r>
    </w:p>
    <w:p w14:paraId="6E07D120">
      <w:pPr>
        <w:pStyle w:val="29"/>
        <w:ind w:left="0" w:leftChars="0" w:firstLine="480" w:firstLineChars="200"/>
        <w:rPr>
          <w:rFonts w:hint="default"/>
          <w:lang w:val="en-US" w:eastAsia="zh-CN"/>
        </w:rPr>
      </w:pPr>
      <w:r>
        <w:rPr>
          <w:rFonts w:hint="default"/>
          <w:lang w:val="en-US" w:eastAsia="zh-CN"/>
        </w:rPr>
        <w:t>同时充放电时段数为0，说明0-1变量z</w:t>
      </w:r>
      <w:r>
        <w:rPr>
          <w:rFonts w:hint="default"/>
          <w:vertAlign w:val="subscript"/>
          <w:lang w:val="en-US" w:eastAsia="zh-CN"/>
        </w:rPr>
        <w:t>t</w:t>
      </w:r>
      <w:r>
        <w:rPr>
          <w:rFonts w:hint="default"/>
          <w:lang w:val="en-US" w:eastAsia="zh-CN"/>
        </w:rPr>
        <w:t>有效保证了充放电互斥。</w:t>
      </w:r>
    </w:p>
    <w:p w14:paraId="473C8AD8">
      <w:pPr>
        <w:pStyle w:val="29"/>
        <w:ind w:left="0" w:leftChars="0" w:firstLine="480" w:firstLineChars="200"/>
        <w:rPr>
          <w:rFonts w:hint="default"/>
          <w:lang w:val="en-US" w:eastAsia="zh-CN"/>
        </w:rPr>
      </w:pPr>
    </w:p>
    <w:p w14:paraId="06211598">
      <w:pPr>
        <w:pStyle w:val="29"/>
        <w:ind w:left="0" w:leftChars="0" w:firstLine="480" w:firstLineChars="200"/>
        <w:rPr>
          <w:rFonts w:hint="default"/>
          <w:lang w:val="en-US" w:eastAsia="zh-CN"/>
        </w:rPr>
      </w:pPr>
      <w:r>
        <w:rPr>
          <w:rFonts w:hint="eastAsia"/>
          <w:lang w:val="en-US" w:eastAsia="zh-CN"/>
        </w:rPr>
        <w:t>4.1.6.4</w:t>
      </w:r>
      <w:r>
        <w:rPr>
          <w:rFonts w:hint="default"/>
          <w:lang w:val="en-US" w:eastAsia="zh-CN"/>
        </w:rPr>
        <w:t>能量守恒校验</w:t>
      </w:r>
    </w:p>
    <w:p w14:paraId="5333553E">
      <w:pPr>
        <w:pStyle w:val="29"/>
        <w:ind w:left="0" w:leftChars="0" w:firstLine="480" w:firstLineChars="200"/>
        <w:rPr>
          <w:rFonts w:hint="default"/>
          <w:lang w:val="en-US" w:eastAsia="zh-CN"/>
        </w:rPr>
      </w:pPr>
      <w:r>
        <w:rPr>
          <w:rFonts w:hint="default"/>
          <w:lang w:val="en-US" w:eastAsia="zh-CN"/>
        </w:rPr>
        <w:t>由储能递推关系，一个完整日循环的净储电量变化为</w:t>
      </w:r>
      <w:r>
        <w:rPr>
          <w:rFonts w:hint="eastAsia"/>
          <w:lang w:val="en-US" w:eastAsia="zh-CN"/>
        </w:rPr>
        <w:t>：</w:t>
      </w:r>
    </w:p>
    <w:p w14:paraId="3E3C8BF4">
      <w:pPr>
        <w:pStyle w:val="29"/>
        <w:ind w:left="0" w:leftChars="0" w:firstLine="480" w:firstLineChars="200"/>
        <w:rPr>
          <w:rFonts w:hint="default"/>
          <w:lang w:val="en-US" w:eastAsia="zh-CN"/>
        </w:rPr>
      </w:pPr>
      <m:oMathPara>
        <m:oMathParaPr>
          <m:jc m:val="center"/>
        </m:oMathParaPr>
        <m:oMath>
          <m:r>
            <m:rPr/>
            <m:t>ΔE</m:t>
          </m:r>
          <m:r>
            <m:rPr>
              <m:sty m:val="p"/>
            </m:rPr>
            <m:t>=</m:t>
          </m:r>
          <m:sSub>
            <m:sSubPr/>
            <m:e>
              <m:r>
                <m:rPr/>
                <m:t>η</m:t>
              </m:r>
            </m:e>
            <m:sub>
              <m:r>
                <m:rPr/>
                <m:t>c</m:t>
              </m:r>
            </m:sub>
          </m:sSub>
          <m:nary>
            <m:naryPr>
              <m:chr m:val="∑"/>
              <m:limLoc m:val="undOvr"/>
            </m:naryPr>
            <m:sub>
              <m:r>
                <m:rPr/>
                <m:t>t</m:t>
              </m:r>
              <m:r>
                <m:rPr>
                  <m:sty m:val="p"/>
                </m:rPr>
                <m:t>=</m:t>
              </m:r>
              <m:r>
                <m:rPr/>
                <m:t>0</m:t>
              </m:r>
            </m:sub>
            <m:sup>
              <m:r>
                <m:rPr/>
                <m:t>T</m:t>
              </m:r>
              <m:r>
                <m:rPr>
                  <m:sty m:val="p"/>
                </m:rPr>
                <m:t>−</m:t>
              </m:r>
              <m:r>
                <m:rPr/>
                <m:t>1</m:t>
              </m:r>
            </m:sup>
            <m:e>
              <m:sSub>
                <m:sSubPr/>
                <m:e>
                  <m:r>
                    <m:rPr/>
                    <m:t>c</m:t>
                  </m:r>
                </m:e>
                <m:sub>
                  <m:r>
                    <m:rPr/>
                    <m:t>t</m:t>
                  </m:r>
                </m:sub>
              </m:sSub>
            </m:e>
          </m:nary>
          <m:r>
            <m:rPr>
              <m:sty m:val="p"/>
            </m:rPr>
            <m:t>−</m:t>
          </m:r>
          <m:f>
            <m:fPr/>
            <m:num>
              <m:r>
                <m:rPr/>
                <m:t>1</m:t>
              </m:r>
            </m:num>
            <m:den>
              <m:sSub>
                <m:sSubPr/>
                <m:e>
                  <m:r>
                    <m:rPr/>
                    <m:t>η</m:t>
                  </m:r>
                </m:e>
                <m:sub>
                  <m:r>
                    <m:rPr/>
                    <m:t>d</m:t>
                  </m:r>
                </m:sub>
              </m:sSub>
            </m:den>
          </m:f>
          <m:nary>
            <m:naryPr>
              <m:chr m:val="∑"/>
              <m:limLoc m:val="undOvr"/>
            </m:naryPr>
            <m:sub>
              <m:r>
                <m:rPr/>
                <m:t>t</m:t>
              </m:r>
              <m:r>
                <m:rPr>
                  <m:sty m:val="p"/>
                </m:rPr>
                <m:t>=</m:t>
              </m:r>
              <m:r>
                <m:rPr/>
                <m:t>0</m:t>
              </m:r>
            </m:sub>
            <m:sup>
              <m:r>
                <m:rPr/>
                <m:t>T</m:t>
              </m:r>
              <m:r>
                <m:rPr>
                  <m:sty m:val="p"/>
                </m:rPr>
                <m:t>−</m:t>
              </m:r>
              <m:r>
                <m:rPr/>
                <m:t>1</m:t>
              </m:r>
            </m:sup>
            <m:e>
              <m:sSub>
                <m:sSubPr/>
                <m:e>
                  <m:r>
                    <m:rPr/>
                    <m:t>d</m:t>
                  </m:r>
                </m:e>
                <m:sub>
                  <m:r>
                    <m:rPr/>
                    <m:t>t</m:t>
                  </m:r>
                </m:sub>
              </m:sSub>
            </m:e>
          </m:nary>
          <m:r>
            <m:rPr>
              <m:sty m:val="p"/>
            </m:rPr>
            <m:t>.</m:t>
          </m:r>
        </m:oMath>
      </m:oMathPara>
    </w:p>
    <w:p w14:paraId="1F4ACFA3">
      <w:pPr>
        <w:pStyle w:val="29"/>
        <w:ind w:left="0" w:leftChars="0" w:firstLine="480" w:firstLineChars="200"/>
        <w:rPr>
          <w:rFonts w:hint="default"/>
          <w:lang w:val="en-US" w:eastAsia="zh-CN"/>
        </w:rPr>
      </w:pPr>
      <w:r>
        <w:rPr>
          <w:rFonts w:hint="default"/>
          <w:lang w:val="en-US" w:eastAsia="zh-CN"/>
        </w:rPr>
        <w:t>代入最优解可得ΔE</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0，与0:00和24:00储电量均为6000 kWh的结果一致。能量平衡的最大数值残差约为10</w:t>
      </w:r>
      <w:r>
        <w:rPr>
          <w:rFonts w:hint="default"/>
          <w:vertAlign w:val="superscript"/>
          <w:lang w:val="en-US" w:eastAsia="zh-CN"/>
        </w:rPr>
        <w:t>−13</w:t>
      </w:r>
      <w:r>
        <w:rPr>
          <w:rFonts w:hint="default"/>
          <w:lang w:val="en-US" w:eastAsia="zh-CN"/>
        </w:rPr>
        <w:t xml:space="preserve"> kWh，属于求解器数值容差范围。</w:t>
      </w:r>
    </w:p>
    <w:p w14:paraId="72D707C4">
      <w:pPr>
        <w:pStyle w:val="29"/>
        <w:ind w:left="0" w:leftChars="0" w:firstLine="480" w:firstLineChars="200"/>
        <w:rPr>
          <w:rFonts w:hint="default"/>
          <w:lang w:val="en-US" w:eastAsia="zh-CN"/>
        </w:rPr>
      </w:pPr>
    </w:p>
    <w:p w14:paraId="25A17B55">
      <w:pPr>
        <w:pStyle w:val="29"/>
        <w:ind w:left="0" w:leftChars="0" w:firstLine="480" w:firstLineChars="200"/>
      </w:pPr>
      <w:r>
        <w:rPr>
          <w:rFonts w:hint="eastAsia"/>
          <w:lang w:val="en-US" w:eastAsia="zh-CN"/>
        </w:rPr>
        <w:t>4.1.6.5</w:t>
      </w:r>
      <w:r>
        <w:t>经济性校验</w:t>
      </w:r>
    </w:p>
    <w:p w14:paraId="58532862">
      <w:pPr>
        <w:pStyle w:val="29"/>
        <w:ind w:left="0" w:leftChars="0" w:firstLine="480" w:firstLineChars="200"/>
        <w:rPr>
          <w:rFonts w:hint="default"/>
          <w:lang w:val="en-US" w:eastAsia="zh-CN"/>
        </w:rPr>
      </w:pPr>
      <w:r>
        <w:rPr>
          <w:rFonts w:hint="default"/>
          <w:lang w:val="en-US" w:eastAsia="zh-CN"/>
        </w:rPr>
        <w:t>若不配置储能，多余光伏只能弃光</w:t>
      </w:r>
      <w:r>
        <w:rPr>
          <w:rFonts w:hint="eastAsia"/>
          <w:lang w:val="en-US" w:eastAsia="zh-CN"/>
        </w:rPr>
        <w:t>。无储能</w:t>
      </w:r>
      <w:r>
        <w:rPr>
          <w:rFonts w:hint="default"/>
          <w:lang w:val="en-US" w:eastAsia="zh-CN"/>
        </w:rPr>
        <w:t>方案各时段购电量为</w:t>
      </w:r>
    </w:p>
    <w:p w14:paraId="5CB56018">
      <w:pPr>
        <w:pStyle w:val="29"/>
        <w:ind w:left="0" w:leftChars="0" w:firstLine="480" w:firstLineChars="200"/>
        <w:rPr>
          <w:rFonts w:hint="default"/>
          <w:lang w:val="en-US" w:eastAsia="zh-CN"/>
        </w:rPr>
      </w:pPr>
      <m:oMathPara>
        <m:oMathParaPr>
          <m:jc m:val="center"/>
        </m:oMathParaPr>
        <m:oMath>
          <m:sSubSup>
            <m:sSubSupPr>
              <m:ctrlPr>
                <w:rPr>
                  <w:rFonts w:hint="default"/>
                  <w:lang w:val="en-US" w:eastAsia="zh-CN"/>
                </w:rPr>
              </m:ctrlPr>
            </m:sSubSupPr>
            <m:e>
              <m:r>
                <m:rPr>
                  <m:sty m:val="p"/>
                </m:rPr>
                <w:rPr>
                  <w:rFonts w:hint="default" w:ascii="Times New Roman" w:hAnsi="Times New Roman"/>
                  <w:lang w:val="en-US" w:eastAsia="zh-CN"/>
                </w:rPr>
                <m:t>g</m:t>
              </m:r>
              <m:ctrlPr>
                <w:rPr>
                  <w:rFonts w:hint="default"/>
                  <w:lang w:val="en-US" w:eastAsia="zh-CN"/>
                </w:rPr>
              </m:ctrlPr>
            </m:e>
            <m:sub>
              <m:r>
                <m:rPr>
                  <m:sty m:val="p"/>
                </m:rPr>
                <w:rPr>
                  <w:rFonts w:hint="default" w:ascii="Times New Roman" w:hAnsi="Times New Roman"/>
                  <w:lang w:val="en-US" w:eastAsia="zh-CN"/>
                </w:rPr>
                <m:t>t</m:t>
              </m:r>
              <m:ctrlPr>
                <w:rPr>
                  <w:rFonts w:hint="default"/>
                  <w:lang w:val="en-US" w:eastAsia="zh-CN"/>
                </w:rPr>
              </m:ctrlPr>
            </m:sub>
            <m:sup>
              <m:r>
                <m:rPr>
                  <m:sty m:val="p"/>
                </m:rPr>
                <w:rPr>
                  <w:rFonts w:hint="default" w:ascii="Times New Roman" w:hAnsi="Times New Roman"/>
                  <w:lang w:val="en-US" w:eastAsia="zh-CN"/>
                </w:rPr>
                <m:t>base</m:t>
              </m:r>
              <m:ctrlPr>
                <w:rPr>
                  <w:rFonts w:hint="default"/>
                  <w:lang w:val="en-US" w:eastAsia="zh-CN"/>
                </w:rPr>
              </m:ctrlPr>
            </m:sup>
          </m:sSubSup>
          <m:r>
            <m:rPr>
              <m:sty m:val="p"/>
            </m:rPr>
            <w:rPr>
              <w:rFonts w:hint="default" w:ascii="Times New Roman" w:hAnsi="Times New Roman"/>
              <w:lang w:val="en-US" w:eastAsia="zh-CN"/>
            </w:rPr>
            <m:t>=</m:t>
          </m:r>
          <m:r>
            <m:rPr>
              <m:nor/>
              <m:sty m:val="p"/>
            </m:rPr>
            <w:rPr>
              <w:rFonts w:hint="default" w:ascii="Times New Roman" w:hAnsi="Times New Roman"/>
              <w:lang w:val="en-US" w:eastAsia="zh-CN"/>
            </w:rPr>
            <m:t>max</m:t>
          </m:r>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L</m:t>
              </m:r>
              <m:ctrlPr>
                <w:rPr>
                  <w:rFonts w:hint="default"/>
                  <w:lang w:val="en-US" w:eastAsia="zh-CN"/>
                </w:rPr>
              </m:ctrlPr>
            </m:e>
            <m:sub>
              <m:r>
                <m:rPr>
                  <m:sty m:val="p"/>
                </m:rPr>
                <w:rPr>
                  <w:rFonts w:hint="default" w:ascii="Times New Roman" w:hAnsi="Times New Roman"/>
                  <w:lang w:val="en-US" w:eastAsia="zh-CN"/>
                </w:rPr>
                <m:t>t</m:t>
              </m:r>
              <m:ctrlPr>
                <w:rPr>
                  <w:rFonts w:hint="default"/>
                  <w:lang w:val="en-US" w:eastAsia="zh-CN"/>
                </w:rPr>
              </m:ctrlPr>
            </m:sub>
          </m:sSub>
          <m:r>
            <m:rPr>
              <m:sty m:val="p"/>
            </m:rPr>
            <w:rPr>
              <w:rFonts w:hint="default" w:ascii="Times New Roman" w:hAnsi="Times New Roman"/>
              <w:lang w:val="en-US" w:eastAsia="zh-CN"/>
            </w:rPr>
            <m:t>−</m:t>
          </m:r>
          <m:sSub>
            <m:sSubPr>
              <m:ctrlPr>
                <w:rPr>
                  <w:rFonts w:hint="default"/>
                  <w:lang w:val="en-US" w:eastAsia="zh-CN"/>
                </w:rPr>
              </m:ctrlPr>
            </m:sSubPr>
            <m:e>
              <m:r>
                <m:rPr>
                  <m:sty m:val="p"/>
                </m:rPr>
                <w:rPr>
                  <w:rFonts w:hint="default" w:ascii="Times New Roman" w:hAnsi="Times New Roman"/>
                  <w:lang w:val="en-US" w:eastAsia="zh-CN"/>
                </w:rPr>
                <m:t>S</m:t>
              </m:r>
              <m:ctrlPr>
                <w:rPr>
                  <w:rFonts w:hint="default"/>
                  <w:lang w:val="en-US" w:eastAsia="zh-CN"/>
                </w:rPr>
              </m:ctrlPr>
            </m:e>
            <m:sub>
              <m:r>
                <m:rPr>
                  <m:sty m:val="p"/>
                </m:rPr>
                <w:rPr>
                  <w:rFonts w:hint="default" w:ascii="Times New Roman" w:hAnsi="Times New Roman"/>
                  <w:lang w:val="en-US" w:eastAsia="zh-CN"/>
                </w:rPr>
                <m:t>t</m:t>
              </m:r>
              <m:ctrlPr>
                <w:rPr>
                  <w:rFonts w:hint="default"/>
                  <w:lang w:val="en-US" w:eastAsia="zh-CN"/>
                </w:rPr>
              </m:ctrlPr>
            </m:sub>
          </m:sSub>
          <m:r>
            <m:rPr>
              <m:sty m:val="p"/>
            </m:rPr>
            <w:rPr>
              <w:rFonts w:hint="default" w:ascii="Times New Roman" w:hAnsi="Times New Roman"/>
              <w:lang w:val="en-US" w:eastAsia="zh-CN"/>
            </w:rPr>
            <m:t>,0).</m:t>
          </m:r>
        </m:oMath>
      </m:oMathPara>
    </w:p>
    <w:p w14:paraId="5802DD71">
      <w:pPr>
        <w:pStyle w:val="29"/>
        <w:ind w:left="0" w:leftChars="0" w:firstLine="480" w:firstLineChars="200"/>
        <w:rPr>
          <w:rFonts w:hint="default"/>
          <w:lang w:val="en-US" w:eastAsia="zh-CN"/>
        </w:rPr>
      </w:pPr>
      <w:r>
        <w:rPr>
          <w:rFonts w:hint="eastAsia"/>
          <w:lang w:val="en-US" w:eastAsia="zh-CN"/>
        </w:rPr>
        <w:t>由此公式，计算得该</w:t>
      </w:r>
      <w:r>
        <w:rPr>
          <w:rFonts w:hint="default"/>
          <w:lang w:val="en-US" w:eastAsia="zh-CN"/>
        </w:rPr>
        <w:t>方案全天购电量为61773.0958 kWh，购电费为48004.7614元。</w:t>
      </w:r>
      <w:r>
        <w:rPr>
          <w:rFonts w:hint="eastAsia"/>
          <w:lang w:val="en-US" w:eastAsia="zh-CN"/>
        </w:rPr>
        <w:t>对比使用储能后的</w:t>
      </w:r>
      <w:r>
        <w:rPr>
          <w:rFonts w:hint="default"/>
          <w:lang w:val="en-US" w:eastAsia="zh-CN"/>
        </w:rPr>
        <w:t>方案</w:t>
      </w:r>
      <w:r>
        <w:rPr>
          <w:rFonts w:hint="eastAsia"/>
          <w:lang w:val="en-US" w:eastAsia="zh-CN"/>
        </w:rPr>
        <w:t>，</w:t>
      </w:r>
      <w:r>
        <w:rPr>
          <w:rFonts w:hint="default"/>
          <w:lang w:val="en-US" w:eastAsia="zh-CN"/>
        </w:rPr>
        <w:t>购电费为33871.9391元，节约14132.8223元，降幅29.44%。结果表明，储能通过低价时段充电、高价时段放电，能够显著降低微网购电成本。</w:t>
      </w:r>
    </w:p>
    <w:p w14:paraId="1288ED14">
      <w:pPr>
        <w:pStyle w:val="29"/>
        <w:ind w:left="0" w:leftChars="0" w:firstLine="480" w:firstLineChars="200"/>
        <w:rPr>
          <w:rFonts w:hint="default"/>
          <w:lang w:val="en-US" w:eastAsia="zh-CN"/>
        </w:rPr>
      </w:pPr>
      <w:r>
        <w:rPr>
          <w:rFonts w:hint="default"/>
          <w:lang w:val="en-US" w:eastAsia="zh-CN"/>
        </w:rPr>
        <w:drawing>
          <wp:inline distT="0" distB="0" distL="114300" distR="114300">
            <wp:extent cx="5253355" cy="2868295"/>
            <wp:effectExtent l="0" t="0" r="4445" b="1905"/>
            <wp:docPr id="6" name="Picture" descr="图5 有储能与无储能方案购电费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图5 有储能与无储能方案购电费对比"/>
                    <pic:cNvPicPr>
                      <a:picLocks noChangeAspect="1" noChangeArrowheads="1"/>
                    </pic:cNvPicPr>
                  </pic:nvPicPr>
                  <pic:blipFill>
                    <a:blip r:embed="rId18"/>
                    <a:stretch>
                      <a:fillRect/>
                    </a:stretch>
                  </pic:blipFill>
                  <pic:spPr>
                    <a:xfrm>
                      <a:off x="0" y="0"/>
                      <a:ext cx="5253977" cy="2868585"/>
                    </a:xfrm>
                    <a:prstGeom prst="rect">
                      <a:avLst/>
                    </a:prstGeom>
                    <a:noFill/>
                    <a:ln w="9525">
                      <a:noFill/>
                    </a:ln>
                  </pic:spPr>
                </pic:pic>
              </a:graphicData>
            </a:graphic>
          </wp:inline>
        </w:drawing>
      </w:r>
    </w:p>
    <w:p w14:paraId="7CE8C630">
      <w:pPr>
        <w:pStyle w:val="29"/>
        <w:ind w:left="0" w:leftChars="0" w:firstLine="480" w:firstLineChars="200"/>
        <w:rPr>
          <w:rFonts w:hint="default"/>
          <w:lang w:val="en-US" w:eastAsia="zh-CN"/>
        </w:rPr>
      </w:pPr>
      <w:r>
        <w:rPr>
          <w:rFonts w:hint="default"/>
          <w:lang w:val="en-US" w:eastAsia="zh-CN"/>
        </w:rPr>
        <w:t>图5 有储能与无储能方案购电费对比</w:t>
      </w:r>
    </w:p>
    <w:p w14:paraId="4454D68F">
      <w:pPr>
        <w:pStyle w:val="29"/>
        <w:ind w:left="0" w:leftChars="0" w:firstLine="480" w:firstLineChars="200"/>
        <w:rPr>
          <w:rFonts w:hint="default"/>
          <w:lang w:val="en-US" w:eastAsia="zh-CN"/>
        </w:rPr>
      </w:pPr>
    </w:p>
    <w:p w14:paraId="139CDF53">
      <w:pPr>
        <w:pStyle w:val="29"/>
        <w:ind w:left="0" w:leftChars="0" w:firstLine="480" w:firstLineChars="200"/>
        <w:rPr>
          <w:rFonts w:hint="eastAsia"/>
          <w:lang w:val="en-US" w:eastAsia="zh-CN"/>
        </w:rPr>
      </w:pPr>
      <w:r>
        <w:rPr>
          <w:rFonts w:hint="eastAsia"/>
          <w:lang w:val="en-US" w:eastAsia="zh-CN"/>
        </w:rPr>
        <w:t>4.1.7模型评价</w:t>
      </w:r>
    </w:p>
    <w:p w14:paraId="16C8506C">
      <w:pPr>
        <w:pStyle w:val="29"/>
        <w:ind w:left="0" w:leftChars="0" w:firstLine="480" w:firstLineChars="200"/>
        <w:rPr>
          <w:rFonts w:hint="default"/>
          <w:lang w:val="en-US" w:eastAsia="zh-CN"/>
        </w:rPr>
      </w:pPr>
      <w:r>
        <w:rPr>
          <w:rFonts w:hint="eastAsia"/>
          <w:lang w:val="en-US" w:eastAsia="zh-CN"/>
        </w:rPr>
        <w:t>4.1.7.1</w:t>
      </w:r>
      <w:r>
        <w:rPr>
          <w:rFonts w:hint="default"/>
          <w:lang w:val="en-US" w:eastAsia="zh-CN"/>
        </w:rPr>
        <w:t>模型优点</w:t>
      </w:r>
    </w:p>
    <w:p w14:paraId="002BAD28">
      <w:pPr>
        <w:pStyle w:val="29"/>
        <w:ind w:left="0" w:leftChars="0" w:firstLine="480" w:firstLineChars="200"/>
        <w:rPr>
          <w:rFonts w:hint="eastAsia"/>
          <w:lang w:val="en-US" w:eastAsia="zh-CN"/>
        </w:rPr>
      </w:pPr>
      <w:r>
        <w:rPr>
          <w:rFonts w:hint="eastAsia"/>
          <w:lang w:val="en-US" w:eastAsia="zh-CN"/>
        </w:rPr>
        <w:t>首先，该</w:t>
      </w:r>
      <w:r>
        <w:rPr>
          <w:rFonts w:hint="default"/>
          <w:lang w:val="en-US" w:eastAsia="zh-CN"/>
        </w:rPr>
        <w:t>模型通过引入0-1充放电状态变量</w:t>
      </w:r>
      <w:r>
        <w:rPr>
          <w:rFonts w:hint="eastAsia"/>
          <w:lang w:val="en-US" w:eastAsia="zh-CN"/>
        </w:rPr>
        <w:t>z</w:t>
      </w:r>
      <w:r>
        <w:rPr>
          <w:rFonts w:hint="default"/>
          <w:lang w:val="en-US" w:eastAsia="zh-CN"/>
        </w:rPr>
        <w:t>，从约束层面严格避免了同一时段同时充放电，物理含义清晰；</w:t>
      </w:r>
      <w:r>
        <w:rPr>
          <w:rFonts w:hint="eastAsia"/>
          <w:lang w:val="en-US" w:eastAsia="zh-CN"/>
        </w:rPr>
        <w:t>其次，</w:t>
      </w:r>
      <w:r>
        <w:rPr>
          <w:rFonts w:hint="default"/>
          <w:lang w:val="en-US" w:eastAsia="zh-CN"/>
        </w:rPr>
        <w:t>目标函数和约束均为线性，模型规模较小，</w:t>
      </w:r>
      <w:r>
        <w:rPr>
          <w:rFonts w:hint="eastAsia"/>
          <w:lang w:val="en-US" w:eastAsia="zh-CN"/>
        </w:rPr>
        <w:t>在开源且适合中小规模问题的求解器</w:t>
      </w:r>
      <w:r>
        <w:rPr>
          <w:rFonts w:hint="default"/>
          <w:lang w:val="en-US" w:eastAsia="zh-CN"/>
        </w:rPr>
        <w:t>GLPK_MI</w:t>
      </w:r>
      <w:r>
        <w:rPr>
          <w:rFonts w:hint="eastAsia"/>
          <w:lang w:val="en-US" w:eastAsia="zh-CN"/>
        </w:rPr>
        <w:t>即可</w:t>
      </w:r>
      <w:r>
        <w:rPr>
          <w:rFonts w:hint="default"/>
          <w:lang w:val="en-US" w:eastAsia="zh-CN"/>
        </w:rPr>
        <w:t>求得全局最优解；</w:t>
      </w:r>
      <w:r>
        <w:rPr>
          <w:rFonts w:hint="eastAsia"/>
          <w:lang w:val="en-US" w:eastAsia="zh-CN"/>
        </w:rPr>
        <w:t>最后，在模型假设中，我们使用</w:t>
      </w:r>
      <w:r>
        <w:rPr>
          <w:rFonts w:hint="default"/>
          <w:lang w:val="en-US" w:eastAsia="zh-CN"/>
        </w:rPr>
        <w:t>相邻时间点平均处理</w:t>
      </w:r>
      <w:r>
        <w:rPr>
          <w:rFonts w:hint="eastAsia"/>
          <w:lang w:val="en-US" w:eastAsia="zh-CN"/>
        </w:rPr>
        <w:t>，</w:t>
      </w:r>
      <w:r>
        <w:rPr>
          <w:rFonts w:hint="default"/>
          <w:lang w:val="en-US" w:eastAsia="zh-CN"/>
        </w:rPr>
        <w:t>提高了时段电量的估计合理性</w:t>
      </w:r>
      <w:r>
        <w:rPr>
          <w:rFonts w:hint="eastAsia"/>
          <w:lang w:val="en-US" w:eastAsia="zh-CN"/>
        </w:rPr>
        <w:t>。</w:t>
      </w:r>
    </w:p>
    <w:p w14:paraId="5FF85CE5">
      <w:pPr>
        <w:pStyle w:val="29"/>
        <w:ind w:left="0" w:leftChars="0" w:firstLine="480" w:firstLineChars="200"/>
        <w:rPr>
          <w:rFonts w:hint="eastAsia"/>
          <w:lang w:val="en-US" w:eastAsia="zh-CN"/>
        </w:rPr>
      </w:pPr>
    </w:p>
    <w:p w14:paraId="6AABEBD9">
      <w:pPr>
        <w:pStyle w:val="29"/>
        <w:ind w:left="0" w:leftChars="0" w:firstLine="480" w:firstLineChars="200"/>
        <w:rPr>
          <w:rFonts w:hint="default"/>
          <w:lang w:val="en-US" w:eastAsia="zh-CN"/>
        </w:rPr>
      </w:pPr>
      <w:r>
        <w:rPr>
          <w:rFonts w:hint="eastAsia"/>
          <w:lang w:val="en-US" w:eastAsia="zh-CN"/>
        </w:rPr>
        <w:t>4.1.7.2</w:t>
      </w:r>
      <w:r>
        <w:rPr>
          <w:rFonts w:hint="default"/>
          <w:lang w:val="en-US" w:eastAsia="zh-CN"/>
        </w:rPr>
        <w:t>模型局限</w:t>
      </w:r>
    </w:p>
    <w:p w14:paraId="61D8258B">
      <w:pPr>
        <w:pStyle w:val="29"/>
        <w:ind w:left="0" w:leftChars="0" w:firstLine="480" w:firstLineChars="200"/>
        <w:rPr>
          <w:rFonts w:hint="default"/>
          <w:lang w:val="en-US" w:eastAsia="zh-CN"/>
        </w:rPr>
      </w:pPr>
      <w:r>
        <w:rPr>
          <w:rFonts w:hint="eastAsia"/>
          <w:lang w:val="en-US" w:eastAsia="zh-CN"/>
        </w:rPr>
        <w:t>本</w:t>
      </w:r>
      <w:r>
        <w:rPr>
          <w:rFonts w:hint="default"/>
          <w:lang w:val="en-US" w:eastAsia="zh-CN"/>
        </w:rPr>
        <w:t>模型主要针对单日完全信息条件，尚未考虑光伏预测误差、实时电价波动、储能寿命损耗和售电收益。</w:t>
      </w:r>
      <w:r>
        <w:rPr>
          <w:rFonts w:hint="eastAsia"/>
          <w:lang w:val="en-US" w:eastAsia="zh-CN"/>
        </w:rPr>
        <w:t>在</w:t>
      </w:r>
      <w:r>
        <w:rPr>
          <w:rFonts w:hint="default"/>
          <w:lang w:val="en-US" w:eastAsia="zh-CN"/>
        </w:rPr>
        <w:t>后续问题</w:t>
      </w:r>
      <w:r>
        <w:rPr>
          <w:rFonts w:hint="eastAsia"/>
          <w:lang w:val="en-US" w:eastAsia="zh-CN"/>
        </w:rPr>
        <w:t>的求解中我们将</w:t>
      </w:r>
      <w:r>
        <w:rPr>
          <w:rFonts w:hint="default"/>
          <w:lang w:val="en-US" w:eastAsia="zh-CN"/>
        </w:rPr>
        <w:t>在本模型基础上引入相应</w:t>
      </w:r>
      <w:r>
        <w:rPr>
          <w:rFonts w:hint="eastAsia"/>
          <w:lang w:val="en-US" w:eastAsia="zh-CN"/>
        </w:rPr>
        <w:t>内容和对应模型</w:t>
      </w:r>
      <w:r>
        <w:rPr>
          <w:rFonts w:hint="default"/>
          <w:lang w:val="en-US" w:eastAsia="zh-CN"/>
        </w:rPr>
        <w:t>。</w:t>
      </w:r>
    </w:p>
    <w:p w14:paraId="4CD36D02">
      <w:pPr>
        <w:pStyle w:val="29"/>
        <w:ind w:left="0" w:leftChars="0" w:firstLine="480" w:firstLineChars="200"/>
        <w:rPr>
          <w:rFonts w:hint="default"/>
          <w:lang w:val="en-US" w:eastAsia="zh-CN"/>
        </w:rPr>
      </w:pPr>
    </w:p>
    <w:p w14:paraId="67B804EB">
      <w:pPr>
        <w:pStyle w:val="29"/>
        <w:ind w:left="0" w:leftChars="0" w:firstLine="480" w:firstLineChars="200"/>
        <w:rPr>
          <w:rFonts w:hint="default"/>
          <w:lang w:val="en-US" w:eastAsia="zh-CN"/>
        </w:rPr>
      </w:pPr>
      <w:r>
        <w:rPr>
          <w:rFonts w:hint="eastAsia"/>
          <w:lang w:val="en-US" w:eastAsia="zh-CN"/>
        </w:rPr>
        <w:t>4.1.8</w:t>
      </w:r>
      <w:r>
        <w:rPr>
          <w:rFonts w:hint="default"/>
          <w:lang w:val="en-US" w:eastAsia="zh-CN"/>
        </w:rPr>
        <w:t>结论</w:t>
      </w:r>
    </w:p>
    <w:p w14:paraId="37AE0A54">
      <w:pPr>
        <w:pStyle w:val="29"/>
        <w:ind w:left="0" w:leftChars="0" w:firstLine="480" w:firstLineChars="200"/>
        <w:rPr>
          <w:rFonts w:hint="default"/>
          <w:lang w:val="en-US" w:eastAsia="zh-CN"/>
        </w:rPr>
      </w:pPr>
      <w:r>
        <w:rPr>
          <w:rFonts w:hint="eastAsia"/>
          <w:lang w:val="en-US" w:eastAsia="zh-CN"/>
        </w:rPr>
        <w:t>为了求解问题一，我们</w:t>
      </w:r>
      <w:r>
        <w:rPr>
          <w:rFonts w:hint="default"/>
          <w:lang w:val="en-US" w:eastAsia="zh-CN"/>
        </w:rPr>
        <w:t>建立了带0-1充放电状态变量的混合整数线性规划模型，并通过相邻时间点平均方法完成数据预处理。最终方案全天购电量为57497.7585 kWh，购电费为33871.9391元，储能全天充电19557.8607 kWh、放电17602.0747 kWh，首末储电量均为6000 kWh。模型从约束层面严格避免了同时充放电，并具有较好的经济性和稳定性。</w:t>
      </w:r>
      <w:bookmarkStart w:id="31" w:name="_GoBack"/>
      <w:bookmarkEnd w:id="31"/>
    </w:p>
    <w:p w14:paraId="53125BEE">
      <w:pPr>
        <w:pStyle w:val="29"/>
        <w:ind w:left="0" w:leftChars="0" w:firstLine="480" w:firstLineChars="200"/>
        <w:rPr>
          <w:rFonts w:hint="default"/>
          <w:lang w:val="en-US" w:eastAsia="zh-CN"/>
        </w:rPr>
      </w:pPr>
    </w:p>
    <w:p w14:paraId="5B52C5F7">
      <w:pPr>
        <w:pStyle w:val="29"/>
        <w:ind w:left="0" w:leftChars="0" w:firstLine="480" w:firstLineChars="200"/>
        <w:rPr>
          <w:rFonts w:hint="default"/>
          <w:lang w:val="en-US" w:eastAsia="zh-CN"/>
        </w:rPr>
      </w:pPr>
    </w:p>
    <w:p w14:paraId="06959905">
      <w:pPr>
        <w:pStyle w:val="29"/>
        <w:ind w:left="0" w:leftChars="0" w:firstLine="480" w:firstLineChars="200"/>
        <w:rPr>
          <w:rFonts w:hint="default"/>
          <w:lang w:val="en-US" w:eastAsia="zh-CN"/>
        </w:rPr>
      </w:pPr>
    </w:p>
    <w:p w14:paraId="09D9599E">
      <w:pPr>
        <w:pStyle w:val="29"/>
        <w:ind w:left="0" w:leftChars="0" w:firstLine="480" w:firstLineChars="200"/>
      </w:pPr>
    </w:p>
    <w:p w14:paraId="1D89F4E4">
      <w:pPr>
        <w:pStyle w:val="29"/>
        <w:ind w:left="0" w:leftChars="0" w:firstLine="480" w:firstLineChars="200"/>
      </w:pPr>
    </w:p>
    <w:p w14:paraId="70C21549">
      <w:pPr>
        <w:pStyle w:val="29"/>
        <w:ind w:left="0" w:leftChars="0" w:firstLine="480" w:firstLineChars="200"/>
      </w:pPr>
    </w:p>
    <w:p w14:paraId="05FFABCA">
      <w:pPr>
        <w:pStyle w:val="29"/>
        <w:ind w:left="0" w:leftChars="0" w:firstLine="480" w:firstLineChars="200"/>
      </w:pPr>
    </w:p>
    <w:p w14:paraId="7BEDE34A">
      <w:pPr>
        <w:pStyle w:val="29"/>
        <w:ind w:left="0" w:leftChars="0" w:firstLine="480" w:firstLineChars="200"/>
      </w:pPr>
    </w:p>
    <w:p w14:paraId="1A4C4393">
      <w:pPr>
        <w:pStyle w:val="29"/>
        <w:ind w:left="0" w:leftChars="0" w:firstLine="480" w:firstLineChars="200"/>
        <w:rPr>
          <w:rFonts w:hint="default"/>
          <w:lang w:val="en-US" w:eastAsia="zh-CN"/>
        </w:rPr>
      </w:pPr>
    </w:p>
    <w:p w14:paraId="58B1AC0A">
      <w:pPr>
        <w:pStyle w:val="29"/>
        <w:ind w:left="0" w:leftChars="0" w:firstLine="480" w:firstLineChars="200"/>
        <w:rPr>
          <w:rFonts w:hint="default"/>
          <w:lang w:val="en-US" w:eastAsia="zh-CN"/>
        </w:rPr>
      </w:pPr>
    </w:p>
    <w:p w14:paraId="4C44495F">
      <w:pPr>
        <w:pStyle w:val="29"/>
        <w:ind w:left="0" w:leftChars="0" w:firstLine="480" w:firstLineChars="200"/>
        <w:rPr>
          <w:rFonts w:hint="default"/>
          <w:lang w:val="en-US" w:eastAsia="zh-CN"/>
        </w:rPr>
      </w:pPr>
    </w:p>
    <w:p w14:paraId="6D02347C">
      <w:pPr>
        <w:pStyle w:val="29"/>
        <w:ind w:left="0" w:leftChars="0" w:firstLine="480" w:firstLineChars="200"/>
        <w:rPr>
          <w:rFonts w:hint="default"/>
          <w:lang w:val="en-US" w:eastAsia="zh-CN"/>
        </w:rPr>
      </w:pPr>
    </w:p>
    <w:p w14:paraId="780F4CEB">
      <w:pPr>
        <w:pStyle w:val="29"/>
        <w:ind w:left="0" w:leftChars="0" w:firstLine="0" w:firstLineChars="0"/>
        <w:rPr>
          <w:rFonts w:hint="eastAsia" w:eastAsia="宋体"/>
          <w:lang w:eastAsia="zh-CN"/>
        </w:rPr>
      </w:pPr>
    </w:p>
    <w:p w14:paraId="7E0042AB">
      <w:pPr>
        <w:pStyle w:val="29"/>
        <w:ind w:firstLine="480"/>
      </w:pPr>
    </w:p>
    <w:p w14:paraId="0E3A11A6">
      <w:pPr>
        <w:pStyle w:val="29"/>
      </w:pPr>
    </w:p>
    <w:p w14:paraId="03CB17CB">
      <w:pPr>
        <w:pStyle w:val="48"/>
      </w:pPr>
    </w:p>
    <w:p w14:paraId="315C0C40">
      <w:pPr>
        <w:pStyle w:val="29"/>
        <w:ind w:firstLine="480"/>
      </w:pPr>
    </w:p>
    <w:p w14:paraId="6D6A27B4">
      <w:pPr>
        <w:pStyle w:val="34"/>
        <w:rPr>
          <w:bCs/>
        </w:rPr>
      </w:pPr>
      <w:bookmarkStart w:id="16" w:name="_Toc206756668"/>
      <w:r>
        <w:t>问题</w:t>
      </w:r>
      <w:r>
        <w:rPr>
          <w:rFonts w:hint="eastAsia"/>
        </w:rPr>
        <w:t>二的</w:t>
      </w:r>
      <w:r>
        <w:t>模型</w:t>
      </w:r>
      <w:bookmarkEnd w:id="16"/>
    </w:p>
    <w:p>
      <w:pPr>
        <w:pStyle w:val="29"/>
        <w:ind w:firstLine="480"/>
        <w:rPr>
          <w:rFonts w:hint="eastAsia"/>
          <w:lang w:val="en-US" w:eastAsia="zh-CN"/>
        </w:rPr>
      </w:pPr>
      <w:r>
        <w:rPr>
          <w:rFonts w:hint="eastAsia"/>
          <w:lang w:val="en-US" w:eastAsia="zh-CN"/>
        </w:rPr>
        <w:t>4.2.1 问题二与问题一的差异及建模思路</w:t>
      </w:r>
    </w:p>
    <w:p>
      <w:pPr>
        <w:pStyle w:val="29"/>
        <w:ind w:firstLine="480"/>
        <w:rPr>
          <w:rFonts w:hint="eastAsia"/>
          <w:lang w:val="en-US" w:eastAsia="zh-CN"/>
        </w:rPr>
      </w:pPr>
      <w:r>
        <w:rPr>
          <w:rFonts w:hint="eastAsia"/>
          <w:lang w:val="en-US" w:eastAsia="zh-CN"/>
        </w:rPr>
        <w:t>问题二在问题一的基础上，对已知信息和结算规则做了三处调整。其一，小区负荷和光伏发电功率不再逐日给定预测曲线，而是随日期变化，且每天0:00制定计划购电策略时，只能利用当天0:00之前的历史数据，不能像问题一那样直接使用当天的真实（或题目给定）负荷、光伏数据。其二，若微网当天实际供电不足以满足实际负荷，不足部分需按交易时刻电价的5倍紧急购电，而多余的光伏、储能出力仍按问题一的约定自由弃用。其三，储能不再要求0:00和24:00的储电量相同，而是需要在2025年全年连续运行，前一天24:00的储电量即为后一天0:00的初始储电量。</w:t>
      </w:r>
    </w:p>
    <w:p>
      <w:pPr>
        <w:pStyle w:val="29"/>
        <w:ind w:firstLine="480"/>
        <w:rPr>
          <w:rFonts w:hint="eastAsia"/>
          <w:lang w:val="en-US" w:eastAsia="zh-CN"/>
        </w:rPr>
      </w:pPr>
      <w:r>
        <w:rPr>
          <w:rFonts w:hint="eastAsia"/>
          <w:lang w:val="en-US" w:eastAsia="zh-CN"/>
        </w:rPr>
        <w:t>因此，问题二本质上是在预测信息不完全的条件下，重复求解与问题一同结构的单日混合整数线性规划，并将全年365天的求解结果依次滚动衔接起来的两阶段决策问题：第一阶段（每天0:00）根据历史数据预测当天负荷、光伏曲线，代入问题一的日前MILP制定计划购电和储能充放电策略；第二阶段（当天结束后）用实际负荷、光伏数据回代结算，产生紧急购电费用，并将实际值反馈给预测模型用于下一天的预测。</w:t>
      </w:r>
    </w:p>
    <w:p>
      <w:pPr>
        <w:pStyle w:val="29"/>
        <w:ind w:firstLine="480"/>
        <w:rPr>
          <w:rFonts w:hint="eastAsia"/>
          <w:lang w:val="en-US" w:eastAsia="zh-CN"/>
        </w:rPr>
      </w:pPr>
      <w:r>
        <w:rPr>
          <w:rFonts w:hint="eastAsia"/>
          <w:lang w:val="en-US" w:eastAsia="zh-CN"/>
        </w:rPr>
        <w:t>由于“如何用历史数据预测当天负荷、光伏曲线”与“给定预测曲线后如何制定购电计划”是两个相对独立的子问题，本文将两者分开建模：4.2.3节建立预测模型，4.2.4—4.2.5节建立购电计划模型与全年滚动流程，并保持除预测方法外的其余建模假设完全一致。这样一来，不同预测方法下的全年费用差异就能够干净地归因于预测精度，而不会掺杂其他假设差异。基于这一思路，本文设计了两种彼此独立的预测方案——</w:t>
      </w:r>
      <w:r>
        <w:rPr>
          <w:rFonts w:hint="eastAsia"/>
          <w:b/>
          <w:bCs/>
          <w:lang w:val="en-US" w:eastAsia="zh-CN"/>
        </w:rPr>
        <w:t>版本A</w:t>
      </w:r>
      <w:r>
        <w:rPr>
          <w:rFonts w:hint="eastAsia"/>
          <w:lang w:val="en-US" w:eastAsia="zh-CN"/>
        </w:rPr>
        <w:t>（Holt-Winters周期预测+光伏晴空包络）和</w:t>
      </w:r>
      <w:r>
        <w:rPr>
          <w:rFonts w:hint="eastAsia"/>
          <w:b/>
          <w:bCs/>
          <w:lang w:val="en-US" w:eastAsia="zh-CN"/>
        </w:rPr>
        <w:t>版本B</w:t>
      </w:r>
      <w:r>
        <w:rPr>
          <w:rFonts w:hint="eastAsia"/>
          <w:lang w:val="en-US" w:eastAsia="zh-CN"/>
        </w:rPr>
        <w:t>（LightGBM逐日滚动重训）——并在完全相同的购电计划模型和结算规则下进行全年仿真，以检验预测方法本身对购电费用的影响程度（4.2.7、4.2.8节）。</w:t>
      </w:r>
    </w:p>
    <w:p>
      <w:pPr>
        <w:pStyle w:val="29"/>
      </w:pPr>
    </w:p>
    <w:p>
      <w:pPr>
        <w:pStyle w:val="29"/>
        <w:ind w:firstLine="480"/>
        <w:rPr>
          <w:rFonts w:hint="eastAsia"/>
          <w:lang w:val="en-US" w:eastAsia="zh-CN"/>
        </w:rPr>
      </w:pPr>
      <w:r>
        <w:rPr>
          <w:rFonts w:hint="eastAsia"/>
          <w:lang w:val="en-US" w:eastAsia="zh-CN"/>
        </w:rPr>
        <w:t>4.2.2 模型假设</w:t>
      </w:r>
    </w:p>
    <w:p>
      <w:pPr>
        <w:pStyle w:val="29"/>
        <w:ind w:firstLine="480"/>
        <w:rPr>
          <w:rFonts w:hint="eastAsia"/>
          <w:lang w:val="en-US" w:eastAsia="zh-CN"/>
        </w:rPr>
      </w:pPr>
      <w:r>
        <w:rPr>
          <w:rFonts w:hint="eastAsia"/>
          <w:lang w:val="en-US" w:eastAsia="zh-CN"/>
        </w:rPr>
        <w:t>在问题一假设的基础上，问题二额外补充以下假设：</w:t>
      </w:r>
    </w:p>
    <w:p>
      <w:pPr>
        <w:pStyle w:val="29"/>
        <w:ind w:firstLine="480"/>
        <w:rPr>
          <w:rFonts w:hint="eastAsia"/>
          <w:lang w:val="en-US" w:eastAsia="zh-CN"/>
        </w:rPr>
      </w:pPr>
      <w:r>
        <w:rPr>
          <w:rFonts w:hint="eastAsia"/>
          <w:lang w:val="en-US" w:eastAsia="zh-CN"/>
        </w:rPr>
        <w:t>（1）电价全年不变，沿用附件1给出的当日电价曲线，预处理方式与问题一相同；</w:t>
      </w:r>
    </w:p>
    <w:p>
      <w:pPr>
        <w:pStyle w:val="29"/>
        <w:ind w:firstLine="480"/>
        <w:rPr>
          <w:rFonts w:hint="eastAsia"/>
          <w:lang w:val="en-US" w:eastAsia="zh-CN"/>
        </w:rPr>
      </w:pPr>
      <w:r>
        <w:rPr>
          <w:rFonts w:hint="eastAsia"/>
          <w:lang w:val="en-US" w:eastAsia="zh-CN"/>
        </w:rPr>
        <w:t>（2）每天0:00制定计划购电和储能充放电策略时，只能使用当天0:00之前的历史负荷、光伏数据，不能使用当天及未来数据；</w:t>
      </w:r>
    </w:p>
    <w:p>
      <w:pPr>
        <w:pStyle w:val="29"/>
        <w:ind w:firstLine="480"/>
        <w:rPr>
          <w:rFonts w:hint="eastAsia"/>
          <w:lang w:val="en-US" w:eastAsia="zh-CN"/>
        </w:rPr>
      </w:pPr>
      <w:r>
        <w:rPr>
          <w:rFonts w:hint="eastAsia"/>
          <w:lang w:val="en-US" w:eastAsia="zh-CN"/>
        </w:rPr>
        <w:t>（3）计划一旦制定，当天不再因实际负荷、光伏与预测值的偏差而调整充放电计划，即g</w:t>
      </w:r>
      <w:r>
        <w:rPr>
          <w:rFonts w:hint="eastAsia"/>
          <w:vertAlign w:val="subscript"/>
          <w:lang w:val="en-US" w:eastAsia="zh-CN"/>
        </w:rPr>
        <w:t>t</w:t>
      </w:r>
      <w:r>
        <w:rPr>
          <w:rFonts w:hint="eastAsia"/>
          <w:lang w:val="en-US" w:eastAsia="zh-CN"/>
        </w:rPr>
        <w:t>、c</w:t>
      </w:r>
      <w:r>
        <w:rPr>
          <w:rFonts w:hint="eastAsia"/>
          <w:vertAlign w:val="subscript"/>
          <w:lang w:val="en-US" w:eastAsia="zh-CN"/>
        </w:rPr>
        <w:t>t</w:t>
      </w:r>
      <w:r>
        <w:rPr>
          <w:rFonts w:hint="eastAsia"/>
          <w:lang w:val="en-US" w:eastAsia="zh-CN"/>
        </w:rPr>
        <w:t>、d</w:t>
      </w:r>
      <w:r>
        <w:rPr>
          <w:rFonts w:hint="eastAsia"/>
          <w:vertAlign w:val="subscript"/>
          <w:lang w:val="en-US" w:eastAsia="zh-CN"/>
        </w:rPr>
        <w:t>t</w:t>
      </w:r>
      <w:r>
        <w:rPr>
          <w:rFonts w:hint="eastAsia"/>
          <w:lang w:val="en-US" w:eastAsia="zh-CN"/>
        </w:rPr>
        <w:t>在一天内均按0:00制定的计划值执行（问题三将放松这一假设）；</w:t>
      </w:r>
    </w:p>
    <w:p>
      <w:pPr>
        <w:pStyle w:val="29"/>
        <w:ind w:firstLine="480"/>
        <w:rPr>
          <w:rFonts w:hint="eastAsia"/>
          <w:lang w:val="en-US" w:eastAsia="zh-CN"/>
        </w:rPr>
      </w:pPr>
      <w:r>
        <w:rPr>
          <w:rFonts w:hint="eastAsia"/>
          <w:lang w:val="en-US" w:eastAsia="zh-CN"/>
        </w:rPr>
        <w:t>（4）当天实际供电不足以满足实际负荷时，不足部分在对应时段按5倍电价紧急购电，购电量不设上限；供给富余部分仍视为弃光，不计收益也不计惩罚；</w:t>
      </w:r>
    </w:p>
    <w:p>
      <w:pPr>
        <w:pStyle w:val="29"/>
        <w:ind w:firstLine="480"/>
        <w:rPr>
          <w:rFonts w:hint="eastAsia"/>
          <w:lang w:val="en-US" w:eastAsia="zh-CN"/>
        </w:rPr>
      </w:pPr>
      <w:r>
        <w:rPr>
          <w:rFonts w:hint="eastAsia"/>
          <w:lang w:val="en-US" w:eastAsia="zh-CN"/>
        </w:rPr>
        <w:t>（5）全年以2025年1月1日0:00储电量6000 kWh为初始状态连续滚动仿真；1月份数据仅用作预测模型的历史预热期，正式的结果汇报和result2.xlsx导出只统计2025年2月1日至12月31日（共334天）；</w:t>
      </w:r>
    </w:p>
    <w:p>
      <w:pPr>
        <w:pStyle w:val="29"/>
        <w:ind w:firstLine="480"/>
        <w:rPr>
          <w:rFonts w:hint="eastAsia"/>
          <w:lang w:val="en-US" w:eastAsia="zh-CN"/>
        </w:rPr>
      </w:pPr>
      <w:r>
        <w:rPr>
          <w:rFonts w:hint="eastAsia"/>
          <w:lang w:val="en-US" w:eastAsia="zh-CN"/>
        </w:rPr>
        <w:t>（6）两种预测方法均只使用问题二可获得的信息（附件2给出的历史负荷、光伏实际值），不使用附件3、附件4中问题三、问题四才提供的日内光伏预报或波动电价数据。</w:t>
      </w:r>
    </w:p>
    <w:p>
      <w:pPr>
        <w:pStyle w:val="29"/>
      </w:pPr>
    </w:p>
    <w:p>
      <w:pPr>
        <w:pStyle w:val="29"/>
        <w:ind w:firstLine="480"/>
        <w:rPr>
          <w:rFonts w:hint="eastAsia"/>
          <w:lang w:val="en-US" w:eastAsia="zh-CN"/>
        </w:rPr>
      </w:pPr>
      <w:r>
        <w:rPr>
          <w:rFonts w:hint="eastAsia"/>
          <w:lang w:val="en-US" w:eastAsia="zh-CN"/>
        </w:rPr>
        <w:t>4.2.3 负荷与光伏预测模型</w:t>
      </w:r>
    </w:p>
    <w:p>
      <w:pPr>
        <w:pStyle w:val="29"/>
        <w:ind w:firstLine="480"/>
        <w:rPr>
          <w:rFonts w:hint="eastAsia"/>
          <w:lang w:val="en-US" w:eastAsia="zh-CN"/>
        </w:rPr>
      </w:pPr>
      <w:r>
        <w:rPr>
          <w:rFonts w:hint="eastAsia"/>
          <w:lang w:val="en-US" w:eastAsia="zh-CN"/>
        </w:rPr>
        <w:t>问题二每天0:00制定购电计划前，需要先给出当天144个时段的负荷、光伏预测曲线。本文设计了原理不同的两种预测方案：版本A以经典时间序列模型为基础，计算量小、可解释性强；版本B以机器学习回归模型为基础，通过逐日滚动重训捕捉更复杂的非线性模式。两者共享同一条规则：预测第d天时只使用第d天之前的全部历史实际值，不发生数据穿越。</w:t>
      </w:r>
    </w:p>
    <w:p>
      <w:pPr>
        <w:pStyle w:val="29"/>
      </w:pPr>
    </w:p>
    <w:p>
      <w:pPr>
        <w:pStyle w:val="29"/>
        <w:ind w:firstLine="480"/>
        <w:rPr>
          <w:rFonts w:hint="eastAsia"/>
          <w:lang w:val="en-US" w:eastAsia="zh-CN"/>
        </w:rPr>
      </w:pPr>
      <w:r>
        <w:rPr>
          <w:rFonts w:hint="eastAsia"/>
          <w:lang w:val="en-US" w:eastAsia="zh-CN"/>
        </w:rPr>
        <w:t>4.2.3.1 版本A：Holt-Winters周期预测（负荷）+ 晴空包络光伏预测</w:t>
      </w:r>
    </w:p>
    <w:p>
      <w:pPr>
        <w:pStyle w:val="29"/>
        <w:ind w:firstLine="480"/>
        <w:rPr>
          <w:rFonts w:hint="eastAsia"/>
          <w:lang w:val="en-US" w:eastAsia="zh-CN"/>
        </w:rPr>
      </w:pPr>
      <w:r>
        <w:rPr>
          <w:rFonts w:hint="eastAsia"/>
          <w:lang w:val="en-US" w:eastAsia="zh-CN"/>
        </w:rPr>
        <w:t>小区负荷具有明显的工作日/周末周周期特征，本文对144个时段分别建立不带趋势项的加性Holt-Winters模型，以7天为周期滚动更新水平项和周期项。记第d天第t个时段的负荷预测为L</w:t>
      </w:r>
      <w:r>
        <w:rPr>
          <w:rFonts w:hint="eastAsia"/>
          <w:vertAlign w:val="superscript"/>
          <w:lang w:val="en-US" w:eastAsia="zh-CN"/>
        </w:rPr>
        <w:t>f</w:t>
      </w:r>
      <w:r>
        <w:rPr>
          <w:rFonts w:hint="eastAsia"/>
          <w:vertAlign w:val="subscript"/>
          <w:lang w:val="en-US" w:eastAsia="zh-CN"/>
        </w:rPr>
        <w:t>d,t</w:t>
      </w:r>
      <w:r>
        <w:rPr>
          <w:rFonts w:hint="eastAsia"/>
          <w:lang w:val="en-US" w:eastAsia="zh-CN"/>
        </w:rPr>
        <w:t>，水平项为ℓ</w:t>
      </w:r>
      <w:r>
        <w:rPr>
          <w:rFonts w:hint="eastAsia"/>
          <w:vertAlign w:val="subscript"/>
          <w:lang w:val="en-US" w:eastAsia="zh-CN"/>
        </w:rPr>
        <w:t>t</w:t>
      </w:r>
      <w:r>
        <w:rPr>
          <w:rFonts w:hint="eastAsia"/>
          <w:lang w:val="en-US" w:eastAsia="zh-CN"/>
        </w:rPr>
        <w:t>，第d天所对应星期（d mod 7）的周期项为σ</w:t>
      </w:r>
      <w:r>
        <w:rPr>
          <w:rFonts w:hint="eastAsia"/>
          <w:vertAlign w:val="subscript"/>
          <w:lang w:val="en-US" w:eastAsia="zh-CN"/>
        </w:rPr>
        <w:t>t,d mod 7</w:t>
      </w:r>
      <w:r>
        <w:rPr>
          <w:rFonts w:hint="eastAsia"/>
          <w:lang w:val="en-US" w:eastAsia="zh-CN"/>
        </w:rPr>
        <w:t>，更新公式为</w:t>
      </w:r>
    </w:p>
    <w:tbl>
      <w:tblPr>
        <w:tblW w:w="0" w:type="auto"/>
        <w:tblInd w:w="0" w:type="dxa"/>
        <w:tblBorders>
          <w:top w:val="nil"/>
          <w:left w:val="nil"/>
          <w:bottom w:val="nil"/>
          <w:right w:val="nil"/>
          <w:insideH w:val="nil"/>
          <w:insideV w:val="nil"/>
        </w:tblBorders>
        <w:shd w:val="clear" w:color="auto" w:fill="FFFFFF"/>
        <w:tblLayout w:type="autofit"/>
        <w:tblCellMar>
          <w:top w:w="0" w:type="dxa"/>
          <w:left w:w="0" w:type="dxa"/>
          <w:bottom w:w="0" w:type="dxa"/>
          <w:right w:w="0" w:type="dxa"/>
        </w:tblCellMar>
      </w:tblPr>
      <w:tblGrid>
        <w:gridCol w:w="86"/>
        <w:gridCol w:w="5872"/>
        <w:gridCol w:w="700"/>
      </w:tblGrid>
      <w:tr>
        <w:tc>
          <w:tcPr>
            <w:tcW w:w="90" w:type="dxa"/>
            <w:tcBorders>
              <w:top w:val="nil"/>
              <w:left w:val="nil"/>
              <w:bottom w:val="nil"/>
              <w:right w:val="nil"/>
            </w:tcBorders>
            <w:vAlign w:val="center"/>
          </w:tcPr>
          <w:p>
            <w:pPr>
              <w:pStyle w:val="29"/>
              <w:ind w:left="0" w:leftChars="0" w:firstLine="0" w:firstLineChars="0"/>
            </w:pPr>
          </w:p>
        </w:tc>
        <w:tc>
          <w:tcPr>
            <w:tcW w:w="5872" w:type="dxa"/>
            <w:tcBorders>
              <w:top w:val="nil"/>
              <w:left w:val="nil"/>
              <w:bottom w:val="nil"/>
              <w:right w:val="nil"/>
            </w:tcBorders>
            <w:vAlign w:val="center"/>
          </w:tcPr>
          <w:p>
            <w:pPr>
              <w:pStyle w:val="29"/>
              <w:ind w:left="0" w:leftChars="0" w:firstLine="0" w:firstLineChars="0"/>
              <w:jc w:val="center"/>
            </w:pPr>
            <w:r>
              <w:rPr>
                <w:rFonts w:hint="default"/>
                <w:lang w:val="en-US" w:eastAsia="zh-CN"/>
              </w:rPr>
              <w:drawing>
                <wp:inline distT="0" distB="0" distL="114300" distR="114300">
                  <wp:extent cx="3703929" cy="1237792"/>
                  <wp:effectExtent l="0" t="0" r="0" b="0"/>
                  <wp:docPr id="5000" name="公式16" descr="eq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公式16" descr="eq16"/>
                          <pic:cNvPicPr>
                            <a:picLocks noChangeAspect="1"/>
                          </pic:cNvPicPr>
                        </pic:nvPicPr>
                        <pic:blipFill>
                          <a:blip r:embed="rId24"/>
                          <a:stretch>
                            <a:fillRect/>
                          </a:stretch>
                        </pic:blipFill>
                        <pic:spPr>
                          <a:xfrm>
                            <a:off x="0" y="0"/>
                            <a:ext cx="3703929" cy="1237792"/>
                          </a:xfrm>
                          <a:prstGeom prst="rect">
                            <a:avLst/>
                          </a:prstGeom>
                          <a:noFill/>
                          <a:ln w="9525">
                            <a:noFill/>
                          </a:ln>
                        </pic:spPr>
                      </pic:pic>
                    </a:graphicData>
                  </a:graphic>
                </wp:inline>
              </w:drawing>
            </w:r>
          </w:p>
        </w:tc>
        <w:tc>
          <w:tcPr>
            <w:tcW w:w="700" w:type="dxa"/>
            <w:tcBorders>
              <w:top w:val="nil"/>
              <w:left w:val="nil"/>
              <w:bottom w:val="nil"/>
              <w:right w:val="nil"/>
            </w:tcBorders>
            <w:vAlign w:val="center"/>
          </w:tcPr>
          <w:p>
            <w:pPr>
              <w:pStyle w:val="29"/>
              <w:ind w:left="0" w:leftChars="0" w:firstLine="0" w:firstLineChars="0"/>
              <w:jc w:val="right"/>
            </w:pPr>
            <w:r>
              <w:rPr>
                <w:rFonts w:hint="eastAsia"/>
                <w:lang w:val="en-US" w:eastAsia="zh-CN"/>
              </w:rPr>
              <w:t>(16)</w:t>
            </w:r>
          </w:p>
        </w:tc>
      </w:tr>
    </w:tbl>
    <w:p>
      <w:pPr>
        <w:pStyle w:val="29"/>
        <w:ind w:firstLine="480"/>
        <w:rPr>
          <w:rFonts w:hint="eastAsia"/>
          <w:lang w:val="en-US" w:eastAsia="zh-CN"/>
        </w:rPr>
      </w:pPr>
      <w:r>
        <w:rPr>
          <w:rFonts w:hint="eastAsia"/>
          <w:lang w:val="en-US" w:eastAsia="zh-CN"/>
        </w:rPr>
        <w:t>初始水平项取附件1给出的示例负荷曲线，初始周期项取0；每天结束后用当天实际负荷更新水平项和对应星期的周期项，平滑系数取α=0.25、γ=0.25。</w:t>
      </w:r>
    </w:p>
    <w:p>
      <w:pPr>
        <w:pStyle w:val="29"/>
        <w:ind w:firstLine="480"/>
        <w:rPr>
          <w:rFonts w:hint="eastAsia"/>
          <w:lang w:val="en-US" w:eastAsia="zh-CN"/>
        </w:rPr>
      </w:pPr>
      <w:r>
        <w:rPr>
          <w:rFonts w:hint="eastAsia"/>
          <w:lang w:val="en-US" w:eastAsia="zh-CN"/>
        </w:rPr>
        <w:t>光伏发电功率的日内形状主要由太阳高度角（决定“晴空上限”）和当日天气（决定“晴空指数”，即实际出力与晴空上限的比值）两部分决定，二者的变化时间尺度不同：晴空上限随季节缓慢变化，天气状况则具有一定的短期持续性。本文据此设计“晴空包络×晴空指数”两阶段预测：先用最近30天实际光伏功率的90分位数估计当前季节下的晴空包络E</w:t>
      </w:r>
      <w:r>
        <w:rPr>
          <w:rFonts w:hint="eastAsia"/>
          <w:vertAlign w:val="subscript"/>
          <w:lang w:val="en-US" w:eastAsia="zh-CN"/>
        </w:rPr>
        <w:t>t</w:t>
      </w:r>
      <w:r>
        <w:rPr>
          <w:rFonts w:hint="eastAsia"/>
          <w:vertAlign w:val="superscript"/>
          <w:lang w:val="en-US" w:eastAsia="zh-CN"/>
        </w:rPr>
        <w:t>(d)</w:t>
      </w:r>
      <w:r>
        <w:rPr>
          <w:rFonts w:hint="eastAsia"/>
          <w:lang w:val="en-US" w:eastAsia="zh-CN"/>
        </w:rPr>
        <w:t>，再用指数加权移动平均估计当前的晴空指数k</w:t>
      </w:r>
      <w:r>
        <w:rPr>
          <w:rFonts w:hint="eastAsia"/>
          <w:vertAlign w:val="subscript"/>
          <w:lang w:val="en-US" w:eastAsia="zh-CN"/>
        </w:rPr>
        <w:t>t</w:t>
      </w:r>
      <w:r>
        <w:rPr>
          <w:rFonts w:hint="eastAsia"/>
          <w:vertAlign w:val="superscript"/>
          <w:lang w:val="en-US" w:eastAsia="zh-CN"/>
        </w:rPr>
        <w:t>(d)</w:t>
      </w:r>
      <w:r>
        <w:rPr>
          <w:rFonts w:hint="eastAsia"/>
          <w:lang w:val="en-US" w:eastAsia="zh-CN"/>
        </w:rPr>
        <w:t>，两者相乘得到光伏预测</w:t>
      </w:r>
    </w:p>
    <w:tbl>
      <w:tblPr>
        <w:tblW w:w="0" w:type="auto"/>
        <w:tblInd w:w="0" w:type="dxa"/>
        <w:tblBorders>
          <w:top w:val="nil"/>
          <w:left w:val="nil"/>
          <w:bottom w:val="nil"/>
          <w:right w:val="nil"/>
          <w:insideH w:val="nil"/>
          <w:insideV w:val="nil"/>
        </w:tblBorders>
        <w:shd w:val="clear" w:color="auto" w:fill="FFFFFF"/>
        <w:tblLayout w:type="autofit"/>
        <w:tblCellMar>
          <w:top w:w="0" w:type="dxa"/>
          <w:left w:w="0" w:type="dxa"/>
          <w:bottom w:w="0" w:type="dxa"/>
          <w:right w:w="0" w:type="dxa"/>
        </w:tblCellMar>
      </w:tblPr>
      <w:tblGrid>
        <w:gridCol w:w="86"/>
        <w:gridCol w:w="6795"/>
        <w:gridCol w:w="700"/>
      </w:tblGrid>
      <w:tr>
        <w:tc>
          <w:tcPr>
            <w:tcW w:w="90" w:type="dxa"/>
            <w:tcBorders>
              <w:top w:val="nil"/>
              <w:left w:val="nil"/>
              <w:bottom w:val="nil"/>
              <w:right w:val="nil"/>
            </w:tcBorders>
            <w:vAlign w:val="center"/>
          </w:tcPr>
          <w:p>
            <w:pPr>
              <w:pStyle w:val="29"/>
              <w:ind w:left="0" w:leftChars="0" w:firstLine="0" w:firstLineChars="0"/>
            </w:pPr>
          </w:p>
        </w:tc>
        <w:tc>
          <w:tcPr>
            <w:tcW w:w="6795" w:type="dxa"/>
            <w:tcBorders>
              <w:top w:val="nil"/>
              <w:left w:val="nil"/>
              <w:bottom w:val="nil"/>
              <w:right w:val="nil"/>
            </w:tcBorders>
            <w:vAlign w:val="center"/>
          </w:tcPr>
          <w:p>
            <w:pPr>
              <w:pStyle w:val="29"/>
              <w:ind w:left="0" w:leftChars="0" w:firstLine="0" w:firstLineChars="0"/>
              <w:jc w:val="center"/>
            </w:pPr>
            <w:r>
              <w:rPr>
                <w:rFonts w:hint="default"/>
                <w:lang w:val="en-US" w:eastAsia="zh-CN"/>
              </w:rPr>
              <w:drawing>
                <wp:inline distT="0" distB="0" distL="114300" distR="114300">
                  <wp:extent cx="4289755" cy="1537792"/>
                  <wp:effectExtent l="0" t="0" r="0" b="0"/>
                  <wp:docPr id="5001" name="公式17" descr="eq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公式17" descr="eq17"/>
                          <pic:cNvPicPr>
                            <a:picLocks noChangeAspect="1"/>
                          </pic:cNvPicPr>
                        </pic:nvPicPr>
                        <pic:blipFill>
                          <a:blip r:embed="rId25"/>
                          <a:stretch>
                            <a:fillRect/>
                          </a:stretch>
                        </pic:blipFill>
                        <pic:spPr>
                          <a:xfrm>
                            <a:off x="0" y="0"/>
                            <a:ext cx="4289755" cy="1537792"/>
                          </a:xfrm>
                          <a:prstGeom prst="rect">
                            <a:avLst/>
                          </a:prstGeom>
                          <a:noFill/>
                          <a:ln w="9525">
                            <a:noFill/>
                          </a:ln>
                        </pic:spPr>
                      </pic:pic>
                    </a:graphicData>
                  </a:graphic>
                </wp:inline>
              </w:drawing>
            </w:r>
          </w:p>
        </w:tc>
        <w:tc>
          <w:tcPr>
            <w:tcW w:w="700" w:type="dxa"/>
            <w:tcBorders>
              <w:top w:val="nil"/>
              <w:left w:val="nil"/>
              <w:bottom w:val="nil"/>
              <w:right w:val="nil"/>
            </w:tcBorders>
            <w:vAlign w:val="center"/>
          </w:tcPr>
          <w:p>
            <w:pPr>
              <w:pStyle w:val="29"/>
              <w:ind w:left="0" w:leftChars="0" w:firstLine="0" w:firstLineChars="0"/>
              <w:jc w:val="right"/>
            </w:pPr>
            <w:r>
              <w:rPr>
                <w:rFonts w:hint="eastAsia"/>
                <w:lang w:val="en-US" w:eastAsia="zh-CN"/>
              </w:rPr>
              <w:t>(17)</w:t>
            </w:r>
          </w:p>
        </w:tc>
      </w:tr>
    </w:tbl>
    <w:p>
      <w:pPr>
        <w:pStyle w:val="29"/>
        <w:ind w:firstLine="480"/>
        <w:rPr>
          <w:rFonts w:hint="eastAsia"/>
          <w:lang w:val="en-US" w:eastAsia="zh-CN"/>
        </w:rPr>
      </w:pPr>
      <w:r>
        <w:rPr>
          <w:rFonts w:hint="eastAsia"/>
          <w:lang w:val="en-US" w:eastAsia="zh-CN"/>
        </w:rPr>
        <w:t>其中晴空指数的平滑系数β=0.35，并将k</w:t>
      </w:r>
      <w:r>
        <w:rPr>
          <w:rFonts w:hint="eastAsia"/>
          <w:vertAlign w:val="subscript"/>
          <w:lang w:val="en-US" w:eastAsia="zh-CN"/>
        </w:rPr>
        <w:t>t</w:t>
      </w:r>
      <w:r>
        <w:rPr>
          <w:rFonts w:hint="eastAsia"/>
          <w:lang w:val="en-US" w:eastAsia="zh-CN"/>
        </w:rPr>
        <w:t>裁剪到[0, 1.5]，以避免包络接近0时比值发散导致预测失真。仿真开始前30天窗口数据不足时，用附件1给出的示例光伏曲线作为包络估计的兜底。</w:t>
      </w:r>
    </w:p>
    <w:p>
      <w:pPr>
        <w:pStyle w:val="29"/>
      </w:pPr>
    </w:p>
    <w:p>
      <w:pPr>
        <w:pStyle w:val="29"/>
        <w:ind w:firstLine="480"/>
        <w:rPr>
          <w:rFonts w:hint="eastAsia"/>
          <w:lang w:val="en-US" w:eastAsia="zh-CN"/>
        </w:rPr>
      </w:pPr>
      <w:r>
        <w:rPr>
          <w:rFonts w:hint="eastAsia"/>
          <w:lang w:val="en-US" w:eastAsia="zh-CN"/>
        </w:rPr>
        <w:t>4.2.3.2 版本B：LightGBM逐日滚动重训预测</w:t>
      </w:r>
    </w:p>
    <w:p>
      <w:pPr>
        <w:pStyle w:val="29"/>
        <w:ind w:firstLine="480"/>
        <w:rPr>
          <w:rFonts w:hint="eastAsia"/>
          <w:lang w:val="en-US" w:eastAsia="zh-CN"/>
        </w:rPr>
      </w:pPr>
      <w:r>
        <w:rPr>
          <w:rFonts w:hint="eastAsia"/>
          <w:lang w:val="en-US" w:eastAsia="zh-CN"/>
        </w:rPr>
        <w:t>版本B将负荷、光伏预测分别建模为回归问题：144个时段共用同一个模型，以时间周期特征和该时段自身的历史统计特征作为输入，每天用“当天之前的全部历史数据”重新训练一次LightGBM回归模型，预测当天144个时段的取值。所用特征见表2。</w:t>
      </w: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4500"/>
        <w:gridCol w:w="45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特征组</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具体特征</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时间周期特征</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时段序号t、当日小时数、星期几、月份、年内日序，以及年内日序、时段序号各自的正余弦(sin/cos)特征</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历史统计特征</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该时段滞后1/2/3天的实际值、该时段前7日/14日滑动均值（均基于shift(1)，不使用当天及未来信息）</w:t>
            </w:r>
          </w:p>
        </w:tc>
      </w:tr>
    </w:tbl>
    <w:p>
      <w:pPr>
        <w:pStyle w:val="29"/>
        <w:ind w:firstLine="480"/>
        <w:rPr>
          <w:rFonts w:hint="eastAsia"/>
          <w:lang w:val="en-US" w:eastAsia="zh-CN"/>
        </w:rPr>
      </w:pPr>
      <w:r>
        <w:rPr>
          <w:rFonts w:hint="eastAsia"/>
          <w:lang w:val="en-US" w:eastAsia="zh-CN"/>
        </w:rPr>
        <w:t>模型采用LightGBM回归器，主要超参数为：树数量120、学习率0.06、叶子数31、行采样比0.9、列采样比0.9。由于每天都需要重新训练两个模型（负荷、光伏各一个），全年365天共需训练约700次，单机运行耗时约2.5-3分钟；相比之下，版本A的滚动更新只需简单的指数平滑递推，全年运行仅需数秒，是两种方法在计算成本上最主要的差异。仿真开始阶段历史数据不足（约15天以内，7/14日滑动均值特征尚未形成）时，用前一天实际值作为兜底预测；第1天没有任何历史数据，则退化为附件1给出的示例曲线。</w:t>
      </w:r>
    </w:p>
    <w:p>
      <w:pPr>
        <w:pStyle w:val="29"/>
      </w:pPr>
    </w:p>
    <w:p>
      <w:pPr>
        <w:pStyle w:val="29"/>
        <w:ind w:firstLine="480"/>
        <w:rPr>
          <w:rFonts w:hint="eastAsia"/>
          <w:lang w:val="en-US" w:eastAsia="zh-CN"/>
        </w:rPr>
      </w:pPr>
      <w:r>
        <w:rPr>
          <w:rFonts w:hint="eastAsia"/>
          <w:lang w:val="en-US" w:eastAsia="zh-CN"/>
        </w:rPr>
        <w:t>4.2.3.3 两种预测方法的定性比较</w:t>
      </w: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3000"/>
        <w:gridCol w:w="3000"/>
        <w:gridCol w:w="30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比较维度</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版本A（Holt-Winters+晴空包络）</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版本B（LightGBM）</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建模原理</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指数平滑时间序列</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梯度提升树回归</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周期性的处理方式</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显式分解为水平项+周期项</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依赖sin/cos特征隐式学习</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全年计算耗时</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数秒（O(T)递推更新）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约2.5-3分钟（逐日重训约700次模型）</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可解释性</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较高（水平、周期项含义直观）</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较低（树模型集成，黑箱性较强）</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主要超参数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α、γ、β、包络窗口、包络分位数（5个）</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树数量、学习率、叶子数等LightGBM超参数+滞后特征窗口设计</w:t>
            </w:r>
          </w:p>
        </w:tc>
      </w:tr>
    </w:tbl>
    <w:p>
      <w:pPr>
        <w:pStyle w:val="29"/>
        <w:ind w:firstLine="480"/>
        <w:rPr>
          <w:rFonts w:hint="eastAsia"/>
          <w:lang w:val="en-US" w:eastAsia="zh-CN"/>
        </w:rPr>
      </w:pPr>
      <w:r>
        <w:rPr>
          <w:rFonts w:hint="eastAsia"/>
          <w:lang w:val="en-US" w:eastAsia="zh-CN"/>
        </w:rPr>
        <w:t>两种方法的具体预测精度和最终购电费用对比见4.2.7、4.2.8节。</w:t>
      </w:r>
    </w:p>
    <w:p>
      <w:pPr>
        <w:pStyle w:val="29"/>
      </w:pPr>
    </w:p>
    <w:p>
      <w:pPr>
        <w:pStyle w:val="29"/>
        <w:ind w:firstLine="480"/>
        <w:rPr>
          <w:rFonts w:hint="eastAsia"/>
          <w:lang w:val="en-US" w:eastAsia="zh-CN"/>
        </w:rPr>
      </w:pPr>
      <w:r>
        <w:rPr>
          <w:rFonts w:hint="eastAsia"/>
          <w:lang w:val="en-US" w:eastAsia="zh-CN"/>
        </w:rPr>
        <w:t>4.2.4 日前购电与储能计划模型</w:t>
      </w:r>
    </w:p>
    <w:p>
      <w:pPr>
        <w:pStyle w:val="29"/>
        <w:ind w:firstLine="480"/>
        <w:rPr>
          <w:rFonts w:hint="eastAsia"/>
          <w:lang w:val="en-US" w:eastAsia="zh-CN"/>
        </w:rPr>
      </w:pPr>
      <w:r>
        <w:rPr>
          <w:rFonts w:hint="eastAsia"/>
          <w:lang w:val="en-US" w:eastAsia="zh-CN"/>
        </w:rPr>
        <w:t>4.2.4.1 决策变量与目标函数</w:t>
      </w:r>
    </w:p>
    <w:p>
      <w:pPr>
        <w:pStyle w:val="29"/>
        <w:ind w:firstLine="480"/>
        <w:rPr>
          <w:rFonts w:hint="eastAsia"/>
          <w:lang w:val="en-US" w:eastAsia="zh-CN"/>
        </w:rPr>
      </w:pPr>
      <w:r>
        <w:rPr>
          <w:rFonts w:hint="eastAsia"/>
          <w:lang w:val="en-US" w:eastAsia="zh-CN"/>
        </w:rPr>
        <w:t>给定第d天0:00的预测负荷曲线（叠加安全边际后记为供给目标L̂</w:t>
      </w:r>
      <w:r>
        <w:rPr>
          <w:rFonts w:hint="eastAsia"/>
          <w:vertAlign w:val="subscript"/>
          <w:lang w:val="en-US" w:eastAsia="zh-CN"/>
        </w:rPr>
        <w:t>d,t</w:t>
      </w:r>
      <w:r>
        <w:rPr>
          <w:rFonts w:hint="eastAsia"/>
          <w:lang w:val="en-US" w:eastAsia="zh-CN"/>
        </w:rPr>
        <w:t>，见4.2.4.3）和预测光伏曲线p</w:t>
      </w:r>
      <w:r>
        <w:rPr>
          <w:rFonts w:hint="eastAsia"/>
          <w:vertAlign w:val="superscript"/>
          <w:lang w:val="en-US" w:eastAsia="zh-CN"/>
        </w:rPr>
        <w:t>PV,f</w:t>
      </w:r>
      <w:r>
        <w:rPr>
          <w:rFonts w:hint="eastAsia"/>
          <w:vertAlign w:val="subscript"/>
          <w:lang w:val="en-US" w:eastAsia="zh-CN"/>
        </w:rPr>
        <w:t>d,t</w:t>
      </w:r>
      <w:r>
        <w:rPr>
          <w:rFonts w:hint="eastAsia"/>
          <w:lang w:val="en-US" w:eastAsia="zh-CN"/>
        </w:rPr>
        <w:t>，问题二的日前购电模型在决策变量、目标函数上与问题一完全相同：决策变量为计划购电量g</w:t>
      </w:r>
      <w:r>
        <w:rPr>
          <w:rFonts w:hint="eastAsia"/>
          <w:vertAlign w:val="subscript"/>
          <w:lang w:val="en-US" w:eastAsia="zh-CN"/>
        </w:rPr>
        <w:t>d,t</w:t>
      </w:r>
      <w:r>
        <w:rPr>
          <w:rFonts w:hint="eastAsia"/>
          <w:lang w:val="en-US" w:eastAsia="zh-CN"/>
        </w:rPr>
        <w:t>、储能充电量c</w:t>
      </w:r>
      <w:r>
        <w:rPr>
          <w:rFonts w:hint="eastAsia"/>
          <w:vertAlign w:val="subscript"/>
          <w:lang w:val="en-US" w:eastAsia="zh-CN"/>
        </w:rPr>
        <w:t>d,t</w:t>
      </w:r>
      <w:r>
        <w:rPr>
          <w:rFonts w:hint="eastAsia"/>
          <w:lang w:val="en-US" w:eastAsia="zh-CN"/>
        </w:rPr>
        <w:t>、放电量d</w:t>
      </w:r>
      <w:r>
        <w:rPr>
          <w:rFonts w:hint="eastAsia"/>
          <w:vertAlign w:val="subscript"/>
          <w:lang w:val="en-US" w:eastAsia="zh-CN"/>
        </w:rPr>
        <w:t>d,t</w:t>
      </w:r>
      <w:r>
        <w:rPr>
          <w:rFonts w:hint="eastAsia"/>
          <w:lang w:val="en-US" w:eastAsia="zh-CN"/>
        </w:rPr>
        <w:t>、充放电状态z</w:t>
      </w:r>
      <w:r>
        <w:rPr>
          <w:rFonts w:hint="eastAsia"/>
          <w:vertAlign w:val="subscript"/>
          <w:lang w:val="en-US" w:eastAsia="zh-CN"/>
        </w:rPr>
        <w:t>d,t</w:t>
      </w:r>
      <w:r>
        <w:rPr>
          <w:rFonts w:hint="eastAsia"/>
          <w:lang w:val="en-US" w:eastAsia="zh-CN"/>
        </w:rPr>
        <w:t>∈{0,1}和储电量s</w:t>
      </w:r>
      <w:r>
        <w:rPr>
          <w:rFonts w:hint="eastAsia"/>
          <w:vertAlign w:val="subscript"/>
          <w:lang w:val="en-US" w:eastAsia="zh-CN"/>
        </w:rPr>
        <w:t>d,t</w:t>
      </w:r>
      <w:r>
        <w:rPr>
          <w:rFonts w:hint="eastAsia"/>
          <w:lang w:val="en-US" w:eastAsia="zh-CN"/>
        </w:rPr>
        <w:t>，目标函数为当天购电费用最小，其形式与问题一式(1)相同，仅将下标改为逐日的(d,t)。</w:t>
      </w:r>
    </w:p>
    <w:p>
      <w:pPr>
        <w:pStyle w:val="29"/>
      </w:pPr>
    </w:p>
    <w:p>
      <w:pPr>
        <w:pStyle w:val="29"/>
        <w:ind w:firstLine="480"/>
        <w:rPr>
          <w:rFonts w:hint="eastAsia"/>
          <w:lang w:val="en-US" w:eastAsia="zh-CN"/>
        </w:rPr>
      </w:pPr>
      <w:r>
        <w:rPr>
          <w:rFonts w:hint="eastAsia"/>
          <w:lang w:val="en-US" w:eastAsia="zh-CN"/>
        </w:rPr>
        <w:t>4.2.4.2 约束条件</w:t>
      </w:r>
    </w:p>
    <w:p>
      <w:pPr>
        <w:pStyle w:val="29"/>
        <w:ind w:firstLine="480"/>
        <w:rPr>
          <w:rFonts w:hint="eastAsia"/>
          <w:lang w:val="en-US" w:eastAsia="zh-CN"/>
        </w:rPr>
      </w:pPr>
      <w:r>
        <w:rPr>
          <w:rFonts w:hint="eastAsia"/>
          <w:lang w:val="en-US" w:eastAsia="zh-CN"/>
        </w:rPr>
        <w:t>约束条件的物理含义与问题一相同（功率平衡、储能电量递推、充放电功率上限、储电量上下界、充放电互斥），仅在以下两处作出调整。</w:t>
      </w:r>
    </w:p>
    <w:p>
      <w:pPr>
        <w:pStyle w:val="29"/>
        <w:ind w:firstLine="480"/>
        <w:rPr>
          <w:rFonts w:hint="eastAsia"/>
          <w:lang w:val="en-US" w:eastAsia="zh-CN"/>
        </w:rPr>
      </w:pPr>
      <w:r>
        <w:rPr>
          <w:rFonts w:hint="eastAsia"/>
          <w:lang w:val="en-US" w:eastAsia="zh-CN"/>
        </w:rPr>
        <w:t>（1）功率平衡约束中的“负荷”替换为“预测负荷目标”，即</w:t>
      </w:r>
    </w:p>
    <w:tbl>
      <w:tblPr>
        <w:tblW w:w="0" w:type="auto"/>
        <w:tblInd w:w="0" w:type="dxa"/>
        <w:tblBorders>
          <w:top w:val="nil"/>
          <w:left w:val="nil"/>
          <w:bottom w:val="nil"/>
          <w:right w:val="nil"/>
          <w:insideH w:val="nil"/>
          <w:insideV w:val="nil"/>
        </w:tblBorders>
        <w:shd w:val="clear" w:color="auto" w:fill="FFFFFF"/>
        <w:tblLayout w:type="autofit"/>
        <w:tblCellMar>
          <w:top w:w="0" w:type="dxa"/>
          <w:left w:w="0" w:type="dxa"/>
          <w:bottom w:w="0" w:type="dxa"/>
          <w:right w:w="0" w:type="dxa"/>
        </w:tblCellMar>
      </w:tblPr>
      <w:tblGrid>
        <w:gridCol w:w="86"/>
        <w:gridCol w:w="7960"/>
        <w:gridCol w:w="700"/>
      </w:tblGrid>
      <w:tr>
        <w:tc>
          <w:tcPr>
            <w:tcW w:w="90" w:type="dxa"/>
            <w:tcBorders>
              <w:top w:val="nil"/>
              <w:left w:val="nil"/>
              <w:bottom w:val="nil"/>
              <w:right w:val="nil"/>
            </w:tcBorders>
            <w:vAlign w:val="center"/>
          </w:tcPr>
          <w:p>
            <w:pPr>
              <w:pStyle w:val="29"/>
              <w:ind w:left="0" w:leftChars="0" w:firstLine="0" w:firstLineChars="0"/>
            </w:pPr>
          </w:p>
        </w:tc>
        <w:tc>
          <w:tcPr>
            <w:tcW w:w="7960" w:type="dxa"/>
            <w:tcBorders>
              <w:top w:val="nil"/>
              <w:left w:val="nil"/>
              <w:bottom w:val="nil"/>
              <w:right w:val="nil"/>
            </w:tcBorders>
            <w:vAlign w:val="center"/>
          </w:tcPr>
          <w:p>
            <w:pPr>
              <w:pStyle w:val="29"/>
              <w:ind w:left="0" w:leftChars="0" w:firstLine="0" w:firstLineChars="0"/>
              <w:jc w:val="center"/>
            </w:pPr>
            <w:r>
              <w:rPr>
                <w:rFonts w:hint="default"/>
                <w:lang w:val="en-US" w:eastAsia="zh-CN"/>
              </w:rPr>
              <w:drawing>
                <wp:inline distT="0" distB="0" distL="114300" distR="114300">
                  <wp:extent cx="5029200" cy="361828"/>
                  <wp:effectExtent l="0" t="0" r="0" b="0"/>
                  <wp:docPr id="5002" name="公式12" descr="eq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公式12" descr="eq12"/>
                          <pic:cNvPicPr>
                            <a:picLocks noChangeAspect="1"/>
                          </pic:cNvPicPr>
                        </pic:nvPicPr>
                        <pic:blipFill>
                          <a:blip r:embed="rId26"/>
                          <a:stretch>
                            <a:fillRect/>
                          </a:stretch>
                        </pic:blipFill>
                        <pic:spPr>
                          <a:xfrm>
                            <a:off x="0" y="0"/>
                            <a:ext cx="5029200" cy="361828"/>
                          </a:xfrm>
                          <a:prstGeom prst="rect">
                            <a:avLst/>
                          </a:prstGeom>
                          <a:noFill/>
                          <a:ln w="9525">
                            <a:noFill/>
                          </a:ln>
                        </pic:spPr>
                      </pic:pic>
                    </a:graphicData>
                  </a:graphic>
                </wp:inline>
              </w:drawing>
            </w:r>
          </w:p>
        </w:tc>
        <w:tc>
          <w:tcPr>
            <w:tcW w:w="700" w:type="dxa"/>
            <w:tcBorders>
              <w:top w:val="nil"/>
              <w:left w:val="nil"/>
              <w:bottom w:val="nil"/>
              <w:right w:val="nil"/>
            </w:tcBorders>
            <w:vAlign w:val="center"/>
          </w:tcPr>
          <w:p>
            <w:pPr>
              <w:pStyle w:val="29"/>
              <w:ind w:left="0" w:leftChars="0" w:firstLine="0" w:firstLineChars="0"/>
              <w:jc w:val="right"/>
            </w:pPr>
            <w:r>
              <w:rPr>
                <w:rFonts w:hint="eastAsia"/>
                <w:lang w:val="en-US" w:eastAsia="zh-CN"/>
              </w:rPr>
              <w:t>(12)</w:t>
            </w:r>
          </w:p>
        </w:tc>
      </w:tr>
    </w:tbl>
    <w:p>
      <w:pPr>
        <w:pStyle w:val="29"/>
        <w:ind w:firstLine="480"/>
        <w:rPr>
          <w:rFonts w:hint="eastAsia"/>
          <w:lang w:val="en-US" w:eastAsia="zh-CN"/>
        </w:rPr>
      </w:pPr>
      <w:r>
        <w:rPr>
          <w:rFonts w:hint="eastAsia"/>
          <w:lang w:val="en-US" w:eastAsia="zh-CN"/>
        </w:rPr>
        <w:t>这一约束保证的是“对预测负荷目标的供给”，而非“对未知的实际负荷的供给”——这正是问题二相比问题一引入预测误差风险的根本原因，也是4.2.4.3节需要引入安全边际的动机。</w:t>
      </w:r>
    </w:p>
    <w:p>
      <w:pPr>
        <w:pStyle w:val="29"/>
        <w:ind w:firstLine="480"/>
        <w:rPr>
          <w:rFonts w:hint="eastAsia"/>
          <w:lang w:val="en-US" w:eastAsia="zh-CN"/>
        </w:rPr>
      </w:pPr>
      <w:r>
        <w:rPr>
          <w:rFonts w:hint="eastAsia"/>
          <w:lang w:val="en-US" w:eastAsia="zh-CN"/>
        </w:rPr>
        <w:t>（2）储电量的首末闭环约束（问题一式(5)中的s</w:t>
      </w:r>
      <w:r>
        <w:rPr>
          <w:rFonts w:hint="eastAsia"/>
          <w:vertAlign w:val="subscript"/>
          <w:lang w:val="en-US" w:eastAsia="zh-CN"/>
        </w:rPr>
        <w:t>0</w:t>
      </w:r>
      <w:r>
        <w:rPr>
          <w:rFonts w:hint="eastAsia"/>
          <w:lang w:val="en-US" w:eastAsia="zh-CN"/>
        </w:rPr>
        <w:t>=s</w:t>
      </w:r>
      <w:r>
        <w:rPr>
          <w:rFonts w:hint="eastAsia"/>
          <w:vertAlign w:val="subscript"/>
          <w:lang w:val="en-US" w:eastAsia="zh-CN"/>
        </w:rPr>
        <w:t>T</w:t>
      </w:r>
      <w:r>
        <w:rPr>
          <w:rFonts w:hint="eastAsia"/>
          <w:lang w:val="en-US" w:eastAsia="zh-CN"/>
        </w:rPr>
        <w:t>）替换为跨日滚动衔接：</w:t>
      </w:r>
    </w:p>
    <w:tbl>
      <w:tblPr>
        <w:tblW w:w="0" w:type="auto"/>
        <w:tblInd w:w="0" w:type="dxa"/>
        <w:tblBorders>
          <w:top w:val="nil"/>
          <w:left w:val="nil"/>
          <w:bottom w:val="nil"/>
          <w:right w:val="nil"/>
          <w:insideH w:val="nil"/>
          <w:insideV w:val="nil"/>
        </w:tblBorders>
        <w:shd w:val="clear" w:color="auto" w:fill="FFFFFF"/>
        <w:tblLayout w:type="autofit"/>
        <w:tblCellMar>
          <w:top w:w="0" w:type="dxa"/>
          <w:left w:w="0" w:type="dxa"/>
          <w:bottom w:w="0" w:type="dxa"/>
          <w:right w:w="0" w:type="dxa"/>
        </w:tblCellMar>
      </w:tblPr>
      <w:tblGrid>
        <w:gridCol w:w="86"/>
        <w:gridCol w:w="5114"/>
        <w:gridCol w:w="700"/>
      </w:tblGrid>
      <w:tr>
        <w:tc>
          <w:tcPr>
            <w:tcW w:w="90" w:type="dxa"/>
            <w:tcBorders>
              <w:top w:val="nil"/>
              <w:left w:val="nil"/>
              <w:bottom w:val="nil"/>
              <w:right w:val="nil"/>
            </w:tcBorders>
            <w:vAlign w:val="center"/>
          </w:tcPr>
          <w:p>
            <w:pPr>
              <w:pStyle w:val="29"/>
              <w:ind w:left="0" w:leftChars="0" w:firstLine="0" w:firstLineChars="0"/>
            </w:pPr>
          </w:p>
        </w:tc>
        <w:tc>
          <w:tcPr>
            <w:tcW w:w="5114" w:type="dxa"/>
            <w:tcBorders>
              <w:top w:val="nil"/>
              <w:left w:val="nil"/>
              <w:bottom w:val="nil"/>
              <w:right w:val="nil"/>
            </w:tcBorders>
            <w:vAlign w:val="center"/>
          </w:tcPr>
          <w:p>
            <w:pPr>
              <w:pStyle w:val="29"/>
              <w:ind w:left="0" w:leftChars="0" w:firstLine="0" w:firstLineChars="0"/>
              <w:jc w:val="center"/>
            </w:pPr>
            <w:r>
              <w:rPr>
                <w:rFonts w:hint="default"/>
                <w:lang w:val="en-US" w:eastAsia="zh-CN"/>
              </w:rPr>
              <w:drawing>
                <wp:inline distT="0" distB="0" distL="114300" distR="114300">
                  <wp:extent cx="3222040" cy="786612"/>
                  <wp:effectExtent l="0" t="0" r="0" b="0"/>
                  <wp:docPr id="5003" name="公式13" descr="eq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公式13" descr="eq13"/>
                          <pic:cNvPicPr>
                            <a:picLocks noChangeAspect="1"/>
                          </pic:cNvPicPr>
                        </pic:nvPicPr>
                        <pic:blipFill>
                          <a:blip r:embed="rId27"/>
                          <a:stretch>
                            <a:fillRect/>
                          </a:stretch>
                        </pic:blipFill>
                        <pic:spPr>
                          <a:xfrm>
                            <a:off x="0" y="0"/>
                            <a:ext cx="3222040" cy="786612"/>
                          </a:xfrm>
                          <a:prstGeom prst="rect">
                            <a:avLst/>
                          </a:prstGeom>
                          <a:noFill/>
                          <a:ln w="9525">
                            <a:noFill/>
                          </a:ln>
                        </pic:spPr>
                      </pic:pic>
                    </a:graphicData>
                  </a:graphic>
                </wp:inline>
              </w:drawing>
            </w:r>
          </w:p>
        </w:tc>
        <w:tc>
          <w:tcPr>
            <w:tcW w:w="700" w:type="dxa"/>
            <w:tcBorders>
              <w:top w:val="nil"/>
              <w:left w:val="nil"/>
              <w:bottom w:val="nil"/>
              <w:right w:val="nil"/>
            </w:tcBorders>
            <w:vAlign w:val="center"/>
          </w:tcPr>
          <w:p>
            <w:pPr>
              <w:pStyle w:val="29"/>
              <w:ind w:left="0" w:leftChars="0" w:firstLine="0" w:firstLineChars="0"/>
              <w:jc w:val="right"/>
            </w:pPr>
            <w:r>
              <w:rPr>
                <w:rFonts w:hint="eastAsia"/>
                <w:lang w:val="en-US" w:eastAsia="zh-CN"/>
              </w:rPr>
              <w:t>(13)</w:t>
            </w:r>
          </w:p>
        </w:tc>
      </w:tr>
    </w:tbl>
    <w:p>
      <w:pPr>
        <w:pStyle w:val="29"/>
        <w:ind w:firstLine="480"/>
        <w:rPr>
          <w:rFonts w:hint="eastAsia"/>
          <w:lang w:val="en-US" w:eastAsia="zh-CN"/>
        </w:rPr>
      </w:pPr>
      <w:r>
        <w:rPr>
          <w:rFonts w:hint="eastAsia"/>
          <w:lang w:val="en-US" w:eastAsia="zh-CN"/>
        </w:rPr>
        <w:t>其余约束——储能电量递推关系（问题一式(3)）、储电量上下界1200≤s</w:t>
      </w:r>
      <w:r>
        <w:rPr>
          <w:rFonts w:hint="eastAsia"/>
          <w:vertAlign w:val="subscript"/>
          <w:lang w:val="en-US" w:eastAsia="zh-CN"/>
        </w:rPr>
        <w:t>t</w:t>
      </w:r>
      <w:r>
        <w:rPr>
          <w:rFonts w:hint="eastAsia"/>
          <w:lang w:val="en-US" w:eastAsia="zh-CN"/>
        </w:rPr>
        <w:t>≤10800 kWh、充放电功率上限833.333 kWh、充放电互斥约束（问题一式(6)）——与问题一完全相同，不再重复列出。问题二每天求解的MILP在向量形式上与问题一式(10)完全一致，只需将其中的负荷向量替换为L̂</w:t>
      </w:r>
      <w:r>
        <w:rPr>
          <w:rFonts w:hint="eastAsia"/>
          <w:vertAlign w:val="subscript"/>
          <w:lang w:val="en-US" w:eastAsia="zh-CN"/>
        </w:rPr>
        <w:t>d,·</w:t>
      </w:r>
      <w:r>
        <w:rPr>
          <w:rFonts w:hint="eastAsia"/>
          <w:lang w:val="en-US" w:eastAsia="zh-CN"/>
        </w:rPr>
        <w:t>，光伏向量替换为p</w:t>
      </w:r>
      <w:r>
        <w:rPr>
          <w:rFonts w:hint="eastAsia"/>
          <w:vertAlign w:val="superscript"/>
          <w:lang w:val="en-US" w:eastAsia="zh-CN"/>
        </w:rPr>
        <w:t>PV,f</w:t>
      </w:r>
      <w:r>
        <w:rPr>
          <w:rFonts w:hint="eastAsia"/>
          <w:vertAlign w:val="subscript"/>
          <w:lang w:val="en-US" w:eastAsia="zh-CN"/>
        </w:rPr>
        <w:t>d,·</w:t>
      </w:r>
      <w:r>
        <w:rPr>
          <w:rFonts w:hint="eastAsia"/>
          <w:lang w:val="en-US" w:eastAsia="zh-CN"/>
        </w:rPr>
        <w:t>，并将等式约束替换为初始储电量约束s</w:t>
      </w:r>
      <w:r>
        <w:rPr>
          <w:rFonts w:hint="eastAsia"/>
          <w:vertAlign w:val="subscript"/>
          <w:lang w:val="en-US" w:eastAsia="zh-CN"/>
        </w:rPr>
        <w:t>d,0</w:t>
      </w:r>
      <w:r>
        <w:rPr>
          <w:rFonts w:hint="eastAsia"/>
          <w:lang w:val="en-US" w:eastAsia="zh-CN"/>
        </w:rPr>
        <w:t>=s</w:t>
      </w:r>
      <w:r>
        <w:rPr>
          <w:rFonts w:hint="eastAsia"/>
          <w:vertAlign w:val="subscript"/>
          <w:lang w:val="en-US" w:eastAsia="zh-CN"/>
        </w:rPr>
        <w:t>d-1,T</w:t>
      </w:r>
      <w:r>
        <w:rPr>
          <w:rFonts w:hint="eastAsia"/>
          <w:lang w:val="en-US" w:eastAsia="zh-CN"/>
        </w:rPr>
        <w:t>（用于替代问题一中的循环等式约束s</w:t>
      </w:r>
      <w:r>
        <w:rPr>
          <w:rFonts w:hint="eastAsia"/>
          <w:vertAlign w:val="subscript"/>
          <w:lang w:val="en-US" w:eastAsia="zh-CN"/>
        </w:rPr>
        <w:t>0</w:t>
      </w:r>
      <w:r>
        <w:rPr>
          <w:rFonts w:hint="eastAsia"/>
          <w:lang w:val="en-US" w:eastAsia="zh-CN"/>
        </w:rPr>
        <w:t>=s</w:t>
      </w:r>
      <w:r>
        <w:rPr>
          <w:rFonts w:hint="eastAsia"/>
          <w:vertAlign w:val="subscript"/>
          <w:lang w:val="en-US" w:eastAsia="zh-CN"/>
        </w:rPr>
        <w:t>T</w:t>
      </w:r>
      <w:r>
        <w:rPr>
          <w:rFonts w:hint="eastAsia"/>
          <w:lang w:val="en-US" w:eastAsia="zh-CN"/>
        </w:rPr>
        <w:t>）。</w:t>
      </w:r>
    </w:p>
    <w:p>
      <w:pPr>
        <w:pStyle w:val="29"/>
      </w:pPr>
    </w:p>
    <w:p>
      <w:pPr>
        <w:pStyle w:val="29"/>
        <w:ind w:firstLine="480"/>
        <w:rPr>
          <w:rFonts w:hint="eastAsia"/>
          <w:lang w:val="en-US" w:eastAsia="zh-CN"/>
        </w:rPr>
      </w:pPr>
      <w:r>
        <w:rPr>
          <w:rFonts w:hint="eastAsia"/>
          <w:lang w:val="en-US" w:eastAsia="zh-CN"/>
        </w:rPr>
        <w:t>4.2.4.3 报童安全边际：为什么不能直接用点预测求解</w:t>
      </w:r>
    </w:p>
    <w:p>
      <w:pPr>
        <w:pStyle w:val="29"/>
        <w:ind w:firstLine="480"/>
        <w:rPr>
          <w:rFonts w:hint="eastAsia"/>
          <w:lang w:val="en-US" w:eastAsia="zh-CN"/>
        </w:rPr>
      </w:pPr>
      <w:r>
        <w:rPr>
          <w:rFonts w:hint="eastAsia"/>
          <w:lang w:val="en-US" w:eastAsia="zh-CN"/>
        </w:rPr>
        <w:t>若直接将预测负荷L</w:t>
      </w:r>
      <w:r>
        <w:rPr>
          <w:rFonts w:hint="eastAsia"/>
          <w:vertAlign w:val="superscript"/>
          <w:lang w:val="en-US" w:eastAsia="zh-CN"/>
        </w:rPr>
        <w:t>f</w:t>
      </w:r>
      <w:r>
        <w:rPr>
          <w:rFonts w:hint="eastAsia"/>
          <w:vertAlign w:val="subscript"/>
          <w:lang w:val="en-US" w:eastAsia="zh-CN"/>
        </w:rPr>
        <w:t>d,t</w:t>
      </w:r>
      <w:r>
        <w:rPr>
          <w:rFonts w:hint="eastAsia"/>
          <w:lang w:val="en-US" w:eastAsia="zh-CN"/>
        </w:rPr>
        <w:t>代入上述MILP（即取L̂=L</w:t>
      </w:r>
      <w:r>
        <w:rPr>
          <w:rFonts w:hint="eastAsia"/>
          <w:vertAlign w:val="superscript"/>
          <w:lang w:val="en-US" w:eastAsia="zh-CN"/>
        </w:rPr>
        <w:t>f</w:t>
      </w:r>
      <w:r>
        <w:rPr>
          <w:rFonts w:hint="eastAsia"/>
          <w:lang w:val="en-US" w:eastAsia="zh-CN"/>
        </w:rPr>
        <w:t>），模型只保证“购电量恰好满足预测负荷”，不会为吸收预测误差留出裕量。而负荷、光伏预测总存在随机误差：一旦当天实际净负荷（负荷−光伏）高于预测，缺口就要按5倍电价紧急购电，代价远高于提前多买一点电——若提前多买、当天用不完，只是被浪费（成本为1倍电价，无额外惩罚）。这是一个典型的报童（newsvendor）决策问题：设每单位电量“买少了”（缺量、需紧急购电补足）的成本为C</w:t>
      </w:r>
      <w:r>
        <w:rPr>
          <w:rFonts w:hint="eastAsia"/>
          <w:vertAlign w:val="subscript"/>
          <w:lang w:val="en-US" w:eastAsia="zh-CN"/>
        </w:rPr>
        <w:t>u</w:t>
      </w:r>
      <w:r>
        <w:rPr>
          <w:rFonts w:hint="eastAsia"/>
          <w:lang w:val="en-US" w:eastAsia="zh-CN"/>
        </w:rPr>
        <w:t>，“买多了”（超量、多余电量弃用）的成本为C</w:t>
      </w:r>
      <w:r>
        <w:rPr>
          <w:rFonts w:hint="eastAsia"/>
          <w:vertAlign w:val="subscript"/>
          <w:lang w:val="en-US" w:eastAsia="zh-CN"/>
        </w:rPr>
        <w:t>o</w:t>
      </w:r>
      <w:r>
        <w:rPr>
          <w:rFonts w:hint="eastAsia"/>
          <w:lang w:val="en-US" w:eastAsia="zh-CN"/>
        </w:rPr>
        <w:t>，取m=5为紧急购电倍数，则</w:t>
      </w:r>
    </w:p>
    <w:tbl>
      <w:tblPr>
        <w:tblW w:w="0" w:type="auto"/>
        <w:tblInd w:w="0" w:type="dxa"/>
        <w:tblBorders>
          <w:top w:val="nil"/>
          <w:left w:val="nil"/>
          <w:bottom w:val="nil"/>
          <w:right w:val="nil"/>
          <w:insideH w:val="nil"/>
          <w:insideV w:val="nil"/>
        </w:tblBorders>
        <w:shd w:val="clear" w:color="auto" w:fill="FFFFFF"/>
        <w:tblLayout w:type="autofit"/>
        <w:tblCellMar>
          <w:top w:w="0" w:type="dxa"/>
          <w:left w:w="0" w:type="dxa"/>
          <w:bottom w:w="0" w:type="dxa"/>
          <w:right w:w="0" w:type="dxa"/>
        </w:tblCellMar>
      </w:tblPr>
      <w:tblGrid>
        <w:gridCol w:w="86"/>
        <w:gridCol w:w="7960"/>
        <w:gridCol w:w="700"/>
      </w:tblGrid>
      <w:tr>
        <w:tc>
          <w:tcPr>
            <w:tcW w:w="90" w:type="dxa"/>
            <w:tcBorders>
              <w:top w:val="nil"/>
              <w:left w:val="nil"/>
              <w:bottom w:val="nil"/>
              <w:right w:val="nil"/>
            </w:tcBorders>
            <w:vAlign w:val="center"/>
          </w:tcPr>
          <w:p>
            <w:pPr>
              <w:pStyle w:val="29"/>
              <w:ind w:left="0" w:leftChars="0" w:firstLine="0" w:firstLineChars="0"/>
            </w:pPr>
          </w:p>
        </w:tc>
        <w:tc>
          <w:tcPr>
            <w:tcW w:w="7960" w:type="dxa"/>
            <w:tcBorders>
              <w:top w:val="nil"/>
              <w:left w:val="nil"/>
              <w:bottom w:val="nil"/>
              <w:right w:val="nil"/>
            </w:tcBorders>
            <w:vAlign w:val="center"/>
          </w:tcPr>
          <w:p>
            <w:pPr>
              <w:pStyle w:val="29"/>
              <w:ind w:left="0" w:leftChars="0" w:firstLine="0" w:firstLineChars="0"/>
              <w:jc w:val="center"/>
            </w:pPr>
            <w:r>
              <w:rPr>
                <w:rFonts w:hint="default"/>
                <w:lang w:val="en-US" w:eastAsia="zh-CN"/>
              </w:rPr>
              <w:drawing>
                <wp:inline distT="0" distB="0" distL="114300" distR="114300">
                  <wp:extent cx="5029200" cy="424575"/>
                  <wp:effectExtent l="0" t="0" r="0" b="0"/>
                  <wp:docPr id="5004" name="公式14" descr="eq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公式14" descr="eq14"/>
                          <pic:cNvPicPr>
                            <a:picLocks noChangeAspect="1"/>
                          </pic:cNvPicPr>
                        </pic:nvPicPr>
                        <pic:blipFill>
                          <a:blip r:embed="rId28"/>
                          <a:stretch>
                            <a:fillRect/>
                          </a:stretch>
                        </pic:blipFill>
                        <pic:spPr>
                          <a:xfrm>
                            <a:off x="0" y="0"/>
                            <a:ext cx="5029200" cy="424575"/>
                          </a:xfrm>
                          <a:prstGeom prst="rect">
                            <a:avLst/>
                          </a:prstGeom>
                          <a:noFill/>
                          <a:ln w="9525">
                            <a:noFill/>
                          </a:ln>
                        </pic:spPr>
                      </pic:pic>
                    </a:graphicData>
                  </a:graphic>
                </wp:inline>
              </w:drawing>
            </w:r>
          </w:p>
        </w:tc>
        <w:tc>
          <w:tcPr>
            <w:tcW w:w="700" w:type="dxa"/>
            <w:tcBorders>
              <w:top w:val="nil"/>
              <w:left w:val="nil"/>
              <w:bottom w:val="nil"/>
              <w:right w:val="nil"/>
            </w:tcBorders>
            <w:vAlign w:val="center"/>
          </w:tcPr>
          <w:p>
            <w:pPr>
              <w:pStyle w:val="29"/>
              <w:ind w:left="0" w:leftChars="0" w:firstLine="0" w:firstLineChars="0"/>
              <w:jc w:val="right"/>
            </w:pPr>
            <w:r>
              <w:rPr>
                <w:rFonts w:hint="eastAsia"/>
                <w:lang w:val="en-US" w:eastAsia="zh-CN"/>
              </w:rPr>
              <w:t>(14)</w:t>
            </w:r>
          </w:p>
        </w:tc>
      </w:tr>
    </w:tbl>
    <w:p>
      <w:pPr>
        <w:pStyle w:val="29"/>
        <w:ind w:firstLine="480"/>
        <w:rPr>
          <w:rFonts w:hint="eastAsia"/>
          <w:lang w:val="en-US" w:eastAsia="zh-CN"/>
        </w:rPr>
      </w:pPr>
      <w:r>
        <w:rPr>
          <w:rFonts w:hint="eastAsia"/>
          <w:lang w:val="en-US" w:eastAsia="zh-CN"/>
        </w:rPr>
        <w:t>该结果与电价π</w:t>
      </w:r>
      <w:r>
        <w:rPr>
          <w:rFonts w:hint="eastAsia"/>
          <w:vertAlign w:val="subscript"/>
          <w:lang w:val="en-US" w:eastAsia="zh-CN"/>
        </w:rPr>
        <w:t>t</w:t>
      </w:r>
      <w:r>
        <w:rPr>
          <w:rFonts w:hint="eastAsia"/>
          <w:lang w:val="en-US" w:eastAsia="zh-CN"/>
        </w:rPr>
        <w:t>本身无关，只取决于紧急购电倍数m，即最优策略应使“供给目标不低于实际净负荷”的概率达到80%。</w:t>
      </w:r>
    </w:p>
    <w:p>
      <w:pPr>
        <w:pStyle w:val="29"/>
        <w:ind w:firstLine="480"/>
        <w:rPr>
          <w:rFonts w:hint="eastAsia"/>
          <w:lang w:val="en-US" w:eastAsia="zh-CN"/>
        </w:rPr>
      </w:pPr>
      <w:r>
        <w:rPr>
          <w:rFonts w:hint="eastAsia"/>
          <w:lang w:val="en-US" w:eastAsia="zh-CN"/>
        </w:rPr>
        <w:t>据此，本文不直接使用点预测L</w:t>
      </w:r>
      <w:r>
        <w:rPr>
          <w:rFonts w:hint="eastAsia"/>
          <w:vertAlign w:val="superscript"/>
          <w:lang w:val="en-US" w:eastAsia="zh-CN"/>
        </w:rPr>
        <w:t>f</w:t>
      </w:r>
      <w:r>
        <w:rPr>
          <w:rFonts w:hint="eastAsia"/>
          <w:vertAlign w:val="subscript"/>
          <w:lang w:val="en-US" w:eastAsia="zh-CN"/>
        </w:rPr>
        <w:t>d,t</w:t>
      </w:r>
      <w:r>
        <w:rPr>
          <w:rFonts w:hint="eastAsia"/>
          <w:lang w:val="en-US" w:eastAsia="zh-CN"/>
        </w:rPr>
        <w:t>，而是在其基础上叠加“净负荷预测误差的滚动80分位数”作为安全边际，得到供给目标</w:t>
      </w:r>
    </w:p>
    <w:tbl>
      <w:tblPr>
        <w:tblW w:w="0" w:type="auto"/>
        <w:tblInd w:w="0" w:type="dxa"/>
        <w:tblBorders>
          <w:top w:val="nil"/>
          <w:left w:val="nil"/>
          <w:bottom w:val="nil"/>
          <w:right w:val="nil"/>
          <w:insideH w:val="nil"/>
          <w:insideV w:val="nil"/>
        </w:tblBorders>
        <w:shd w:val="clear" w:color="auto" w:fill="FFFFFF"/>
        <w:tblLayout w:type="autofit"/>
        <w:tblCellMar>
          <w:top w:w="0" w:type="dxa"/>
          <w:left w:w="0" w:type="dxa"/>
          <w:bottom w:w="0" w:type="dxa"/>
          <w:right w:w="0" w:type="dxa"/>
        </w:tblCellMar>
      </w:tblPr>
      <w:tblGrid>
        <w:gridCol w:w="86"/>
        <w:gridCol w:w="6903"/>
        <w:gridCol w:w="700"/>
      </w:tblGrid>
      <w:tr>
        <w:tc>
          <w:tcPr>
            <w:tcW w:w="90" w:type="dxa"/>
            <w:tcBorders>
              <w:top w:val="nil"/>
              <w:left w:val="nil"/>
              <w:bottom w:val="nil"/>
              <w:right w:val="nil"/>
            </w:tcBorders>
            <w:vAlign w:val="center"/>
          </w:tcPr>
          <w:p>
            <w:pPr>
              <w:pStyle w:val="29"/>
              <w:ind w:left="0" w:leftChars="0" w:firstLine="0" w:firstLineChars="0"/>
            </w:pPr>
          </w:p>
        </w:tc>
        <w:tc>
          <w:tcPr>
            <w:tcW w:w="6903" w:type="dxa"/>
            <w:tcBorders>
              <w:top w:val="nil"/>
              <w:left w:val="nil"/>
              <w:bottom w:val="nil"/>
              <w:right w:val="nil"/>
            </w:tcBorders>
            <w:vAlign w:val="center"/>
          </w:tcPr>
          <w:p>
            <w:pPr>
              <w:pStyle w:val="29"/>
              <w:ind w:left="0" w:leftChars="0" w:firstLine="0" w:firstLineChars="0"/>
              <w:jc w:val="center"/>
            </w:pPr>
            <w:r>
              <w:rPr>
                <w:rFonts w:hint="default"/>
                <w:lang w:val="en-US" w:eastAsia="zh-CN"/>
              </w:rPr>
              <w:drawing>
                <wp:inline distT="0" distB="0" distL="114300" distR="114300">
                  <wp:extent cx="4358259" cy="956691"/>
                  <wp:effectExtent l="0" t="0" r="0" b="0"/>
                  <wp:docPr id="5005" name="公式15" descr="eq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公式15" descr="eq15"/>
                          <pic:cNvPicPr>
                            <a:picLocks noChangeAspect="1"/>
                          </pic:cNvPicPr>
                        </pic:nvPicPr>
                        <pic:blipFill>
                          <a:blip r:embed="rId29"/>
                          <a:stretch>
                            <a:fillRect/>
                          </a:stretch>
                        </pic:blipFill>
                        <pic:spPr>
                          <a:xfrm>
                            <a:off x="0" y="0"/>
                            <a:ext cx="4358259" cy="956691"/>
                          </a:xfrm>
                          <a:prstGeom prst="rect">
                            <a:avLst/>
                          </a:prstGeom>
                          <a:noFill/>
                          <a:ln w="9525">
                            <a:noFill/>
                          </a:ln>
                        </pic:spPr>
                      </pic:pic>
                    </a:graphicData>
                  </a:graphic>
                </wp:inline>
              </w:drawing>
            </w:r>
          </w:p>
        </w:tc>
        <w:tc>
          <w:tcPr>
            <w:tcW w:w="700" w:type="dxa"/>
            <w:tcBorders>
              <w:top w:val="nil"/>
              <w:left w:val="nil"/>
              <w:bottom w:val="nil"/>
              <w:right w:val="nil"/>
            </w:tcBorders>
            <w:vAlign w:val="center"/>
          </w:tcPr>
          <w:p>
            <w:pPr>
              <w:pStyle w:val="29"/>
              <w:ind w:left="0" w:leftChars="0" w:firstLine="0" w:firstLineChars="0"/>
              <w:jc w:val="right"/>
            </w:pPr>
            <w:r>
              <w:rPr>
                <w:rFonts w:hint="eastAsia"/>
                <w:lang w:val="en-US" w:eastAsia="zh-CN"/>
              </w:rPr>
              <w:t>(15)</w:t>
            </w:r>
          </w:p>
        </w:tc>
      </w:tr>
    </w:tbl>
    <w:p>
      <w:pPr>
        <w:pStyle w:val="29"/>
        <w:ind w:firstLine="480"/>
        <w:rPr>
          <w:rFonts w:hint="eastAsia"/>
          <w:lang w:val="en-US" w:eastAsia="zh-CN"/>
        </w:rPr>
      </w:pPr>
      <w:r>
        <w:rPr>
          <w:rFonts w:hint="eastAsia"/>
          <w:lang w:val="en-US" w:eastAsia="zh-CN"/>
        </w:rPr>
        <w:t>其中e</w:t>
      </w:r>
      <w:r>
        <w:rPr>
          <w:rFonts w:hint="eastAsia"/>
          <w:vertAlign w:val="subscript"/>
          <w:lang w:val="en-US" w:eastAsia="zh-CN"/>
        </w:rPr>
        <w:t>d,t</w:t>
      </w:r>
      <w:r>
        <w:rPr>
          <w:rFonts w:hint="eastAsia"/>
          <w:lang w:val="en-US" w:eastAsia="zh-CN"/>
        </w:rPr>
        <w:t>为净负荷预测误差（实际净负荷与预测净负荷之差），Q</w:t>
      </w:r>
      <w:r>
        <w:rPr>
          <w:rFonts w:hint="eastAsia"/>
          <w:vertAlign w:val="subscript"/>
          <w:lang w:val="en-US" w:eastAsia="zh-CN"/>
        </w:rPr>
        <w:t>t</w:t>
      </w:r>
      <w:r>
        <w:rPr>
          <w:rFonts w:hint="eastAsia"/>
          <w:vertAlign w:val="superscript"/>
          <w:lang w:val="en-US" w:eastAsia="zh-CN"/>
        </w:rPr>
        <w:t>(q*)</w:t>
      </w:r>
      <w:r>
        <w:rPr>
          <w:rFonts w:hint="eastAsia"/>
          <w:lang w:val="en-US" w:eastAsia="zh-CN"/>
        </w:rPr>
        <w:t>表示最近60天窗口内、按时段t分别统计的q*分位数——144个时段各自独立维护一条误差序列，以适应负荷、光伏预测误差随时段变化的异方差特征。仿真开始时误差历史为空，安全边际取0，随着仿真推进逐步积累。</w:t>
      </w:r>
    </w:p>
    <w:p>
      <w:pPr>
        <w:pStyle w:val="29"/>
      </w:pPr>
    </w:p>
    <w:p>
      <w:pPr>
        <w:pStyle w:val="29"/>
        <w:ind w:firstLine="480"/>
        <w:rPr>
          <w:rFonts w:hint="eastAsia"/>
          <w:lang w:val="en-US" w:eastAsia="zh-CN"/>
        </w:rPr>
      </w:pPr>
      <w:r>
        <w:rPr>
          <w:rFonts w:hint="eastAsia"/>
          <w:lang w:val="en-US" w:eastAsia="zh-CN"/>
        </w:rPr>
        <w:t>4.2.5 全年滚动仿真流程与实际结算</w:t>
      </w:r>
    </w:p>
    <w:p>
      <w:pPr>
        <w:pStyle w:val="29"/>
        <w:ind w:firstLine="480"/>
        <w:rPr>
          <w:rFonts w:hint="eastAsia"/>
          <w:lang w:val="en-US" w:eastAsia="zh-CN"/>
        </w:rPr>
      </w:pPr>
      <w:r>
        <w:rPr>
          <w:rFonts w:hint="eastAsia"/>
          <w:lang w:val="en-US" w:eastAsia="zh-CN"/>
        </w:rPr>
        <w:t>结合4.2.3的预测模型和4.2.4的日前购电模型，问题二按以下流程逐日（d=1,…,365）滚动仿真：</w:t>
      </w:r>
    </w:p>
    <w:p>
      <w:pPr>
        <w:pStyle w:val="29"/>
        <w:ind w:firstLine="480"/>
        <w:rPr>
          <w:rFonts w:hint="eastAsia"/>
          <w:lang w:val="en-US" w:eastAsia="zh-CN"/>
        </w:rPr>
      </w:pPr>
      <w:r>
        <w:rPr>
          <w:rFonts w:hint="eastAsia"/>
          <w:lang w:val="en-US" w:eastAsia="zh-CN"/>
        </w:rPr>
        <w:t>第一步（0:00计划）：用第d天之前的历史数据，分别通过版本A或版本B得到预测L</w:t>
      </w:r>
      <w:r>
        <w:rPr>
          <w:rFonts w:hint="eastAsia"/>
          <w:vertAlign w:val="superscript"/>
          <w:lang w:val="en-US" w:eastAsia="zh-CN"/>
        </w:rPr>
        <w:t>f</w:t>
      </w:r>
      <w:r>
        <w:rPr>
          <w:rFonts w:hint="eastAsia"/>
          <w:vertAlign w:val="subscript"/>
          <w:lang w:val="en-US" w:eastAsia="zh-CN"/>
        </w:rPr>
        <w:t>d,·</w:t>
      </w:r>
      <w:r>
        <w:rPr>
          <w:rFonts w:hint="eastAsia"/>
          <w:lang w:val="en-US" w:eastAsia="zh-CN"/>
        </w:rPr>
        <w:t>、p</w:t>
      </w:r>
      <w:r>
        <w:rPr>
          <w:rFonts w:hint="eastAsia"/>
          <w:vertAlign w:val="superscript"/>
          <w:lang w:val="en-US" w:eastAsia="zh-CN"/>
        </w:rPr>
        <w:t>PV,f</w:t>
      </w:r>
      <w:r>
        <w:rPr>
          <w:rFonts w:hint="eastAsia"/>
          <w:vertAlign w:val="subscript"/>
          <w:lang w:val="en-US" w:eastAsia="zh-CN"/>
        </w:rPr>
        <w:t>d,·</w:t>
      </w:r>
      <w:r>
        <w:rPr>
          <w:rFonts w:hint="eastAsia"/>
          <w:lang w:val="en-US" w:eastAsia="zh-CN"/>
        </w:rPr>
        <w:t>，叠加安全边际得到供给目标L̂</w:t>
      </w:r>
      <w:r>
        <w:rPr>
          <w:rFonts w:hint="eastAsia"/>
          <w:vertAlign w:val="subscript"/>
          <w:lang w:val="en-US" w:eastAsia="zh-CN"/>
        </w:rPr>
        <w:t>d,·</w:t>
      </w:r>
      <w:r>
        <w:rPr>
          <w:rFonts w:hint="eastAsia"/>
          <w:lang w:val="en-US" w:eastAsia="zh-CN"/>
        </w:rPr>
        <w:t>，以s</w:t>
      </w:r>
      <w:r>
        <w:rPr>
          <w:rFonts w:hint="eastAsia"/>
          <w:vertAlign w:val="subscript"/>
          <w:lang w:val="en-US" w:eastAsia="zh-CN"/>
        </w:rPr>
        <w:t>d-1,T</w:t>
      </w:r>
      <w:r>
        <w:rPr>
          <w:rFonts w:hint="eastAsia"/>
          <w:lang w:val="en-US" w:eastAsia="zh-CN"/>
        </w:rPr>
        <w:t>（或初始SOC</w:t>
      </w:r>
      <w:r>
        <w:rPr>
          <w:rFonts w:hint="eastAsia"/>
          <w:vertAlign w:val="subscript"/>
          <w:lang w:val="en-US" w:eastAsia="zh-CN"/>
        </w:rPr>
        <w:t>0</w:t>
      </w:r>
      <w:r>
        <w:rPr>
          <w:rFonts w:hint="eastAsia"/>
          <w:lang w:val="en-US" w:eastAsia="zh-CN"/>
        </w:rPr>
        <w:t>=6000 kWh）为初始储电量，求解4.2.4节的MILP，得到当天计划g</w:t>
      </w:r>
      <w:r>
        <w:rPr>
          <w:rFonts w:hint="eastAsia"/>
          <w:vertAlign w:val="subscript"/>
          <w:lang w:val="en-US" w:eastAsia="zh-CN"/>
        </w:rPr>
        <w:t>d,·</w:t>
      </w:r>
      <w:r>
        <w:rPr>
          <w:rFonts w:hint="eastAsia"/>
          <w:lang w:val="en-US" w:eastAsia="zh-CN"/>
        </w:rPr>
        <w:t>、c</w:t>
      </w:r>
      <w:r>
        <w:rPr>
          <w:rFonts w:hint="eastAsia"/>
          <w:vertAlign w:val="subscript"/>
          <w:lang w:val="en-US" w:eastAsia="zh-CN"/>
        </w:rPr>
        <w:t>d,·</w:t>
      </w:r>
      <w:r>
        <w:rPr>
          <w:rFonts w:hint="eastAsia"/>
          <w:lang w:val="en-US" w:eastAsia="zh-CN"/>
        </w:rPr>
        <w:t>、d</w:t>
      </w:r>
      <w:r>
        <w:rPr>
          <w:rFonts w:hint="eastAsia"/>
          <w:vertAlign w:val="subscript"/>
          <w:lang w:val="en-US" w:eastAsia="zh-CN"/>
        </w:rPr>
        <w:t>d,·</w:t>
      </w:r>
      <w:r>
        <w:rPr>
          <w:rFonts w:hint="eastAsia"/>
          <w:lang w:val="en-US" w:eastAsia="zh-CN"/>
        </w:rPr>
        <w:t>、s</w:t>
      </w:r>
      <w:r>
        <w:rPr>
          <w:rFonts w:hint="eastAsia"/>
          <w:vertAlign w:val="subscript"/>
          <w:lang w:val="en-US" w:eastAsia="zh-CN"/>
        </w:rPr>
        <w:t>d,·</w:t>
      </w:r>
      <w:r>
        <w:rPr>
          <w:rFonts w:hint="eastAsia"/>
          <w:lang w:val="en-US" w:eastAsia="zh-CN"/>
        </w:rPr>
        <w:t>。</w:t>
      </w:r>
    </w:p>
    <w:p>
      <w:pPr>
        <w:pStyle w:val="29"/>
        <w:ind w:firstLine="480"/>
        <w:rPr>
          <w:rFonts w:hint="eastAsia"/>
          <w:lang w:val="en-US" w:eastAsia="zh-CN"/>
        </w:rPr>
      </w:pPr>
      <w:r>
        <w:rPr>
          <w:rFonts w:hint="eastAsia"/>
          <w:lang w:val="en-US" w:eastAsia="zh-CN"/>
        </w:rPr>
        <w:t>第二步（结算）：当天结束后，用附件2给出的实际负荷a</w:t>
      </w:r>
      <w:r>
        <w:rPr>
          <w:rFonts w:hint="eastAsia"/>
          <w:vertAlign w:val="superscript"/>
          <w:lang w:val="en-US" w:eastAsia="zh-CN"/>
        </w:rPr>
        <w:t>L</w:t>
      </w:r>
      <w:r>
        <w:rPr>
          <w:rFonts w:hint="eastAsia"/>
          <w:vertAlign w:val="subscript"/>
          <w:lang w:val="en-US" w:eastAsia="zh-CN"/>
        </w:rPr>
        <w:t>d,t</w:t>
      </w:r>
      <w:r>
        <w:rPr>
          <w:rFonts w:hint="eastAsia"/>
          <w:lang w:val="en-US" w:eastAsia="zh-CN"/>
        </w:rPr>
        <w:t>、实际光伏a</w:t>
      </w:r>
      <w:r>
        <w:rPr>
          <w:rFonts w:hint="eastAsia"/>
          <w:vertAlign w:val="superscript"/>
          <w:lang w:val="en-US" w:eastAsia="zh-CN"/>
        </w:rPr>
        <w:t>PV</w:t>
      </w:r>
      <w:r>
        <w:rPr>
          <w:rFonts w:hint="eastAsia"/>
          <w:vertAlign w:val="subscript"/>
          <w:lang w:val="en-US" w:eastAsia="zh-CN"/>
        </w:rPr>
        <w:t>d,t</w:t>
      </w:r>
      <w:r>
        <w:rPr>
          <w:rFonts w:hint="eastAsia"/>
          <w:lang w:val="en-US" w:eastAsia="zh-CN"/>
        </w:rPr>
        <w:t>回代，按计划执行的g</w:t>
      </w:r>
      <w:r>
        <w:rPr>
          <w:rFonts w:hint="eastAsia"/>
          <w:vertAlign w:val="subscript"/>
          <w:lang w:val="en-US" w:eastAsia="zh-CN"/>
        </w:rPr>
        <w:t>d,t</w:t>
      </w:r>
      <w:r>
        <w:rPr>
          <w:rFonts w:hint="eastAsia"/>
          <w:lang w:val="en-US" w:eastAsia="zh-CN"/>
        </w:rPr>
        <w:t>、c</w:t>
      </w:r>
      <w:r>
        <w:rPr>
          <w:rFonts w:hint="eastAsia"/>
          <w:vertAlign w:val="subscript"/>
          <w:lang w:val="en-US" w:eastAsia="zh-CN"/>
        </w:rPr>
        <w:t>d,t</w:t>
      </w:r>
      <w:r>
        <w:rPr>
          <w:rFonts w:hint="eastAsia"/>
          <w:lang w:val="en-US" w:eastAsia="zh-CN"/>
        </w:rPr>
        <w:t>、d</w:t>
      </w:r>
      <w:r>
        <w:rPr>
          <w:rFonts w:hint="eastAsia"/>
          <w:vertAlign w:val="subscript"/>
          <w:lang w:val="en-US" w:eastAsia="zh-CN"/>
        </w:rPr>
        <w:t>d,t</w:t>
      </w:r>
      <w:r>
        <w:rPr>
          <w:rFonts w:hint="eastAsia"/>
          <w:lang w:val="en-US" w:eastAsia="zh-CN"/>
        </w:rPr>
        <w:t>计算实际缺口与紧急购电费</w:t>
      </w:r>
    </w:p>
    <w:tbl>
      <w:tblPr>
        <w:tblW w:w="0" w:type="auto"/>
        <w:tblInd w:w="0" w:type="dxa"/>
        <w:tblBorders>
          <w:top w:val="nil"/>
          <w:left w:val="nil"/>
          <w:bottom w:val="nil"/>
          <w:right w:val="nil"/>
          <w:insideH w:val="nil"/>
          <w:insideV w:val="nil"/>
        </w:tblBorders>
        <w:shd w:val="clear" w:color="auto" w:fill="FFFFFF"/>
        <w:tblLayout w:type="autofit"/>
        <w:tblCellMar>
          <w:top w:w="0" w:type="dxa"/>
          <w:left w:w="0" w:type="dxa"/>
          <w:bottom w:w="0" w:type="dxa"/>
          <w:right w:w="0" w:type="dxa"/>
        </w:tblCellMar>
      </w:tblPr>
      <w:tblGrid>
        <w:gridCol w:w="86"/>
        <w:gridCol w:w="7520"/>
        <w:gridCol w:w="700"/>
      </w:tblGrid>
      <w:tr>
        <w:tc>
          <w:tcPr>
            <w:tcW w:w="90" w:type="dxa"/>
            <w:tcBorders>
              <w:top w:val="nil"/>
              <w:left w:val="nil"/>
              <w:bottom w:val="nil"/>
              <w:right w:val="nil"/>
            </w:tcBorders>
            <w:vAlign w:val="center"/>
          </w:tcPr>
          <w:p>
            <w:pPr>
              <w:pStyle w:val="29"/>
              <w:ind w:left="0" w:leftChars="0" w:firstLine="0" w:firstLineChars="0"/>
            </w:pPr>
          </w:p>
        </w:tc>
        <w:tc>
          <w:tcPr>
            <w:tcW w:w="7520" w:type="dxa"/>
            <w:tcBorders>
              <w:top w:val="nil"/>
              <w:left w:val="nil"/>
              <w:bottom w:val="nil"/>
              <w:right w:val="nil"/>
            </w:tcBorders>
            <w:vAlign w:val="center"/>
          </w:tcPr>
          <w:p>
            <w:pPr>
              <w:pStyle w:val="29"/>
              <w:ind w:left="0" w:leftChars="0" w:firstLine="0" w:firstLineChars="0"/>
              <w:jc w:val="center"/>
            </w:pPr>
            <w:r>
              <w:rPr>
                <w:rFonts w:hint="default"/>
                <w:lang w:val="en-US" w:eastAsia="zh-CN"/>
              </w:rPr>
              <w:drawing>
                <wp:inline distT="0" distB="0" distL="114300" distR="114300">
                  <wp:extent cx="4750384" cy="1228344"/>
                  <wp:effectExtent l="0" t="0" r="0" b="0"/>
                  <wp:docPr id="5006" name="公式18" descr="eq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公式18" descr="eq18"/>
                          <pic:cNvPicPr>
                            <a:picLocks noChangeAspect="1"/>
                          </pic:cNvPicPr>
                        </pic:nvPicPr>
                        <pic:blipFill>
                          <a:blip r:embed="rId30"/>
                          <a:stretch>
                            <a:fillRect/>
                          </a:stretch>
                        </pic:blipFill>
                        <pic:spPr>
                          <a:xfrm>
                            <a:off x="0" y="0"/>
                            <a:ext cx="4750384" cy="1228344"/>
                          </a:xfrm>
                          <a:prstGeom prst="rect">
                            <a:avLst/>
                          </a:prstGeom>
                          <a:noFill/>
                          <a:ln w="9525">
                            <a:noFill/>
                          </a:ln>
                        </pic:spPr>
                      </pic:pic>
                    </a:graphicData>
                  </a:graphic>
                </wp:inline>
              </w:drawing>
            </w:r>
          </w:p>
        </w:tc>
        <w:tc>
          <w:tcPr>
            <w:tcW w:w="700" w:type="dxa"/>
            <w:tcBorders>
              <w:top w:val="nil"/>
              <w:left w:val="nil"/>
              <w:bottom w:val="nil"/>
              <w:right w:val="nil"/>
            </w:tcBorders>
            <w:vAlign w:val="center"/>
          </w:tcPr>
          <w:p>
            <w:pPr>
              <w:pStyle w:val="29"/>
              <w:ind w:left="0" w:leftChars="0" w:firstLine="0" w:firstLineChars="0"/>
              <w:jc w:val="right"/>
            </w:pPr>
            <w:r>
              <w:rPr>
                <w:rFonts w:hint="eastAsia"/>
                <w:lang w:val="en-US" w:eastAsia="zh-CN"/>
              </w:rPr>
              <w:t>(18)</w:t>
            </w:r>
          </w:p>
        </w:tc>
      </w:tr>
    </w:tbl>
    <w:p>
      <w:pPr>
        <w:pStyle w:val="29"/>
        <w:ind w:firstLine="480"/>
        <w:rPr>
          <w:rFonts w:hint="eastAsia"/>
          <w:lang w:val="en-US" w:eastAsia="zh-CN"/>
        </w:rPr>
      </w:pPr>
      <w:r>
        <w:rPr>
          <w:rFonts w:hint="eastAsia"/>
          <w:lang w:val="en-US" w:eastAsia="zh-CN"/>
        </w:rPr>
        <w:t>第三步（滚动衔接与更新）：以s</w:t>
      </w:r>
      <w:r>
        <w:rPr>
          <w:rFonts w:hint="eastAsia"/>
          <w:vertAlign w:val="subscript"/>
          <w:lang w:val="en-US" w:eastAsia="zh-CN"/>
        </w:rPr>
        <w:t>d,T</w:t>
      </w:r>
      <w:r>
        <w:rPr>
          <w:rFonts w:hint="eastAsia"/>
          <w:lang w:val="en-US" w:eastAsia="zh-CN"/>
        </w:rPr>
        <w:t>作为第d+1天的初始储电量；用当天实际值更新预测模型状态（版本A更新水平项、周期项与晴空指数，版本B将当天数据并入下一次训练所用的历史样本）；用当天的预测净负荷与实际净负荷之差更新安全边际的误差滚动窗口。</w:t>
      </w:r>
    </w:p>
    <w:p>
      <w:pPr>
        <w:pStyle w:val="29"/>
        <w:ind w:firstLine="480"/>
        <w:rPr>
          <w:rFonts w:hint="eastAsia"/>
          <w:lang w:val="en-US" w:eastAsia="zh-CN"/>
        </w:rPr>
      </w:pPr>
      <w:r>
        <w:rPr>
          <w:rFonts w:hint="eastAsia"/>
          <w:lang w:val="en-US" w:eastAsia="zh-CN"/>
        </w:rPr>
        <w:t>2025年2月1日至12月31日（共334天）的全年总费用为计划购电费与紧急购电费之和</w:t>
      </w:r>
    </w:p>
    <w:tbl>
      <w:tblPr>
        <w:tblW w:w="0" w:type="auto"/>
        <w:tblInd w:w="0" w:type="dxa"/>
        <w:tblBorders>
          <w:top w:val="nil"/>
          <w:left w:val="nil"/>
          <w:bottom w:val="nil"/>
          <w:right w:val="nil"/>
          <w:insideH w:val="nil"/>
          <w:insideV w:val="nil"/>
        </w:tblBorders>
        <w:shd w:val="clear" w:color="auto" w:fill="FFFFFF"/>
        <w:tblLayout w:type="autofit"/>
        <w:tblCellMar>
          <w:top w:w="0" w:type="dxa"/>
          <w:left w:w="0" w:type="dxa"/>
          <w:bottom w:w="0" w:type="dxa"/>
          <w:right w:w="0" w:type="dxa"/>
        </w:tblCellMar>
      </w:tblPr>
      <w:tblGrid>
        <w:gridCol w:w="86"/>
        <w:gridCol w:w="7960"/>
        <w:gridCol w:w="700"/>
      </w:tblGrid>
      <w:tr>
        <w:tc>
          <w:tcPr>
            <w:tcW w:w="90" w:type="dxa"/>
            <w:tcBorders>
              <w:top w:val="nil"/>
              <w:left w:val="nil"/>
              <w:bottom w:val="nil"/>
              <w:right w:val="nil"/>
            </w:tcBorders>
            <w:vAlign w:val="center"/>
          </w:tcPr>
          <w:p>
            <w:pPr>
              <w:pStyle w:val="29"/>
              <w:ind w:left="0" w:leftChars="0" w:firstLine="0" w:firstLineChars="0"/>
            </w:pPr>
          </w:p>
        </w:tc>
        <w:tc>
          <w:tcPr>
            <w:tcW w:w="7960" w:type="dxa"/>
            <w:tcBorders>
              <w:top w:val="nil"/>
              <w:left w:val="nil"/>
              <w:bottom w:val="nil"/>
              <w:right w:val="nil"/>
            </w:tcBorders>
            <w:vAlign w:val="center"/>
          </w:tcPr>
          <w:p>
            <w:pPr>
              <w:pStyle w:val="29"/>
              <w:ind w:left="0" w:leftChars="0" w:firstLine="0" w:firstLineChars="0"/>
              <w:jc w:val="center"/>
            </w:pPr>
            <w:r>
              <w:rPr>
                <w:rFonts w:hint="default"/>
                <w:lang w:val="en-US" w:eastAsia="zh-CN"/>
              </w:rPr>
              <w:drawing>
                <wp:inline distT="0" distB="0" distL="114300" distR="114300">
                  <wp:extent cx="5029200" cy="344001"/>
                  <wp:effectExtent l="0" t="0" r="0" b="0"/>
                  <wp:docPr id="5007" name="公式11" descr="e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公式11" descr="eq11"/>
                          <pic:cNvPicPr>
                            <a:picLocks noChangeAspect="1"/>
                          </pic:cNvPicPr>
                        </pic:nvPicPr>
                        <pic:blipFill>
                          <a:blip r:embed="rId31"/>
                          <a:stretch>
                            <a:fillRect/>
                          </a:stretch>
                        </pic:blipFill>
                        <pic:spPr>
                          <a:xfrm>
                            <a:off x="0" y="0"/>
                            <a:ext cx="5029200" cy="344001"/>
                          </a:xfrm>
                          <a:prstGeom prst="rect">
                            <a:avLst/>
                          </a:prstGeom>
                          <a:noFill/>
                          <a:ln w="9525">
                            <a:noFill/>
                          </a:ln>
                        </pic:spPr>
                      </pic:pic>
                    </a:graphicData>
                  </a:graphic>
                </wp:inline>
              </w:drawing>
            </w:r>
          </w:p>
        </w:tc>
        <w:tc>
          <w:tcPr>
            <w:tcW w:w="700" w:type="dxa"/>
            <w:tcBorders>
              <w:top w:val="nil"/>
              <w:left w:val="nil"/>
              <w:bottom w:val="nil"/>
              <w:right w:val="nil"/>
            </w:tcBorders>
            <w:vAlign w:val="center"/>
          </w:tcPr>
          <w:p>
            <w:pPr>
              <w:pStyle w:val="29"/>
              <w:ind w:left="0" w:leftChars="0" w:firstLine="0" w:firstLineChars="0"/>
              <w:jc w:val="right"/>
            </w:pPr>
            <w:r>
              <w:rPr>
                <w:rFonts w:hint="eastAsia"/>
                <w:lang w:val="en-US" w:eastAsia="zh-CN"/>
              </w:rPr>
              <w:t>(11)</w:t>
            </w:r>
          </w:p>
        </w:tc>
      </w:tr>
    </w:tbl>
    <w:p>
      <w:pPr>
        <w:pStyle w:val="29"/>
      </w:pPr>
    </w:p>
    <w:p>
      <w:pPr>
        <w:pStyle w:val="29"/>
        <w:ind w:firstLine="480"/>
        <w:rPr>
          <w:rFonts w:hint="eastAsia"/>
          <w:lang w:val="en-US" w:eastAsia="zh-CN"/>
        </w:rPr>
      </w:pPr>
      <w:r>
        <w:rPr>
          <w:rFonts w:hint="eastAsia"/>
          <w:lang w:val="en-US" w:eastAsia="zh-CN"/>
        </w:rPr>
        <w:t>4.2.6 求解过程</w:t>
      </w:r>
    </w:p>
    <w:p>
      <w:pPr>
        <w:pStyle w:val="29"/>
        <w:ind w:firstLine="480"/>
        <w:rPr>
          <w:rFonts w:hint="eastAsia"/>
          <w:lang w:val="en-US" w:eastAsia="zh-CN"/>
        </w:rPr>
      </w:pPr>
      <w:r>
        <w:rPr>
          <w:rFonts w:hint="eastAsia"/>
          <w:lang w:val="en-US" w:eastAsia="zh-CN"/>
        </w:rPr>
        <w:t>问题二每天求解一次与问题一结构相同的MILP，全年需重复求解365次。为避免365次重复编译模型带来的开销，本文用CVXPY的Parameter机制将s</w:t>
      </w:r>
      <w:r>
        <w:rPr>
          <w:rFonts w:hint="eastAsia"/>
          <w:vertAlign w:val="subscript"/>
          <w:lang w:val="en-US" w:eastAsia="zh-CN"/>
        </w:rPr>
        <w:t>d-1,T</w:t>
      </w:r>
      <w:r>
        <w:rPr>
          <w:rFonts w:hint="eastAsia"/>
          <w:lang w:val="en-US" w:eastAsia="zh-CN"/>
        </w:rPr>
        <w:t>、L̂</w:t>
      </w:r>
      <w:r>
        <w:rPr>
          <w:rFonts w:hint="eastAsia"/>
          <w:vertAlign w:val="subscript"/>
          <w:lang w:val="en-US" w:eastAsia="zh-CN"/>
        </w:rPr>
        <w:t>d,·</w:t>
      </w:r>
      <w:r>
        <w:rPr>
          <w:rFonts w:hint="eastAsia"/>
          <w:lang w:val="en-US" w:eastAsia="zh-CN"/>
        </w:rPr>
        <w:t>、p</w:t>
      </w:r>
      <w:r>
        <w:rPr>
          <w:rFonts w:hint="eastAsia"/>
          <w:vertAlign w:val="superscript"/>
          <w:lang w:val="en-US" w:eastAsia="zh-CN"/>
        </w:rPr>
        <w:t>PV,f</w:t>
      </w:r>
      <w:r>
        <w:rPr>
          <w:rFonts w:hint="eastAsia"/>
          <w:vertAlign w:val="subscript"/>
          <w:lang w:val="en-US" w:eastAsia="zh-CN"/>
        </w:rPr>
        <w:t>d,·</w:t>
      </w:r>
      <w:r>
        <w:rPr>
          <w:rFonts w:hint="eastAsia"/>
          <w:lang w:val="en-US" w:eastAsia="zh-CN"/>
        </w:rPr>
        <w:t>设为参数，模型只编译一次，此后逐日只需更新参数并重新求解。求解器改用开源HIGHS（问题一使用的GLPK_MI在本文运行环境下未安装；HIGHS同样支持混合整数线性规划求解，且在本文的模型规模下求解速度更快）。具体流程为：</w:t>
      </w:r>
    </w:p>
    <w:p>
      <w:pPr>
        <w:pStyle w:val="29"/>
        <w:ind w:firstLine="480"/>
        <w:rPr>
          <w:rFonts w:hint="eastAsia"/>
          <w:lang w:val="en-US" w:eastAsia="zh-CN"/>
        </w:rPr>
      </w:pPr>
      <w:r>
        <w:rPr>
          <w:rFonts w:hint="eastAsia"/>
          <w:lang w:val="en-US" w:eastAsia="zh-CN"/>
        </w:rPr>
        <w:t>步骤1：读取附件1得到电价曲线（预处理方式与问题一相同），读取附件2得到2025年全年实际负荷、光伏数据。</w:t>
      </w:r>
    </w:p>
    <w:p>
      <w:pPr>
        <w:pStyle w:val="29"/>
        <w:ind w:firstLine="480"/>
        <w:rPr>
          <w:rFonts w:hint="eastAsia"/>
          <w:lang w:val="en-US" w:eastAsia="zh-CN"/>
        </w:rPr>
      </w:pPr>
      <w:r>
        <w:rPr>
          <w:rFonts w:hint="eastAsia"/>
          <w:lang w:val="en-US" w:eastAsia="zh-CN"/>
        </w:rPr>
        <w:t>步骤2：初始化预测模型（版本A的Holt-Winters水平/周期项、光伏晴空包络与晴空指数；版本B构造特征表）和安全边际误差跟踪器，令s</w:t>
      </w:r>
      <w:r>
        <w:rPr>
          <w:rFonts w:hint="eastAsia"/>
          <w:vertAlign w:val="subscript"/>
          <w:lang w:val="en-US" w:eastAsia="zh-CN"/>
        </w:rPr>
        <w:t>0</w:t>
      </w:r>
      <w:r>
        <w:rPr>
          <w:rFonts w:hint="eastAsia"/>
          <w:lang w:val="en-US" w:eastAsia="zh-CN"/>
        </w:rPr>
        <w:t>=6000 kWh。</w:t>
      </w:r>
    </w:p>
    <w:p>
      <w:pPr>
        <w:pStyle w:val="29"/>
        <w:ind w:firstLine="480"/>
        <w:rPr>
          <w:rFonts w:hint="eastAsia"/>
          <w:lang w:val="en-US" w:eastAsia="zh-CN"/>
        </w:rPr>
      </w:pPr>
      <w:r>
        <w:rPr>
          <w:rFonts w:hint="eastAsia"/>
          <w:lang w:val="en-US" w:eastAsia="zh-CN"/>
        </w:rPr>
        <w:t>步骤3：对d=1,…,365循环：预测当天负荷、光伏→叠加安全边际→求解MILP得到当天计划→用实际值结算得到紧急购电费与缺口→更新预测模型状态、误差跟踪器与储能初始电量。</w:t>
      </w:r>
    </w:p>
    <w:p>
      <w:pPr>
        <w:pStyle w:val="29"/>
        <w:ind w:firstLine="480"/>
        <w:rPr>
          <w:rFonts w:hint="eastAsia"/>
          <w:lang w:val="en-US" w:eastAsia="zh-CN"/>
        </w:rPr>
      </w:pPr>
      <w:r>
        <w:rPr>
          <w:rFonts w:hint="eastAsia"/>
          <w:lang w:val="en-US" w:eastAsia="zh-CN"/>
        </w:rPr>
        <w:t>步骤4：仅保留2025年2月1日至12月31日（334天）的结果用于论文汇报与result2.xlsx导出，1月份结果仅用于预测模型预热，不计入统计。</w:t>
      </w:r>
    </w:p>
    <w:p>
      <w:pPr>
        <w:pStyle w:val="29"/>
        <w:ind w:firstLine="480"/>
        <w:rPr>
          <w:rFonts w:hint="eastAsia"/>
          <w:lang w:val="en-US" w:eastAsia="zh-CN"/>
        </w:rPr>
      </w:pPr>
      <w:r>
        <w:rPr>
          <w:rFonts w:hint="eastAsia"/>
          <w:lang w:val="en-US" w:eastAsia="zh-CN"/>
        </w:rPr>
        <w:t>步骤5：汇总预测误差指标（MAE、RMSE、MAPE）与全年费用，输出指定代表日（2025-03-20、2025-06-21、2025-09-23、2025-12-21）的详细结果。</w:t>
      </w:r>
    </w:p>
    <w:p>
      <w:pPr>
        <w:pStyle w:val="29"/>
        <w:ind w:firstLine="480"/>
        <w:rPr>
          <w:rFonts w:hint="eastAsia"/>
          <w:lang w:val="en-US" w:eastAsia="zh-CN"/>
        </w:rPr>
      </w:pPr>
      <w:r>
        <w:rPr>
          <w:rFonts w:hint="eastAsia"/>
          <w:lang w:val="en-US" w:eastAsia="zh-CN"/>
        </w:rPr>
        <w:t>两版本全年365次MILP求解本身耗时基本一致（约15-20秒）；差异主要来自预测环节——版本B因LightGBM需重训约700次模型，全年总耗时约2.5-3分钟，版本A的指数平滑递推全年仅需数秒。</w:t>
      </w:r>
    </w:p>
    <w:p>
      <w:pPr>
        <w:pStyle w:val="29"/>
      </w:pPr>
    </w:p>
    <w:p>
      <w:pPr>
        <w:pStyle w:val="29"/>
        <w:ind w:firstLine="480"/>
        <w:rPr>
          <w:rFonts w:hint="eastAsia"/>
          <w:lang w:val="en-US" w:eastAsia="zh-CN"/>
        </w:rPr>
      </w:pPr>
      <w:r>
        <w:rPr>
          <w:rFonts w:hint="eastAsia"/>
          <w:lang w:val="en-US" w:eastAsia="zh-CN"/>
        </w:rPr>
        <w:t>4.2.7 结果与检验</w:t>
      </w:r>
    </w:p>
    <w:p>
      <w:pPr>
        <w:pStyle w:val="29"/>
        <w:ind w:firstLine="480"/>
        <w:rPr>
          <w:rFonts w:hint="eastAsia"/>
          <w:lang w:val="en-US" w:eastAsia="zh-CN"/>
        </w:rPr>
      </w:pPr>
      <w:r>
        <w:rPr>
          <w:rFonts w:hint="eastAsia"/>
          <w:lang w:val="en-US" w:eastAsia="zh-CN"/>
        </w:rPr>
        <w:t>4.2.7.1 预测误差对比</w:t>
      </w:r>
    </w:p>
    <w:p>
      <w:pPr>
        <w:pStyle w:val="29"/>
        <w:ind w:firstLine="480"/>
        <w:rPr>
          <w:rFonts w:hint="eastAsia"/>
          <w:lang w:val="en-US" w:eastAsia="zh-CN"/>
        </w:rPr>
      </w:pPr>
      <w:r>
        <w:rPr>
          <w:rFonts w:hint="eastAsia"/>
          <w:lang w:val="en-US" w:eastAsia="zh-CN"/>
        </w:rPr>
        <w:t>2025年2月1日至12月31日（334天）区间内，两版本的预测误差如表3所示。</w:t>
      </w: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3000"/>
        <w:gridCol w:w="3000"/>
        <w:gridCol w:w="30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指标</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版本A（Holt-Winters+晴空包络）</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版本B（LightGBM）</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负荷 MAE (kW)</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137.44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130.68</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负荷 RMSE (kW)</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185.51</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175.57</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负荷 MAPE (%)</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3.23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3.06</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光伏 MAE (kW)</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151.49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159.51</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光伏 RMSE (kW)</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308.63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323.59</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光伏 MAPE（出力&gt;50kW，%）</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7.13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7.09</w:t>
            </w:r>
          </w:p>
        </w:tc>
      </w:tr>
    </w:tbl>
    <w:p>
      <w:pPr>
        <w:pStyle w:val="29"/>
        <w:ind w:firstLine="480"/>
        <w:rPr>
          <w:rFonts w:hint="eastAsia"/>
          <w:lang w:val="en-US" w:eastAsia="zh-CN"/>
        </w:rPr>
      </w:pPr>
      <w:r>
        <w:rPr>
          <w:rFonts w:hint="eastAsia"/>
          <w:lang w:val="en-US" w:eastAsia="zh-CN"/>
        </w:rPr>
        <w:t>注：光伏MAPE仅统计出力超过50kW的时段，避免夜间出力接近0时相对误差发散。</w:t>
      </w:r>
    </w:p>
    <w:p>
      <w:pPr>
        <w:pStyle w:val="29"/>
        <w:ind w:firstLine="480"/>
        <w:rPr>
          <w:rFonts w:hint="eastAsia"/>
          <w:lang w:val="en-US" w:eastAsia="zh-CN"/>
        </w:rPr>
      </w:pPr>
      <w:r>
        <w:rPr>
          <w:rFonts w:hint="eastAsia"/>
          <w:lang w:val="en-US" w:eastAsia="zh-CN"/>
        </w:rPr>
        <w:t>两者预测精度接近，版本B在负荷、光伏两项MAPE指标上均略优，但优势幅度有限（负荷MAPE差0.17个百分点，光伏MAPE差0.04个百分点）；版本A的光伏MAE、RMSE反而略低于版本B，说明版本B的优势主要体现在相对误差（MAPE）而非绝对误差上。</w:t>
      </w:r>
    </w:p>
    <w:p>
      <w:pPr>
        <w:pStyle w:val="29"/>
      </w:pPr>
    </w:p>
    <w:p>
      <w:pPr>
        <w:pStyle w:val="29"/>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120640" cy="2397242"/>
            <wp:effectExtent l="0" t="0" r="0" b="0"/>
            <wp:docPr id="5008" name="图片5008" descr="LightGBM负荷预测值与真实值对比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图片5008" descr="LightGBM负荷预测值与真实值对比示例"/>
                    <pic:cNvPicPr>
                      <a:picLocks noChangeAspect="1"/>
                    </pic:cNvPicPr>
                  </pic:nvPicPr>
                  <pic:blipFill>
                    <a:blip r:embed="rId19"/>
                    <a:stretch>
                      <a:fillRect/>
                    </a:stretch>
                  </pic:blipFill>
                  <pic:spPr>
                    <a:xfrm>
                      <a:off x="0" y="0"/>
                      <a:ext cx="5120640" cy="2397242"/>
                    </a:xfrm>
                    <a:prstGeom prst="rect">
                      <a:avLst/>
                    </a:prstGeom>
                  </pic:spPr>
                </pic:pic>
              </a:graphicData>
            </a:graphic>
          </wp:inline>
        </w:drawing>
      </w:r>
    </w:p>
    <w:p>
      <w:pPr>
        <w:pStyle w:val="29"/>
        <w:ind w:left="0" w:leftChars="0" w:firstLine="0" w:firstLineChars="0"/>
        <w:jc w:val="center"/>
        <w:rPr>
          <w:rFonts w:hint="eastAsia" w:eastAsia="宋体"/>
          <w:lang w:eastAsia="zh-CN"/>
        </w:rPr>
      </w:pPr>
      <w:r>
        <w:rPr>
          <w:rFonts w:hint="eastAsia"/>
          <w:lang w:val="en-US" w:eastAsia="zh-CN"/>
        </w:rPr>
        <w:t>图6 LightGBM负荷预测值与真实值对比（示例，前7天）</w:t>
      </w:r>
    </w:p>
    <w:p>
      <w:pPr>
        <w:pStyle w:val="29"/>
      </w:pPr>
    </w:p>
    <w:p>
      <w:pPr>
        <w:pStyle w:val="29"/>
        <w:ind w:firstLine="480"/>
        <w:rPr>
          <w:rFonts w:hint="eastAsia"/>
          <w:lang w:val="en-US" w:eastAsia="zh-CN"/>
        </w:rPr>
      </w:pPr>
      <w:r>
        <w:rPr>
          <w:rFonts w:hint="eastAsia"/>
          <w:lang w:val="en-US" w:eastAsia="zh-CN"/>
        </w:rPr>
        <w:t>4.2.7.2 全年购电费用对比</w:t>
      </w:r>
    </w:p>
    <w:p>
      <w:pPr>
        <w:pStyle w:val="29"/>
        <w:ind w:firstLine="480"/>
        <w:rPr>
          <w:rFonts w:hint="eastAsia"/>
          <w:lang w:val="en-US" w:eastAsia="zh-CN"/>
        </w:rPr>
      </w:pPr>
      <w:r>
        <w:rPr>
          <w:rFonts w:hint="eastAsia"/>
          <w:lang w:val="en-US" w:eastAsia="zh-CN"/>
        </w:rPr>
        <w:t>2025年2月1日至12月31日（334天）区间内，两版本的全年购电费用如表4、图8所示。</w:t>
      </w: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3000"/>
        <w:gridCol w:w="3000"/>
        <w:gridCol w:w="30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指标</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版本A（Holt-Winters+晴空包络）</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版本B（LightGBM）</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计划购电费 (万元)</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1301.38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1288.94</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紧急购电费 (万元)</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97.31</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104.50</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总费用 (万元)</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1398.69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1393.44</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发生紧急购电天数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324/334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332/334</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发生紧急购电时段数</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8593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8927</w:t>
            </w:r>
          </w:p>
        </w:tc>
      </w:tr>
    </w:tbl>
    <w:p>
      <w:pPr>
        <w:pStyle w:val="29"/>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120640" cy="3361334"/>
            <wp:effectExtent l="0" t="0" r="0" b="0"/>
            <wp:docPr id="5009" name="图片5009" descr="两版本全年购电费用对比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图片5009" descr="两版本全年购电费用对比柱状图"/>
                    <pic:cNvPicPr>
                      <a:picLocks noChangeAspect="1"/>
                    </pic:cNvPicPr>
                  </pic:nvPicPr>
                  <pic:blipFill>
                    <a:blip r:embed="rId32"/>
                    <a:stretch>
                      <a:fillRect/>
                    </a:stretch>
                  </pic:blipFill>
                  <pic:spPr>
                    <a:xfrm>
                      <a:off x="0" y="0"/>
                      <a:ext cx="5120640" cy="3361334"/>
                    </a:xfrm>
                    <a:prstGeom prst="rect">
                      <a:avLst/>
                    </a:prstGeom>
                  </pic:spPr>
                </pic:pic>
              </a:graphicData>
            </a:graphic>
          </wp:inline>
        </w:drawing>
      </w:r>
    </w:p>
    <w:p>
      <w:pPr>
        <w:pStyle w:val="29"/>
        <w:ind w:left="0" w:leftChars="0" w:firstLine="0" w:firstLineChars="0"/>
        <w:jc w:val="center"/>
        <w:rPr>
          <w:rFonts w:hint="eastAsia" w:eastAsia="宋体"/>
          <w:lang w:eastAsia="zh-CN"/>
        </w:rPr>
      </w:pPr>
      <w:r>
        <w:rPr>
          <w:rFonts w:hint="eastAsia"/>
          <w:lang w:val="en-US" w:eastAsia="zh-CN"/>
        </w:rPr>
        <w:t>图8 两种预测方法全年购电费用对比</w:t>
      </w:r>
    </w:p>
    <w:p>
      <w:pPr>
        <w:pStyle w:val="29"/>
        <w:ind w:firstLine="480"/>
        <w:rPr>
          <w:rFonts w:hint="eastAsia"/>
          <w:lang w:val="en-US" w:eastAsia="zh-CN"/>
        </w:rPr>
      </w:pPr>
      <w:r>
        <w:rPr>
          <w:rFonts w:hint="eastAsia"/>
          <w:lang w:val="en-US" w:eastAsia="zh-CN"/>
        </w:rPr>
        <w:t>版本B总费用比版本A低约5.25万元，降幅约0.38%。预测精度更高的版本B确实带来了更低的计划购电费用（少买了不必要的冗余电量，低约12.4万元，降幅约1%），但由于点预测更“贴近”真实值使得安全边际相对更薄，紧急购电发生的频率与总量反而略有上升（发生紧急购电天数332/334对324/334，发生时段数8927对8593），紧急购电费因此上升约7.2万元。两方面相互抵消后，全年总费用差距被显著收窄到0.4%以内。</w:t>
      </w:r>
    </w:p>
    <w:p>
      <w:pPr>
        <w:pStyle w:val="29"/>
      </w:pPr>
    </w:p>
    <w:p>
      <w:pPr>
        <w:pStyle w:val="29"/>
        <w:ind w:firstLine="480"/>
        <w:rPr>
          <w:rFonts w:hint="eastAsia"/>
          <w:lang w:val="en-US" w:eastAsia="zh-CN"/>
        </w:rPr>
      </w:pPr>
      <w:r>
        <w:rPr>
          <w:rFonts w:hint="eastAsia"/>
          <w:lang w:val="en-US" w:eastAsia="zh-CN"/>
        </w:rPr>
        <w:t>4.2.7.3 代表日详细结果（版本A）</w:t>
      </w:r>
    </w:p>
    <w:p>
      <w:pPr>
        <w:pStyle w:val="29"/>
        <w:ind w:firstLine="480"/>
        <w:rPr>
          <w:rFonts w:hint="eastAsia"/>
          <w:lang w:val="en-US" w:eastAsia="zh-CN"/>
        </w:rPr>
      </w:pPr>
      <w:r>
        <w:rPr>
          <w:rFonts w:hint="eastAsia"/>
          <w:lang w:val="en-US" w:eastAsia="zh-CN"/>
        </w:rPr>
        <w:t>对表5要求的四个代表日期，按表1、表2格式给出版本A的计划购电与储能充放电结果如下（完整逐时刻数据见result2.xlsx）。</w:t>
      </w:r>
    </w:p>
    <w:p>
      <w:pPr>
        <w:pStyle w:val="29"/>
        <w:ind w:firstLine="480"/>
        <w:rPr>
          <w:rFonts w:hint="eastAsia"/>
          <w:lang w:val="en-US" w:eastAsia="zh-CN"/>
        </w:rPr>
      </w:pPr>
      <w:r>
        <w:rPr>
          <w:rFonts w:hint="eastAsia"/>
          <w:b/>
          <w:bCs/>
          <w:lang w:val="en-US" w:eastAsia="zh-CN"/>
        </w:rPr>
        <w:t>代表日 2025-03-20</w:t>
      </w: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1500"/>
        <w:gridCol w:w="1500"/>
        <w:gridCol w:w="1500"/>
        <w:gridCol w:w="1500"/>
        <w:gridCol w:w="1500"/>
        <w:gridCol w:w="15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10:00-10:10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12:00-12:10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574.8560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14:00-14:10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16:00-16:10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463.6178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18:00-18:10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725.7083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20:00-20:10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r>
    </w:tbl>
    <w:p>
      <w:pPr>
        <w:pStyle w:val="29"/>
        <w:ind w:firstLine="480"/>
        <w:rPr>
          <w:rFonts w:hint="eastAsia"/>
          <w:lang w:val="en-US" w:eastAsia="zh-CN"/>
        </w:rPr>
      </w:pPr>
      <w:r>
        <w:rPr>
          <w:rFonts w:hint="eastAsia"/>
          <w:lang w:val="en-US" w:eastAsia="zh-CN"/>
        </w:rPr>
        <w:t>全天购电量为66978.5586 kWh，全天购电费为40508.35元。</w:t>
      </w:r>
    </w:p>
    <w:p>
      <w:pPr>
        <w:pStyle w:val="29"/>
      </w:pP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1500"/>
        <w:gridCol w:w="1500"/>
        <w:gridCol w:w="1500"/>
        <w:gridCol w:w="1500"/>
        <w:gridCol w:w="1500"/>
        <w:gridCol w:w="15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放电量/kWh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放电量/kWh</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9285.9552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4:00-8:00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833.3333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5488.9708</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8:00-12:00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5139.6810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3618.3889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12:00-16:00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5614.4600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571.3672</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16:00-20:00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5410.8024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20:00-24:00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3696.5573</w:t>
            </w:r>
          </w:p>
        </w:tc>
      </w:tr>
    </w:tbl>
    <w:p>
      <w:pPr>
        <w:pStyle w:val="29"/>
        <w:ind w:firstLine="480"/>
        <w:rPr>
          <w:rFonts w:hint="eastAsia"/>
          <w:lang w:val="en-US" w:eastAsia="zh-CN"/>
        </w:rPr>
      </w:pPr>
      <w:r>
        <w:rPr>
          <w:rFonts w:hint="eastAsia"/>
          <w:lang w:val="en-US" w:eastAsia="zh-CN"/>
        </w:rPr>
        <w:t>0:00储电量和24:00储电量均为1200.0000 kWh。</w:t>
      </w:r>
    </w:p>
    <w:p>
      <w:pPr>
        <w:pStyle w:val="29"/>
      </w:pPr>
    </w:p>
    <w:p>
      <w:pPr>
        <w:pStyle w:val="29"/>
        <w:ind w:firstLine="480"/>
        <w:rPr>
          <w:rFonts w:hint="eastAsia"/>
          <w:lang w:val="en-US" w:eastAsia="zh-CN"/>
        </w:rPr>
      </w:pPr>
      <w:r>
        <w:rPr>
          <w:rFonts w:hint="eastAsia"/>
          <w:b/>
          <w:bCs/>
          <w:lang w:val="en-US" w:eastAsia="zh-CN"/>
        </w:rPr>
        <w:t>代表日 2025-06-21</w:t>
      </w: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1500"/>
        <w:gridCol w:w="1500"/>
        <w:gridCol w:w="1500"/>
        <w:gridCol w:w="1500"/>
        <w:gridCol w:w="1500"/>
        <w:gridCol w:w="15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10:00-10:10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12:00-12:10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14:00-14:10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16:00-16:10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191.2127</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18:00-18:10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450.6720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20:00-20:10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r>
    </w:tbl>
    <w:p>
      <w:pPr>
        <w:pStyle w:val="29"/>
        <w:ind w:firstLine="480"/>
        <w:rPr>
          <w:rFonts w:hint="eastAsia"/>
          <w:lang w:val="en-US" w:eastAsia="zh-CN"/>
        </w:rPr>
      </w:pPr>
      <w:r>
        <w:rPr>
          <w:rFonts w:hint="eastAsia"/>
          <w:lang w:val="en-US" w:eastAsia="zh-CN"/>
        </w:rPr>
        <w:t>全天购电量为35557.8910 kWh，全天购电费为20405.23元。</w:t>
      </w:r>
    </w:p>
    <w:p>
      <w:pPr>
        <w:pStyle w:val="29"/>
      </w:pP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1500"/>
        <w:gridCol w:w="1500"/>
        <w:gridCol w:w="1500"/>
        <w:gridCol w:w="1500"/>
        <w:gridCol w:w="1500"/>
        <w:gridCol w:w="15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放电量/kWh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放电量/kWh</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1416.2710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4:00-8:00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833.3333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2024.6439</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8:00-12:00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5597.3808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12:00-16:00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4521.9077</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16:00-20:00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5852.7153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20:00-24:00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3254.6444</w:t>
            </w:r>
          </w:p>
        </w:tc>
      </w:tr>
    </w:tbl>
    <w:p>
      <w:pPr>
        <w:pStyle w:val="29"/>
        <w:ind w:firstLine="480"/>
        <w:rPr>
          <w:rFonts w:hint="eastAsia"/>
          <w:lang w:val="en-US" w:eastAsia="zh-CN"/>
        </w:rPr>
      </w:pPr>
      <w:r>
        <w:rPr>
          <w:rFonts w:hint="eastAsia"/>
          <w:lang w:val="en-US" w:eastAsia="zh-CN"/>
        </w:rPr>
        <w:t>0:00储电量和24:00储电量均为1200.0000 kWh。</w:t>
      </w:r>
    </w:p>
    <w:p>
      <w:pPr>
        <w:pStyle w:val="29"/>
      </w:pPr>
    </w:p>
    <w:p>
      <w:pPr>
        <w:pStyle w:val="29"/>
        <w:ind w:firstLine="480"/>
        <w:rPr>
          <w:rFonts w:hint="eastAsia"/>
          <w:lang w:val="en-US" w:eastAsia="zh-CN"/>
        </w:rPr>
      </w:pPr>
      <w:r>
        <w:rPr>
          <w:rFonts w:hint="eastAsia"/>
          <w:b/>
          <w:bCs/>
          <w:lang w:val="en-US" w:eastAsia="zh-CN"/>
        </w:rPr>
        <w:t>代表日 2025-09-23</w:t>
      </w: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1500"/>
        <w:gridCol w:w="1500"/>
        <w:gridCol w:w="1500"/>
        <w:gridCol w:w="1500"/>
        <w:gridCol w:w="1500"/>
        <w:gridCol w:w="15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10:00-10:10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12:00-12:10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527.0362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14:00-14:10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16:00-16:10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526.7696</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18:00-18:10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787.3960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20:00-20:10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r>
    </w:tbl>
    <w:p>
      <w:pPr>
        <w:pStyle w:val="29"/>
        <w:ind w:firstLine="480"/>
        <w:rPr>
          <w:rFonts w:hint="eastAsia"/>
          <w:lang w:val="en-US" w:eastAsia="zh-CN"/>
        </w:rPr>
      </w:pPr>
      <w:r>
        <w:rPr>
          <w:rFonts w:hint="eastAsia"/>
          <w:lang w:val="en-US" w:eastAsia="zh-CN"/>
        </w:rPr>
        <w:t>全天购电量为67982.1277 kWh，全天购电费为42141.90元。</w:t>
      </w:r>
    </w:p>
    <w:p>
      <w:pPr>
        <w:pStyle w:val="29"/>
      </w:pP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1500"/>
        <w:gridCol w:w="1500"/>
        <w:gridCol w:w="1500"/>
        <w:gridCol w:w="1500"/>
        <w:gridCol w:w="1500"/>
        <w:gridCol w:w="15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放电量/kWh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放电量/kWh</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9285.9552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4:00-8:00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833.3333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6248.4048</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8:00-12:00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5069.3193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2858.9548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12:00-16:00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5349.1763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269.2863</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16:00-20:00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5746.3966</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20:00-24:00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3360.9631</w:t>
            </w:r>
          </w:p>
        </w:tc>
      </w:tr>
    </w:tbl>
    <w:p>
      <w:pPr>
        <w:pStyle w:val="29"/>
        <w:ind w:firstLine="480"/>
        <w:rPr>
          <w:rFonts w:hint="eastAsia"/>
          <w:lang w:val="en-US" w:eastAsia="zh-CN"/>
        </w:rPr>
      </w:pPr>
      <w:r>
        <w:rPr>
          <w:rFonts w:hint="eastAsia"/>
          <w:lang w:val="en-US" w:eastAsia="zh-CN"/>
        </w:rPr>
        <w:t>0:00储电量和24:00储电量均为1200.0000 kWh。</w:t>
      </w:r>
    </w:p>
    <w:p>
      <w:pPr>
        <w:pStyle w:val="29"/>
      </w:pPr>
    </w:p>
    <w:p>
      <w:pPr>
        <w:pStyle w:val="29"/>
        <w:ind w:firstLine="480"/>
        <w:rPr>
          <w:rFonts w:hint="eastAsia"/>
          <w:lang w:val="en-US" w:eastAsia="zh-CN"/>
        </w:rPr>
      </w:pPr>
      <w:r>
        <w:rPr>
          <w:rFonts w:hint="eastAsia"/>
          <w:b/>
          <w:bCs/>
          <w:lang w:val="en-US" w:eastAsia="zh-CN"/>
        </w:rPr>
        <w:t>代表日 2025-12-21</w:t>
      </w: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1500"/>
        <w:gridCol w:w="1500"/>
        <w:gridCol w:w="1500"/>
        <w:gridCol w:w="1500"/>
        <w:gridCol w:w="1500"/>
        <w:gridCol w:w="15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购电量/kWh</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10:00-10:10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12:00-12:10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993.5454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14:00-14:10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16:00-16:10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836.8303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18:00-18:10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721.4621</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20:00-20:10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r>
    </w:tbl>
    <w:p>
      <w:pPr>
        <w:pStyle w:val="29"/>
        <w:ind w:firstLine="480"/>
        <w:rPr>
          <w:rFonts w:hint="eastAsia"/>
          <w:lang w:val="en-US" w:eastAsia="zh-CN"/>
        </w:rPr>
      </w:pPr>
      <w:r>
        <w:rPr>
          <w:rFonts w:hint="eastAsia"/>
          <w:lang w:val="en-US" w:eastAsia="zh-CN"/>
        </w:rPr>
        <w:t>全天购电量为96057.7210 kWh，全天购电费为61476.20元。</w:t>
      </w:r>
    </w:p>
    <w:p>
      <w:pPr>
        <w:pStyle w:val="29"/>
      </w:pP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60" w:type="dxa"/>
          <w:bottom w:w="20" w:type="dxa"/>
          <w:right w:w="60" w:type="dxa"/>
        </w:tblCellMar>
      </w:tblPr>
      <w:tblGrid>
        <w:gridCol w:w="1500"/>
        <w:gridCol w:w="1500"/>
        <w:gridCol w:w="1500"/>
        <w:gridCol w:w="1500"/>
        <w:gridCol w:w="1500"/>
        <w:gridCol w:w="1500"/>
      </w:tblGrid>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放电量/kWh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充电量/kWh</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放电量/kWh</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9285.9552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4:00-8:00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3333.3333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3083.3333</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8:00-12:00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5833.3333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8274.0263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12:00-16:00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7905.3347</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3257.4416</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16:00-20:00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5358.3198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20:00-24:00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0.0000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3749.0398</w:t>
            </w:r>
          </w:p>
        </w:tc>
      </w:tr>
    </w:tbl>
    <w:p>
      <w:pPr>
        <w:pStyle w:val="29"/>
        <w:ind w:firstLine="480"/>
        <w:rPr>
          <w:rFonts w:hint="eastAsia"/>
          <w:lang w:val="en-US" w:eastAsia="zh-CN"/>
        </w:rPr>
      </w:pPr>
      <w:r>
        <w:rPr>
          <w:rFonts w:hint="eastAsia"/>
          <w:lang w:val="en-US" w:eastAsia="zh-CN"/>
        </w:rPr>
        <w:t>0:00储电量和24:00储电量均为1200.0000 kWh。</w:t>
      </w:r>
    </w:p>
    <w:p>
      <w:pPr>
        <w:pStyle w:val="29"/>
      </w:pPr>
    </w:p>
    <w:p>
      <w:pPr>
        <w:pStyle w:val="29"/>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029200" cy="4114800"/>
            <wp:effectExtent l="0" t="0" r="0" b="0"/>
            <wp:docPr id="5010" name="图片5010" descr="版本A代表日2025-03-20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图片5010" descr="版本A代表日2025-03-20曲线"/>
                    <pic:cNvPicPr>
                      <a:picLocks noChangeAspect="1"/>
                    </pic:cNvPicPr>
                  </pic:nvPicPr>
                  <pic:blipFill>
                    <a:blip r:embed="rId33"/>
                    <a:stretch>
                      <a:fillRect/>
                    </a:stretch>
                  </pic:blipFill>
                  <pic:spPr>
                    <a:xfrm>
                      <a:off x="0" y="0"/>
                      <a:ext cx="5029200" cy="4114800"/>
                    </a:xfrm>
                    <a:prstGeom prst="rect">
                      <a:avLst/>
                    </a:prstGeom>
                  </pic:spPr>
                </pic:pic>
              </a:graphicData>
            </a:graphic>
          </wp:inline>
        </w:drawing>
      </w:r>
    </w:p>
    <w:p>
      <w:pPr>
        <w:pStyle w:val="29"/>
        <w:ind w:left="0" w:leftChars="0" w:firstLine="0" w:firstLineChars="0"/>
        <w:jc w:val="center"/>
        <w:rPr>
          <w:rFonts w:hint="eastAsia" w:eastAsia="宋体"/>
          <w:lang w:eastAsia="zh-CN"/>
        </w:rPr>
      </w:pPr>
      <w:r>
        <w:rPr>
          <w:rFonts w:hint="eastAsia"/>
          <w:lang w:val="en-US" w:eastAsia="zh-CN"/>
        </w:rPr>
        <w:t>图7 版本A代表日2025-03-20电价/功率平衡/储能电量曲线</w:t>
      </w:r>
    </w:p>
    <w:p>
      <w:pPr>
        <w:pStyle w:val="29"/>
      </w:pPr>
    </w:p>
    <w:p>
      <w:pPr>
        <w:pStyle w:val="29"/>
        <w:ind w:firstLine="480"/>
        <w:rPr>
          <w:rFonts w:hint="eastAsia"/>
          <w:lang w:val="en-US" w:eastAsia="zh-CN"/>
        </w:rPr>
      </w:pPr>
      <w:r>
        <w:rPr>
          <w:rFonts w:hint="eastAsia"/>
          <w:lang w:val="en-US" w:eastAsia="zh-CN"/>
        </w:rPr>
        <w:t>4.2.7.4 紧急购电结果（表5格式，版本A）</w:t>
      </w:r>
    </w:p>
    <w:p>
      <w:pPr>
        <w:pStyle w:val="29"/>
        <w:ind w:firstLine="480"/>
        <w:rPr>
          <w:rFonts w:hint="eastAsia"/>
          <w:lang w:val="en-US" w:eastAsia="zh-CN"/>
        </w:rPr>
      </w:pPr>
      <w:r>
        <w:rPr>
          <w:rFonts w:hint="eastAsia"/>
          <w:lang w:val="en-US" w:eastAsia="zh-CN"/>
        </w:rPr>
        <w:t>按题目表3的格式，将四个代表日的紧急购电时间段与购电量列示如下（版本A）。</w:t>
      </w:r>
    </w:p>
    <w:tbl>
      <w:tblPr>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FFFFFF"/>
        <w:tblLayout w:type="autofit"/>
        <w:tblCellMar>
          <w:top w:w="20" w:type="dxa"/>
          <w:left w:w="40" w:type="dxa"/>
          <w:bottom w:w="20" w:type="dxa"/>
          <w:right w:w="40" w:type="dxa"/>
        </w:tblCellMar>
      </w:tblPr>
      <w:tblGrid>
        <w:gridCol w:w="1125"/>
        <w:gridCol w:w="1125"/>
        <w:gridCol w:w="1125"/>
        <w:gridCol w:w="1125"/>
        <w:gridCol w:w="1125"/>
        <w:gridCol w:w="1125"/>
        <w:gridCol w:w="1125"/>
        <w:gridCol w:w="1125"/>
      </w:tblGrid>
      <w:tr>
        <w:tc>
          <w:tcPr>
            <w:tcW w:w="0" w:type="auto"/>
            <w:gridSpan w:val="2"/>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2025-03-20</w:t>
            </w:r>
          </w:p>
        </w:tc>
        <w:tc>
          <w:tcPr>
            <w:tcW w:w="0" w:type="auto"/>
            <w:gridSpan w:val="2"/>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2025-06-21</w:t>
            </w:r>
          </w:p>
        </w:tc>
        <w:tc>
          <w:tcPr>
            <w:tcW w:w="0" w:type="auto"/>
            <w:gridSpan w:val="2"/>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2025-09-23</w:t>
            </w:r>
          </w:p>
        </w:tc>
        <w:tc>
          <w:tcPr>
            <w:tcW w:w="0" w:type="auto"/>
            <w:gridSpan w:val="2"/>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2025-12-21</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时间段</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b/>
                <w:bCs/>
                <w:lang w:val="en-US" w:eastAsia="zh-CN"/>
              </w:rPr>
              <w:t>购电量</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00:20-00:40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14.5004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00:20-00:40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38.3281</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01:10-01:20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2.4328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01:10-01:20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14.2503</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01:10-01:40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41.4193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01:20-01:40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9.5234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02:10-02:30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10.1311</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03:10-03:20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13.3420</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03:10-03:40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49.6656</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01:50-02:20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34.0438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05:00-05:20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16.9765</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03:30-04:00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83.4212</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04:50-05:20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34.4997</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02:50-03:40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75.6147</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06:20-06:30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2.5974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05:50-06:40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42.4659</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06:40-07:00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5.1487</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05:50-06:20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20.6211</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09:40-10:30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171.5708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10:30-11:40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413.5791</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11:10-11:40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85.3295</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18:50-19:20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55.8790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10:40-11:00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57.6852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12:50-13:10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17.9735</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12:30-13:00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110.4425</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20:30-20:40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8.3391</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14:20-15:20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356.8689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15:20-15:30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12.2152</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15:20-17:00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268.1400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22:10-22:40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37.8352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16:00-16:20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21.7230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18:10-18:20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1.6064</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18:50-19:20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44.1578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16:30-16:50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6.2479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18:50-19:00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8.2254</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20:00-20:20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30.5642</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17:40-17:50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1.7813</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19:50-20:10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47.9209</w:t>
            </w: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21:20-21:40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22.3718</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18:20-18:50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43.3119</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23:40-23:50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17.1316</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19:20-19:30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10.6994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20:10-20:40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80.9624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20:50-21:10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70.9827</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22:20-22:40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21.7994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r>
      <w:tr>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23:30-23:40</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r>
              <w:rPr>
                <w:rFonts w:hint="eastAsia"/>
                <w:lang w:val="en-US" w:eastAsia="zh-CN"/>
              </w:rPr>
              <w:t>8.2824</w:t>
            </w: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c>
          <w:tcPr>
            <w:tcW w:w="0" w:type="auto"/>
            <w:tcBorders>
              <w:top w:val="single" w:color="auto" w:sz="2" w:space="0"/>
              <w:left w:val="single" w:color="auto" w:sz="2" w:space="0"/>
              <w:bottom w:val="single" w:color="auto" w:sz="2" w:space="0"/>
              <w:right w:val="single" w:color="auto" w:sz="2" w:space="0"/>
            </w:tcBorders>
            <w:shd w:val="clear" w:color="auto" w:fill="FFFFFF"/>
            <w:vAlign w:val="center"/>
          </w:tcPr>
          <w:p>
            <w:pPr>
              <w:pStyle w:val="29"/>
              <w:ind w:left="0" w:leftChars="0" w:firstLine="0" w:firstLineChars="0"/>
              <w:jc w:val="center"/>
            </w:pPr>
          </w:p>
        </w:tc>
      </w:tr>
    </w:tbl>
    <w:p>
      <w:pPr>
        <w:pStyle w:val="29"/>
      </w:pPr>
    </w:p>
    <w:p>
      <w:pPr>
        <w:pStyle w:val="29"/>
        <w:ind w:firstLine="480"/>
        <w:rPr>
          <w:rFonts w:hint="eastAsia"/>
          <w:lang w:val="en-US" w:eastAsia="zh-CN"/>
        </w:rPr>
      </w:pPr>
      <w:r>
        <w:rPr>
          <w:rFonts w:hint="eastAsia"/>
          <w:lang w:val="en-US" w:eastAsia="zh-CN"/>
        </w:rPr>
        <w:t>4.2.7.5 可行性校验</w:t>
      </w:r>
    </w:p>
    <w:p>
      <w:pPr>
        <w:pStyle w:val="29"/>
        <w:ind w:firstLine="480"/>
        <w:rPr>
          <w:rFonts w:hint="eastAsia"/>
          <w:lang w:val="en-US" w:eastAsia="zh-CN"/>
        </w:rPr>
      </w:pPr>
      <w:r>
        <w:rPr>
          <w:rFonts w:hint="eastAsia"/>
          <w:lang w:val="en-US" w:eastAsia="zh-CN"/>
        </w:rPr>
        <w:t>仿照问题一的检验方法，对版本A全年365天（2025-01-01至2025-12-31）的求解结果进行逐日校验：全部储电量取值均落在[1200, 10800] kWh区间内；相邻两天的储电量满足s</w:t>
      </w:r>
      <w:r>
        <w:rPr>
          <w:rFonts w:hint="eastAsia"/>
          <w:vertAlign w:val="subscript"/>
          <w:lang w:val="en-US" w:eastAsia="zh-CN"/>
        </w:rPr>
        <w:t>d,0</w:t>
      </w:r>
      <w:r>
        <w:rPr>
          <w:rFonts w:hint="eastAsia"/>
          <w:lang w:val="en-US" w:eastAsia="zh-CN"/>
        </w:rPr>
        <w:t>=s</w:t>
      </w:r>
      <w:r>
        <w:rPr>
          <w:rFonts w:hint="eastAsia"/>
          <w:vertAlign w:val="subscript"/>
          <w:lang w:val="en-US" w:eastAsia="zh-CN"/>
        </w:rPr>
        <w:t>d-1,T</w:t>
      </w:r>
      <w:r>
        <w:rPr>
          <w:rFonts w:hint="eastAsia"/>
          <w:lang w:val="en-US" w:eastAsia="zh-CN"/>
        </w:rPr>
        <w:t>的衔接关系（浮点残差小于10</w:t>
      </w:r>
      <w:r>
        <w:rPr>
          <w:rFonts w:hint="eastAsia"/>
          <w:vertAlign w:val="superscript"/>
          <w:lang w:val="en-US" w:eastAsia="zh-CN"/>
        </w:rPr>
        <w:t>-6</w:t>
      </w:r>
      <w:r>
        <w:rPr>
          <w:rFonts w:hint="eastAsia"/>
          <w:lang w:val="en-US" w:eastAsia="zh-CN"/>
        </w:rPr>
        <w:t xml:space="preserve"> kWh）；全年内同一时段同时出现c</w:t>
      </w:r>
      <w:r>
        <w:rPr>
          <w:rFonts w:hint="eastAsia"/>
          <w:vertAlign w:val="subscript"/>
          <w:lang w:val="en-US" w:eastAsia="zh-CN"/>
        </w:rPr>
        <w:t>t</w:t>
      </w:r>
      <w:r>
        <w:rPr>
          <w:rFonts w:hint="eastAsia"/>
          <w:lang w:val="en-US" w:eastAsia="zh-CN"/>
        </w:rPr>
        <w:t>&gt;0与d</w:t>
      </w:r>
      <w:r>
        <w:rPr>
          <w:rFonts w:hint="eastAsia"/>
          <w:vertAlign w:val="subscript"/>
          <w:lang w:val="en-US" w:eastAsia="zh-CN"/>
        </w:rPr>
        <w:t>t</w:t>
      </w:r>
      <w:r>
        <w:rPr>
          <w:rFonts w:hint="eastAsia"/>
          <w:lang w:val="en-US" w:eastAsia="zh-CN"/>
        </w:rPr>
        <w:t>&gt;0的情形为0，充放电互斥约束严格成立；365次MILP求解的求解器返回状态全部为optimal，均获得全局最优解。版本B的校验结果与之一致——两版本共用同一套日前MILP与结算逻辑，模型结构完全相同，差异仅来自预测输入。</w:t>
      </w:r>
    </w:p>
    <w:p>
      <w:pPr>
        <w:pStyle w:val="29"/>
      </w:pPr>
    </w:p>
    <w:p>
      <w:pPr>
        <w:pStyle w:val="29"/>
        <w:ind w:firstLine="480"/>
        <w:rPr>
          <w:rFonts w:hint="eastAsia"/>
          <w:lang w:val="en-US" w:eastAsia="zh-CN"/>
        </w:rPr>
      </w:pPr>
      <w:r>
        <w:rPr>
          <w:rFonts w:hint="eastAsia"/>
          <w:lang w:val="en-US" w:eastAsia="zh-CN"/>
        </w:rPr>
        <w:t>4.2.8 两种预测方法的对比分析</w:t>
      </w:r>
    </w:p>
    <w:p>
      <w:pPr>
        <w:pStyle w:val="29"/>
        <w:ind w:firstLine="480"/>
        <w:rPr>
          <w:rFonts w:hint="eastAsia"/>
          <w:lang w:val="en-US" w:eastAsia="zh-CN"/>
        </w:rPr>
      </w:pPr>
      <w:r>
        <w:rPr>
          <w:rFonts w:hint="eastAsia"/>
          <w:lang w:val="en-US" w:eastAsia="zh-CN"/>
        </w:rPr>
        <w:t>综合4.2.7的结果，可以得到两点结论。</w:t>
      </w:r>
    </w:p>
    <w:p>
      <w:pPr>
        <w:pStyle w:val="29"/>
        <w:ind w:firstLine="480"/>
        <w:rPr>
          <w:rFonts w:hint="eastAsia"/>
          <w:lang w:val="en-US" w:eastAsia="zh-CN"/>
        </w:rPr>
      </w:pPr>
      <w:r>
        <w:rPr>
          <w:rFonts w:hint="eastAsia"/>
          <w:lang w:val="en-US" w:eastAsia="zh-CN"/>
        </w:rPr>
        <w:t>第一，在本文的两种预测方法下，无论是预测精度还是最终购电费用，差距都不大（MAPE差距在0.2个百分点以内，总费用差距不到0.4%），说明本问题中预测方法本身并非制约购电费用的主要瓶颈，进一步提升预测精度（例如替换更复杂的模型）对费用的边际改善有限。</w:t>
      </w:r>
    </w:p>
    <w:p>
      <w:pPr>
        <w:pStyle w:val="29"/>
        <w:ind w:firstLine="480"/>
        <w:rPr>
          <w:rFonts w:hint="eastAsia"/>
          <w:lang w:val="en-US" w:eastAsia="zh-CN"/>
        </w:rPr>
      </w:pPr>
      <w:r>
        <w:rPr>
          <w:rFonts w:hint="eastAsia"/>
          <w:lang w:val="en-US" w:eastAsia="zh-CN"/>
        </w:rPr>
        <w:t>第二，真正对费用起决定作用的是4.2.4.3节的报童安全边际。若关闭安全边际、直接用点预测求解，两版本全年总费用均升至1510万至1520万元左右，较启用安全边际时（约1393万至1399万元）高出约8%至9%，且紧急购电占比显著上升——这说明“用多大的裕量应对预测误差”比“用哪种方法做点预测”对购电成本的影响更大。这也解释了为什么计算成本相差数十倍的版本A与版本B，最终费用却相差无几：两者共享同一套安全边际机制，该机制已经把大部分预测误差带来的风险成本吸收掉了。</w:t>
      </w:r>
    </w:p>
    <w:p>
      <w:pPr>
        <w:pStyle w:val="29"/>
        <w:ind w:firstLine="480"/>
        <w:rPr>
          <w:rFonts w:hint="eastAsia"/>
          <w:lang w:val="en-US" w:eastAsia="zh-CN"/>
        </w:rPr>
      </w:pPr>
      <w:r>
        <w:rPr>
          <w:rFonts w:hint="eastAsia"/>
          <w:lang w:val="en-US" w:eastAsia="zh-CN"/>
        </w:rPr>
        <w:t>从计算成本角度看，版本A以远低于版本B的计算开销（数秒对数分钟）取得了几乎相当的费用结果，工程上更具性价比；版本B在预测精度上体现出小幅优势，若未来问题对预测精度要求更高（例如安全边际机制不可用，或预测误差直接进入费用），该优势有望被放大。因此，本文将版本A作为正式提交的购电策略（对应result2.xlsx），版本B作为方法学对比与稳健性验证。</w:t>
      </w:r>
    </w:p>
    <w:p>
      <w:pPr>
        <w:pStyle w:val="29"/>
      </w:pPr>
    </w:p>
    <w:p>
      <w:pPr>
        <w:pStyle w:val="29"/>
        <w:ind w:firstLine="480"/>
        <w:rPr>
          <w:rFonts w:hint="eastAsia"/>
          <w:lang w:val="en-US" w:eastAsia="zh-CN"/>
        </w:rPr>
      </w:pPr>
      <w:r>
        <w:rPr>
          <w:rFonts w:hint="eastAsia"/>
          <w:lang w:val="en-US" w:eastAsia="zh-CN"/>
        </w:rPr>
        <w:t>4.2.9 模型评价</w:t>
      </w:r>
    </w:p>
    <w:p>
      <w:pPr>
        <w:pStyle w:val="29"/>
        <w:ind w:firstLine="480"/>
        <w:rPr>
          <w:rFonts w:hint="eastAsia"/>
          <w:lang w:val="en-US" w:eastAsia="zh-CN"/>
        </w:rPr>
      </w:pPr>
      <w:r>
        <w:rPr>
          <w:rFonts w:hint="eastAsia"/>
          <w:lang w:val="en-US" w:eastAsia="zh-CN"/>
        </w:rPr>
        <w:t>4.2.9.1 模型优点</w:t>
      </w:r>
    </w:p>
    <w:p>
      <w:pPr>
        <w:pStyle w:val="29"/>
        <w:ind w:firstLine="480"/>
        <w:rPr>
          <w:rFonts w:hint="eastAsia"/>
          <w:lang w:val="en-US" w:eastAsia="zh-CN"/>
        </w:rPr>
      </w:pPr>
      <w:r>
        <w:rPr>
          <w:rFonts w:hint="eastAsia"/>
          <w:lang w:val="en-US" w:eastAsia="zh-CN"/>
        </w:rPr>
        <w:t>（1）延续问题一的混合整数线性规划结构，从约束层面严格避免同一时段同时充放电，模型的物理含义与问题一保持一致，便于对比理解；</w:t>
      </w:r>
    </w:p>
    <w:p>
      <w:pPr>
        <w:pStyle w:val="29"/>
        <w:ind w:firstLine="480"/>
        <w:rPr>
          <w:rFonts w:hint="eastAsia"/>
          <w:lang w:val="en-US" w:eastAsia="zh-CN"/>
        </w:rPr>
      </w:pPr>
      <w:r>
        <w:rPr>
          <w:rFonts w:hint="eastAsia"/>
          <w:lang w:val="en-US" w:eastAsia="zh-CN"/>
        </w:rPr>
        <w:t>（2）通过将“预测”与“决策”两个子问题分离，并固定除预测方法外的全部建模假设，使版本A、版本B之间的费用差异能够干净地归因于预测精度，比较结果可靠；</w:t>
      </w:r>
    </w:p>
    <w:p>
      <w:pPr>
        <w:pStyle w:val="29"/>
        <w:ind w:firstLine="480"/>
        <w:rPr>
          <w:rFonts w:hint="eastAsia"/>
          <w:lang w:val="en-US" w:eastAsia="zh-CN"/>
        </w:rPr>
      </w:pPr>
      <w:r>
        <w:rPr>
          <w:rFonts w:hint="eastAsia"/>
          <w:lang w:val="en-US" w:eastAsia="zh-CN"/>
        </w:rPr>
        <w:t>（3）引入报童安全边际，用经济学上最优的服务水位（q*=0.8）系统性地对冲预测误差：相比直接使用点预测，全年总费用降低约8%至9%，且实现简单（仅需维护滚动分位数），不增加MILP本身的规模与复杂度。</w:t>
      </w:r>
    </w:p>
    <w:p>
      <w:pPr>
        <w:pStyle w:val="29"/>
      </w:pPr>
    </w:p>
    <w:p>
      <w:pPr>
        <w:pStyle w:val="29"/>
        <w:ind w:firstLine="480"/>
        <w:rPr>
          <w:rFonts w:hint="eastAsia"/>
          <w:lang w:val="en-US" w:eastAsia="zh-CN"/>
        </w:rPr>
      </w:pPr>
      <w:r>
        <w:rPr>
          <w:rFonts w:hint="eastAsia"/>
          <w:lang w:val="en-US" w:eastAsia="zh-CN"/>
        </w:rPr>
        <w:t>4.2.9.2 模型局限</w:t>
      </w:r>
    </w:p>
    <w:p>
      <w:pPr>
        <w:pStyle w:val="29"/>
        <w:ind w:firstLine="480"/>
        <w:rPr>
          <w:rFonts w:hint="eastAsia"/>
          <w:lang w:val="en-US" w:eastAsia="zh-CN"/>
        </w:rPr>
      </w:pPr>
      <w:r>
        <w:rPr>
          <w:rFonts w:hint="eastAsia"/>
          <w:lang w:val="en-US" w:eastAsia="zh-CN"/>
        </w:rPr>
        <w:t>（1）计划一旦制定，当天不再依据任何新信息调整，问题三将引入日内多次调整以缓解这一局限；</w:t>
      </w:r>
    </w:p>
    <w:p>
      <w:pPr>
        <w:pStyle w:val="29"/>
        <w:ind w:firstLine="480"/>
        <w:rPr>
          <w:rFonts w:hint="eastAsia"/>
          <w:lang w:val="en-US" w:eastAsia="zh-CN"/>
        </w:rPr>
      </w:pPr>
      <w:r>
        <w:rPr>
          <w:rFonts w:hint="eastAsia"/>
          <w:lang w:val="en-US" w:eastAsia="zh-CN"/>
        </w:rPr>
        <w:t>（2）安全边际的分位数q*=0.8由报童模型在“电价本身不影响临界比”的理想化假设下推得，未考虑预测误差在不同时段、不同季节之间的相关结构（如连续晴天或阴天导致的误差自相关），可能不是全局最优的裕量设置；</w:t>
      </w:r>
    </w:p>
    <w:p>
      <w:pPr>
        <w:pStyle w:val="29"/>
        <w:ind w:firstLine="480"/>
        <w:rPr>
          <w:rFonts w:hint="eastAsia"/>
          <w:lang w:val="en-US" w:eastAsia="zh-CN"/>
        </w:rPr>
      </w:pPr>
      <w:r>
        <w:rPr>
          <w:rFonts w:hint="eastAsia"/>
          <w:lang w:val="en-US" w:eastAsia="zh-CN"/>
        </w:rPr>
        <w:t>（3）版本B（LightGBM）逐日重训的计算成本较高，若扩展到更大规模微网或更高时间分辨率，工程可行性会下降。</w:t>
      </w:r>
    </w:p>
    <w:p>
      <w:pPr>
        <w:pStyle w:val="29"/>
      </w:pPr>
    </w:p>
    <w:p>
      <w:pPr>
        <w:pStyle w:val="29"/>
        <w:ind w:firstLine="480"/>
        <w:rPr>
          <w:rFonts w:hint="eastAsia"/>
          <w:lang w:val="en-US" w:eastAsia="zh-CN"/>
        </w:rPr>
      </w:pPr>
      <w:r>
        <w:rPr>
          <w:rFonts w:hint="eastAsia"/>
          <w:lang w:val="en-US" w:eastAsia="zh-CN"/>
        </w:rPr>
        <w:t>4.2.10 结论</w:t>
      </w:r>
    </w:p>
    <w:p>
      <w:pPr>
        <w:pStyle w:val="29"/>
        <w:ind w:firstLine="480"/>
        <w:rPr>
          <w:rFonts w:hint="eastAsia"/>
          <w:lang w:val="en-US" w:eastAsia="zh-CN"/>
        </w:rPr>
      </w:pPr>
      <w:r>
        <w:rPr>
          <w:rFonts w:hint="eastAsia"/>
          <w:lang w:val="en-US" w:eastAsia="zh-CN"/>
        </w:rPr>
        <w:t>为求解问题二，本文在问题一混合整数线性规划的基础上，构建了预测（版本A：Holt-Winters+晴空包络；版本B：LightGBM滚动重训）与决策（日前MILP+报童安全边际）相分离的两阶段全年滚动仿真框架。2025年2月1日至12月31日（334天）的仿真结果显示：版本A全年购电总费用1398.69万元（负荷MAPE 3.23%，光伏MAPE 7.13%），版本B为1393.44万元（负荷MAPE 3.06%，光伏MAPE 7.09%），两者差距在0.4%以内；与不使用安全边际的基线（总费用约1510万至1520万元）相比，报童安全边际使全年购电成本降低约8%至9%，是问题二模型设计中对购电费用影响最大的部分。本文最终采用版本A的计划购电策略作为正式结果提交至result2.xlsx。</w:t>
      </w:r>
    </w:p>
    <w:p>
      <w:pPr>
        <w:pStyle w:val="29"/>
      </w:pPr>
    </w:p>
    <w:p w14:paraId="29BCA9F6">
      <w:pPr>
        <w:pStyle w:val="34"/>
      </w:pPr>
      <w:bookmarkStart w:id="19" w:name="_Toc206756672"/>
      <w:r>
        <w:t>问题</w:t>
      </w:r>
      <w:r>
        <w:rPr>
          <w:rFonts w:hint="eastAsia"/>
        </w:rPr>
        <w:t>三的</w:t>
      </w:r>
      <w:r>
        <w:t>模型</w:t>
      </w:r>
      <w:bookmarkEnd w:id="19"/>
    </w:p>
    <w:p w14:paraId="45D1085A">
      <w:pPr>
        <w:pStyle w:val="36"/>
        <w:rPr>
          <w:bCs/>
        </w:rPr>
      </w:pPr>
      <w:bookmarkStart w:id="20" w:name="_Toc206756673"/>
      <w:r>
        <w:t>指标</w:t>
      </w:r>
      <w:r>
        <w:rPr>
          <w:rFonts w:hint="eastAsia"/>
        </w:rPr>
        <w:t>设计</w:t>
      </w:r>
      <w:bookmarkEnd w:id="20"/>
    </w:p>
    <w:p w14:paraId="7F3A3132">
      <w:pPr>
        <w:pStyle w:val="29"/>
        <w:ind w:firstLine="480"/>
      </w:pPr>
    </w:p>
    <w:p w14:paraId="767E3675">
      <w:pPr>
        <w:pStyle w:val="29"/>
        <w:ind w:firstLine="480"/>
      </w:pPr>
    </w:p>
    <w:p w14:paraId="62FC2AE7">
      <w:pPr>
        <w:pStyle w:val="36"/>
        <w:rPr>
          <w:bCs/>
        </w:rPr>
      </w:pPr>
      <w:bookmarkStart w:id="21" w:name="_Toc206756674"/>
      <w:r>
        <w:t>模型思路与分析</w:t>
      </w:r>
      <w:bookmarkEnd w:id="21"/>
    </w:p>
    <w:p w14:paraId="7F06B841">
      <w:pPr>
        <w:pStyle w:val="29"/>
        <w:ind w:firstLine="480"/>
        <w:rPr>
          <w:lang w:bidi="ar"/>
        </w:rPr>
      </w:pPr>
    </w:p>
    <w:p w14:paraId="3FD79BBC">
      <w:pPr>
        <w:pStyle w:val="29"/>
        <w:ind w:firstLine="480"/>
      </w:pPr>
    </w:p>
    <w:p w14:paraId="4D7E5A88">
      <w:pPr>
        <w:pStyle w:val="36"/>
        <w:rPr>
          <w:bCs/>
        </w:rPr>
      </w:pPr>
      <w:bookmarkStart w:id="22" w:name="_Toc206756675"/>
      <w:r>
        <w:t>模型检验</w:t>
      </w:r>
      <w:bookmarkEnd w:id="22"/>
    </w:p>
    <w:p w14:paraId="0363E814">
      <w:pPr>
        <w:pStyle w:val="32"/>
        <w:rPr>
          <w:b/>
          <w:bCs/>
        </w:rPr>
      </w:pPr>
      <w:bookmarkStart w:id="23" w:name="_Toc206756676"/>
      <w:r>
        <w:rPr>
          <w:rFonts w:hint="eastAsia"/>
        </w:rPr>
        <w:t>模型的分析与检验</w:t>
      </w:r>
      <w:bookmarkEnd w:id="23"/>
    </w:p>
    <w:p w14:paraId="2ACB047C">
      <w:pPr>
        <w:pStyle w:val="29"/>
        <w:ind w:firstLine="480"/>
      </w:pPr>
      <w:r>
        <w:rPr>
          <w:rFonts w:hint="eastAsia"/>
        </w:rPr>
        <w:t>模型的分析与检验的内容也可以放到模型的建立与求解部分，这里我们单独抽出来进行讲解，因为这部分往往是论文的加分项，很多优秀论文也会单独抽出一节来对这个内容进行讨论。</w:t>
      </w:r>
    </w:p>
    <w:p w14:paraId="4977CBE2">
      <w:pPr>
        <w:pStyle w:val="29"/>
        <w:ind w:firstLine="480"/>
      </w:pPr>
      <w:r>
        <w:rPr>
          <w:rFonts w:hint="eastAsia"/>
        </w:rPr>
        <w:t>模型的分析 ：在建模比赛中模型分析主要有两种，一个是灵敏度(性)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13D577D8">
      <w:pPr>
        <w:pStyle w:val="29"/>
        <w:ind w:firstLine="480"/>
      </w:pPr>
      <w:r>
        <w:rPr>
          <w:rFonts w:hint="eastAsia"/>
        </w:rPr>
        <w:t>模型的检验：模型检验可以分为两种，一种是使用模型之前应该进行的检验，例如层次分析法中一致性检验，灰色预测中的准指数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7F634BAB">
      <w:pPr>
        <w:pStyle w:val="29"/>
        <w:ind w:firstLine="480"/>
      </w:pPr>
      <w:r>
        <w:rPr>
          <w:rFonts w:hint="eastAsia"/>
        </w:rPr>
        <w:t>(大家尽量在论文中使用</w:t>
      </w:r>
      <w:r>
        <w:rPr>
          <w:rFonts w:hint="eastAsia"/>
          <w:b/>
          <w:bCs/>
        </w:rPr>
        <w:t>灵敏度分析</w:t>
      </w:r>
      <w:r>
        <w:rPr>
          <w:rFonts w:hint="eastAsia"/>
        </w:rPr>
        <w:t>，视频中有详细的讲解</w:t>
      </w:r>
      <w:r>
        <w:t>)</w:t>
      </w:r>
    </w:p>
    <w:p w14:paraId="1F5AD3C9">
      <w:pPr>
        <w:pStyle w:val="29"/>
        <w:ind w:firstLine="480"/>
      </w:pPr>
    </w:p>
    <w:p w14:paraId="7A7B98D0">
      <w:pPr>
        <w:pStyle w:val="29"/>
        <w:ind w:firstLine="480"/>
      </w:pPr>
    </w:p>
    <w:p w14:paraId="72A258BF">
      <w:pPr>
        <w:pStyle w:val="29"/>
        <w:ind w:firstLine="480"/>
      </w:pPr>
    </w:p>
    <w:p w14:paraId="59339AE2">
      <w:pPr>
        <w:pStyle w:val="29"/>
        <w:ind w:firstLine="480"/>
      </w:pPr>
    </w:p>
    <w:p w14:paraId="2BC9C7EA">
      <w:pPr>
        <w:pStyle w:val="29"/>
        <w:ind w:firstLine="480"/>
      </w:pPr>
    </w:p>
    <w:p w14:paraId="7707207D">
      <w:pPr>
        <w:pStyle w:val="29"/>
        <w:ind w:firstLine="480"/>
      </w:pPr>
    </w:p>
    <w:p w14:paraId="67765C5C">
      <w:pPr>
        <w:pStyle w:val="29"/>
        <w:ind w:firstLine="480"/>
      </w:pPr>
    </w:p>
    <w:p w14:paraId="42C2267D">
      <w:pPr>
        <w:pStyle w:val="32"/>
      </w:pPr>
      <w:bookmarkStart w:id="24" w:name="_Toc206756677"/>
      <w:r>
        <w:rPr>
          <w:rFonts w:hint="eastAsia"/>
        </w:rPr>
        <w:t>模型评价、改进与推广</w:t>
      </w:r>
      <w:bookmarkEnd w:id="24"/>
    </w:p>
    <w:p w14:paraId="2D4B66EC">
      <w:pPr>
        <w:pStyle w:val="29"/>
        <w:ind w:firstLine="480"/>
      </w:pPr>
      <w:r>
        <w:rPr>
          <w:rFonts w:hint="eastAsia"/>
        </w:rPr>
        <w:t>注：本部分的标题需要根据你的内容进行调整，例如：如果你没有写模型推广的话，就直接把标题写成模型的评价与改进。很多论文也把这部分的内容直接统称为“模型评价”部分，也是可以的。</w:t>
      </w:r>
    </w:p>
    <w:p w14:paraId="40B83996">
      <w:pPr>
        <w:pStyle w:val="29"/>
        <w:ind w:firstLine="480"/>
      </w:pPr>
    </w:p>
    <w:p w14:paraId="7685FEC3">
      <w:pPr>
        <w:pStyle w:val="34"/>
      </w:pPr>
      <w:bookmarkStart w:id="25" w:name="_Toc206756678"/>
      <w:r>
        <w:t>模型的优点</w:t>
      </w:r>
      <w:bookmarkEnd w:id="25"/>
    </w:p>
    <w:p w14:paraId="0D8B85CA">
      <w:pPr>
        <w:pStyle w:val="29"/>
        <w:ind w:firstLine="480"/>
      </w:pPr>
      <w:r>
        <w:rPr>
          <w:rFonts w:hint="eastAsia"/>
        </w:rPr>
        <w:t>优缺点是必须要写的内容，改进和推广是可选的，但还是建议大家写，实力比较强的建模者可以在这一块充分发挥，这部分对于整个论文的作用在于画龙点睛。</w:t>
      </w:r>
    </w:p>
    <w:p w14:paraId="3C984F1B">
      <w:pPr>
        <w:pStyle w:val="36"/>
      </w:pPr>
      <w:r>
        <w:rPr>
          <w:rFonts w:hint="eastAsia"/>
        </w:rPr>
        <w:t>XXX</w:t>
      </w:r>
    </w:p>
    <w:p w14:paraId="3A1F858B">
      <w:pPr>
        <w:pStyle w:val="36"/>
      </w:pPr>
      <w:r>
        <w:rPr>
          <w:rFonts w:hint="eastAsia"/>
        </w:rPr>
        <w:t>XXX</w:t>
      </w:r>
    </w:p>
    <w:p w14:paraId="6652EAF4">
      <w:pPr>
        <w:pStyle w:val="36"/>
      </w:pPr>
      <w:r>
        <w:rPr>
          <w:rFonts w:hint="eastAsia"/>
        </w:rPr>
        <w:t>XXX</w:t>
      </w:r>
    </w:p>
    <w:p w14:paraId="160C7B18">
      <w:pPr>
        <w:pStyle w:val="34"/>
      </w:pPr>
      <w:bookmarkStart w:id="26" w:name="_Toc206756679"/>
      <w:r>
        <w:t>模型的</w:t>
      </w:r>
      <w:r>
        <w:rPr>
          <w:rFonts w:hint="eastAsia"/>
        </w:rPr>
        <w:t>缺</w:t>
      </w:r>
      <w:r>
        <w:t>点</w:t>
      </w:r>
      <w:bookmarkEnd w:id="26"/>
    </w:p>
    <w:p w14:paraId="77DB0322">
      <w:pPr>
        <w:pStyle w:val="29"/>
        <w:ind w:firstLine="480"/>
      </w:pPr>
      <w:r>
        <w:rPr>
          <w:rFonts w:hint="eastAsia"/>
        </w:rPr>
        <w:t>缺点写的个数要比优点少</w:t>
      </w:r>
    </w:p>
    <w:p w14:paraId="28143121">
      <w:pPr>
        <w:pStyle w:val="36"/>
      </w:pPr>
      <w:r>
        <w:rPr>
          <w:rFonts w:hint="eastAsia"/>
        </w:rPr>
        <w:t>XXX</w:t>
      </w:r>
    </w:p>
    <w:p w14:paraId="29AD898B">
      <w:pPr>
        <w:pStyle w:val="36"/>
      </w:pPr>
      <w:r>
        <w:rPr>
          <w:rFonts w:hint="eastAsia"/>
        </w:rPr>
        <w:t>XXX</w:t>
      </w:r>
    </w:p>
    <w:p w14:paraId="01826913">
      <w:pPr>
        <w:pStyle w:val="29"/>
        <w:ind w:firstLine="480"/>
      </w:pPr>
    </w:p>
    <w:p w14:paraId="0305ADA3">
      <w:pPr>
        <w:pStyle w:val="34"/>
      </w:pPr>
      <w:bookmarkStart w:id="27" w:name="_Toc206756680"/>
      <w:r>
        <w:t>模型的改进与推广</w:t>
      </w:r>
      <w:bookmarkEnd w:id="27"/>
    </w:p>
    <w:p w14:paraId="0BE2EE62">
      <w:pPr>
        <w:pStyle w:val="29"/>
        <w:ind w:firstLine="480"/>
        <w:rPr>
          <w:rFonts w:hint="eastAsia" w:hAnsi="宋体"/>
        </w:rPr>
      </w:pPr>
      <w:r>
        <w:rPr>
          <w:rFonts w:hint="eastAsia" w:hAnsi="宋体"/>
        </w:rPr>
        <w:t>改进之处主要包括以下几点：</w:t>
      </w:r>
      <w:r>
        <w:rPr>
          <w:rFonts w:hint="eastAsia"/>
        </w:rPr>
        <w:t>主要是针对模型中缺点有哪些可以改进的地方；</w:t>
      </w:r>
    </w:p>
    <w:p w14:paraId="1BDFCC01">
      <w:pPr>
        <w:pStyle w:val="38"/>
        <w:ind w:firstLine="480"/>
      </w:pPr>
      <w:r>
        <w:rPr>
          <w:rFonts w:hint="eastAsia"/>
        </w:rPr>
        <w:t>XXX</w:t>
      </w:r>
    </w:p>
    <w:p w14:paraId="73A1F582">
      <w:pPr>
        <w:pStyle w:val="38"/>
        <w:ind w:firstLine="480"/>
      </w:pPr>
      <w:r>
        <w:rPr>
          <w:rFonts w:hint="eastAsia"/>
        </w:rPr>
        <w:t>XXX</w:t>
      </w:r>
    </w:p>
    <w:p w14:paraId="27547756">
      <w:pPr>
        <w:pStyle w:val="29"/>
        <w:ind w:firstLine="480"/>
        <w:rPr>
          <w:rFonts w:hint="eastAsia" w:hAnsi="宋体"/>
        </w:rPr>
      </w:pPr>
      <w:r>
        <w:rPr>
          <w:rFonts w:hint="eastAsia" w:hAnsi="宋体"/>
        </w:rPr>
        <w:t>模型推广主要可以从以下几点考虑：</w:t>
      </w:r>
      <w:r>
        <w:rPr>
          <w:rFonts w:hint="eastAsia"/>
        </w:rPr>
        <w:t>将原题的要求进行扩展，进一步讨论模型的实用性和可行性。</w:t>
      </w:r>
    </w:p>
    <w:p w14:paraId="6E72E280">
      <w:pPr>
        <w:pStyle w:val="29"/>
        <w:ind w:firstLine="480"/>
      </w:pPr>
    </w:p>
    <w:p w14:paraId="4868348C">
      <w:pPr>
        <w:pStyle w:val="29"/>
        <w:ind w:firstLine="480"/>
      </w:pPr>
      <w:r>
        <w:br w:type="page"/>
      </w:r>
      <w:bookmarkStart w:id="28" w:name="_Toc206756681"/>
      <w:r>
        <w:t>参考文献</w:t>
      </w:r>
      <w:bookmarkEnd w:id="28"/>
    </w:p>
    <w:p w14:paraId="60B4B600">
      <w:pPr>
        <w:pStyle w:val="50"/>
      </w:pPr>
      <w:bookmarkStart w:id="29" w:name="_Ref100454673"/>
      <w:r>
        <w:t>苗文凯,刘庆芳,刘海云,苏健. 文本情感分析技术在中邮网院的应用研究[J]. 邮政研究,2022,38(02):28-32.</w:t>
      </w:r>
    </w:p>
    <w:p w14:paraId="454398D7">
      <w:pPr>
        <w:pStyle w:val="29"/>
        <w:ind w:firstLine="480"/>
      </w:pPr>
    </w:p>
    <w:p w14:paraId="4AE8797B">
      <w:pPr>
        <w:pStyle w:val="29"/>
        <w:ind w:firstLine="480"/>
      </w:pPr>
    </w:p>
    <w:p w14:paraId="0C79C998">
      <w:pPr>
        <w:pStyle w:val="29"/>
        <w:ind w:firstLine="480"/>
      </w:pPr>
    </w:p>
    <w:bookmarkEnd w:id="29"/>
    <w:p w14:paraId="7ABBD45A">
      <w:pPr>
        <w:pStyle w:val="29"/>
        <w:ind w:firstLine="480"/>
        <w:rPr>
          <w:lang w:val="zh-CN"/>
        </w:rPr>
      </w:pPr>
      <w:r>
        <w:rPr>
          <w:rFonts w:hint="eastAsia"/>
          <w:lang w:val="zh-CN"/>
        </w:rPr>
        <w:t>所有引用他人或公开资料(包括网上资料)的成果必须按照科技论文的规范列出参考文献，并在正文引用处予以标注。</w:t>
      </w:r>
    </w:p>
    <w:p w14:paraId="12CE67CD">
      <w:pPr>
        <w:pStyle w:val="29"/>
        <w:ind w:firstLine="480"/>
      </w:pPr>
      <w:r>
        <w:rPr>
          <w:rFonts w:hint="eastAsia"/>
        </w:rPr>
        <w:t>常见的三种参考文献的表达方式（标准不唯一）：</w:t>
      </w:r>
    </w:p>
    <w:p w14:paraId="1370D48E">
      <w:pPr>
        <w:pStyle w:val="29"/>
        <w:ind w:firstLine="480"/>
      </w:pPr>
      <w:r>
        <w:rPr>
          <w:rFonts w:hint="eastAsia"/>
        </w:rPr>
        <w:t>书籍的表述方式为： [编号] 作者，书名，出版地：出版社，出版年月。</w:t>
      </w:r>
    </w:p>
    <w:p w14:paraId="6A96FE16">
      <w:pPr>
        <w:pStyle w:val="29"/>
        <w:ind w:firstLine="480"/>
      </w:pPr>
      <w:r>
        <w:rPr>
          <w:rFonts w:hint="eastAsia"/>
        </w:rPr>
        <w:t>期刊杂志论文的表述方式为： [编号] 作者，论文名，杂志名，卷期号：起止页码，出版年。</w:t>
      </w:r>
    </w:p>
    <w:p w14:paraId="3D9E7C2B">
      <w:pPr>
        <w:pStyle w:val="29"/>
        <w:ind w:firstLine="480"/>
      </w:pPr>
      <w:r>
        <w:rPr>
          <w:rFonts w:hint="eastAsia"/>
        </w:rPr>
        <w:t>网上资源(例如数据库、政府报告)的表述方式为： [编号] 作者，资源标题，网址，访问时间。</w:t>
      </w:r>
    </w:p>
    <w:p w14:paraId="040E3FDD">
      <w:pPr>
        <w:pStyle w:val="29"/>
        <w:ind w:firstLine="480"/>
      </w:pPr>
    </w:p>
    <w:p w14:paraId="31B4A447">
      <w:pPr>
        <w:pStyle w:val="29"/>
        <w:ind w:firstLine="480"/>
      </w:pPr>
    </w:p>
    <w:p w14:paraId="7A0F0AF6">
      <w:pPr>
        <w:pStyle w:val="29"/>
        <w:ind w:firstLine="480"/>
      </w:pPr>
    </w:p>
    <w:p w14:paraId="2E247109">
      <w:pPr>
        <w:pStyle w:val="29"/>
        <w:ind w:firstLine="480"/>
      </w:pPr>
    </w:p>
    <w:p w14:paraId="47112EE0">
      <w:pPr>
        <w:pStyle w:val="29"/>
        <w:ind w:firstLine="480"/>
      </w:pPr>
    </w:p>
    <w:p w14:paraId="7DA1FAC3">
      <w:pPr>
        <w:pStyle w:val="29"/>
        <w:ind w:firstLine="480"/>
      </w:pPr>
    </w:p>
    <w:p w14:paraId="4A1DF490">
      <w:pPr>
        <w:pStyle w:val="29"/>
        <w:ind w:firstLine="480"/>
      </w:pPr>
      <w:r>
        <w:br w:type="page"/>
      </w:r>
    </w:p>
    <w:p w14:paraId="7A3C1D8A">
      <w:pPr>
        <w:pStyle w:val="32"/>
      </w:pPr>
      <w:bookmarkStart w:id="30" w:name="_Toc206756682"/>
      <w:r>
        <w:rPr>
          <w:rFonts w:hint="eastAsia"/>
        </w:rPr>
        <w:t>附录</w:t>
      </w:r>
      <w:bookmarkEnd w:id="30"/>
    </w:p>
    <w:p w14:paraId="6F46202E">
      <w:pPr>
        <w:pStyle w:val="29"/>
        <w:ind w:firstLine="480"/>
      </w:pPr>
      <w:r>
        <w:rPr>
          <w:rFonts w:hint="eastAsia"/>
        </w:rPr>
        <w:t>除了支撑材料的文件列表和源程序代码外，附录中还可以包括下面内容：</w:t>
      </w:r>
    </w:p>
    <w:p w14:paraId="704D7806">
      <w:pPr>
        <w:pStyle w:val="9"/>
        <w:numPr>
          <w:ilvl w:val="0"/>
          <w:numId w:val="9"/>
        </w:numPr>
        <w:ind w:left="567" w:firstLine="560"/>
        <w:rPr>
          <w:color w:val="FF0000"/>
        </w:rPr>
      </w:pPr>
      <w:r>
        <w:rPr>
          <w:rFonts w:hint="eastAsia"/>
          <w:color w:val="FF0000"/>
        </w:rPr>
        <w:t>某一问题的详细证明或求解过程；</w:t>
      </w:r>
    </w:p>
    <w:p w14:paraId="67026CFF">
      <w:pPr>
        <w:pStyle w:val="9"/>
        <w:numPr>
          <w:ilvl w:val="0"/>
          <w:numId w:val="9"/>
        </w:numPr>
        <w:ind w:left="567" w:firstLine="560"/>
        <w:rPr>
          <w:color w:val="FF0000"/>
        </w:rPr>
      </w:pPr>
      <w:r>
        <w:rPr>
          <w:rFonts w:hint="eastAsia"/>
          <w:color w:val="FF0000"/>
        </w:rPr>
        <w:t>自己在网上找到的数据；</w:t>
      </w:r>
    </w:p>
    <w:p w14:paraId="631C655A">
      <w:pPr>
        <w:pStyle w:val="9"/>
        <w:numPr>
          <w:ilvl w:val="0"/>
          <w:numId w:val="9"/>
        </w:numPr>
        <w:ind w:left="567" w:firstLine="560"/>
        <w:rPr>
          <w:color w:val="FF0000"/>
        </w:rPr>
      </w:pPr>
      <w:r>
        <w:rPr>
          <w:rFonts w:hint="eastAsia"/>
          <w:color w:val="FF0000"/>
        </w:rPr>
        <w:t>比较大的流程图；</w:t>
      </w:r>
    </w:p>
    <w:p w14:paraId="53690B0E">
      <w:pPr>
        <w:pStyle w:val="9"/>
        <w:numPr>
          <w:ilvl w:val="0"/>
          <w:numId w:val="9"/>
        </w:numPr>
        <w:ind w:left="567" w:firstLine="560"/>
        <w:rPr>
          <w:color w:val="FF0000"/>
        </w:rPr>
      </w:pPr>
      <w:r>
        <w:rPr>
          <w:rFonts w:hint="eastAsia"/>
          <w:color w:val="FF0000"/>
        </w:rPr>
        <w:t>较繁杂的图表或计算结果</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6900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7FD9FE5C">
            <w:pPr>
              <w:pStyle w:val="46"/>
              <w:jc w:val="left"/>
            </w:pPr>
            <w:r>
              <w:rPr>
                <w:rFonts w:hint="eastAsia"/>
              </w:rPr>
              <w:t>附录1</w:t>
            </w:r>
          </w:p>
        </w:tc>
      </w:tr>
      <w:tr w14:paraId="4043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420B22CE">
            <w:pPr>
              <w:pStyle w:val="46"/>
              <w:jc w:val="left"/>
              <w:rPr>
                <w:lang w:val="zh-CN"/>
              </w:rPr>
            </w:pPr>
            <w:r>
              <w:rPr>
                <w:rFonts w:hint="eastAsia"/>
              </w:rPr>
              <w:t>介绍：支撑材料的文件列表</w:t>
            </w:r>
          </w:p>
        </w:tc>
      </w:tr>
      <w:tr w14:paraId="5630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6A04D370">
            <w:pPr>
              <w:pStyle w:val="46"/>
            </w:pPr>
          </w:p>
        </w:tc>
      </w:tr>
    </w:tbl>
    <w:p w14:paraId="1841D208">
      <w:pPr>
        <w:pStyle w:val="29"/>
        <w:ind w:firstLine="480"/>
      </w:pPr>
    </w:p>
    <w:p w14:paraId="30234A15">
      <w:pPr>
        <w:pStyle w:val="29"/>
        <w:ind w:firstLine="480"/>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5FA3C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54DDE4EA">
            <w:pPr>
              <w:pStyle w:val="46"/>
              <w:jc w:val="left"/>
            </w:pPr>
            <w:r>
              <w:rPr>
                <w:rFonts w:hint="eastAsia"/>
              </w:rPr>
              <w:t>附录2</w:t>
            </w:r>
          </w:p>
        </w:tc>
      </w:tr>
      <w:tr w14:paraId="6446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28AF3311">
            <w:pPr>
              <w:pStyle w:val="46"/>
              <w:jc w:val="left"/>
              <w:rPr>
                <w:lang w:val="zh-CN"/>
              </w:rPr>
            </w:pPr>
            <w:r>
              <w:rPr>
                <w:rFonts w:hint="eastAsia"/>
              </w:rPr>
              <w:t>介绍：该代码是某某语言编写的，作用是什么</w:t>
            </w:r>
            <w:r>
              <w:rPr>
                <w:lang w:val="zh-CN"/>
              </w:rPr>
              <w:t xml:space="preserve"> </w:t>
            </w:r>
          </w:p>
        </w:tc>
      </w:tr>
      <w:tr w14:paraId="4FFB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0B175CA5">
            <w:pPr>
              <w:pStyle w:val="46"/>
            </w:pPr>
          </w:p>
          <w:p w14:paraId="1A49D6CC">
            <w:pPr>
              <w:pStyle w:val="46"/>
            </w:pPr>
          </w:p>
          <w:p w14:paraId="1DC21412">
            <w:pPr>
              <w:pStyle w:val="46"/>
            </w:pPr>
          </w:p>
          <w:p w14:paraId="3988C6B7">
            <w:pPr>
              <w:pStyle w:val="46"/>
            </w:pPr>
          </w:p>
          <w:p w14:paraId="4F3C1B98">
            <w:pPr>
              <w:pStyle w:val="46"/>
            </w:pPr>
          </w:p>
        </w:tc>
      </w:tr>
    </w:tbl>
    <w:p w14:paraId="7B23AB56">
      <w:pPr>
        <w:pStyle w:val="29"/>
        <w:ind w:firstLine="480"/>
      </w:pPr>
    </w:p>
    <w:p w14:paraId="2270EE4A">
      <w:pPr>
        <w:pStyle w:val="29"/>
        <w:ind w:firstLine="480"/>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7C741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61726406">
            <w:pPr>
              <w:pStyle w:val="46"/>
            </w:pPr>
            <w:r>
              <w:rPr>
                <w:rFonts w:hint="eastAsia"/>
              </w:rPr>
              <w:t>附录3</w:t>
            </w:r>
          </w:p>
        </w:tc>
      </w:tr>
      <w:tr w14:paraId="7D69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shd w:val="clear" w:color="auto" w:fill="BEBEBE" w:themeFill="background1" w:themeFillShade="BF"/>
          </w:tcPr>
          <w:p w14:paraId="0D9DE511">
            <w:pPr>
              <w:pStyle w:val="46"/>
              <w:rPr>
                <w:lang w:val="zh-CN"/>
              </w:rPr>
            </w:pPr>
            <w:r>
              <w:rPr>
                <w:rFonts w:hint="eastAsia"/>
              </w:rPr>
              <w:t>介绍：该代码是某某语言编写的，作用是什么</w:t>
            </w:r>
          </w:p>
        </w:tc>
      </w:tr>
      <w:tr w14:paraId="45D7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Pr>
          <w:p w14:paraId="53133152">
            <w:pPr>
              <w:pStyle w:val="46"/>
            </w:pPr>
          </w:p>
          <w:p w14:paraId="2257EB89">
            <w:pPr>
              <w:pStyle w:val="46"/>
            </w:pPr>
          </w:p>
          <w:p w14:paraId="21F3AAF5">
            <w:pPr>
              <w:pStyle w:val="46"/>
            </w:pPr>
          </w:p>
          <w:p w14:paraId="1BF237B9">
            <w:pPr>
              <w:pStyle w:val="46"/>
            </w:pPr>
          </w:p>
          <w:p w14:paraId="365068F5">
            <w:pPr>
              <w:pStyle w:val="46"/>
            </w:pPr>
          </w:p>
        </w:tc>
      </w:tr>
    </w:tbl>
    <w:p w14:paraId="70C0306A">
      <w:pPr>
        <w:pStyle w:val="29"/>
        <w:ind w:firstLine="480"/>
      </w:pPr>
    </w:p>
    <w:p w14:paraId="25CD532F">
      <w:pPr>
        <w:pStyle w:val="29"/>
        <w:ind w:firstLine="480"/>
      </w:pPr>
    </w:p>
    <w:sectPr>
      <w:footerReference r:id="rId8" w:type="first"/>
      <w:headerReference r:id="rId5" w:type="default"/>
      <w:footerReference r:id="rId6" w:type="default"/>
      <w:footerReference r:id="rId7" w:type="even"/>
      <w:pgSz w:w="11907" w:h="16840"/>
      <w:pgMar w:top="1418" w:right="1418" w:bottom="1418" w:left="1418" w:header="1134" w:footer="1134" w:gutter="0"/>
      <w:pgNumType w:start="1"/>
      <w:cols w:space="720"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60">
      <wne:acd wne:acdName="acd6"/>
    </wne:keymap>
    <wne:keymap wne:kcmPrimary="0262">
      <wne:acd wne:acdName="acd7"/>
    </wne:keymap>
    <wne:keymap wne:kcmPrimary="0263">
      <wne:acd wne:acdName="acd8"/>
    </wne:keymap>
    <wne:keymap wne:kcmPrimary="0264">
      <wne:acd wne:acdName="acd9"/>
    </wne:keymap>
    <wne:keymap wne:kcmPrimary="0265">
      <wne:acd wne:acdName="acd10"/>
    </wne:keymap>
    <wne:keymap wne:kcmPrimary="0342">
      <wne:acd wne:acdName="acd11"/>
    </wne:keymap>
    <wne:keymap wne:kcmPrimary="0354">
      <wne:acd wne:acdName="acd12"/>
    </wne:keymap>
  </wne:keymaps>
  <wne:acds>
    <wne:acd wne:argValue="AgBja4dlXwBTAHQAeQBsAGUA" wne:acdName="acd0" wne:fciIndexBasedOn="0065"/>
    <wne:acd wne:argValue="AgAHaJiYMQBfAFMAdAB5AGwAZQA=" wne:acdName="acd1" wne:fciIndexBasedOn="0065"/>
    <wne:acd wne:argValue="AgAHaJiYMgBfAFMAdAB5AGwAZQA=" wne:acdName="acd2" wne:fciIndexBasedOn="0065"/>
    <wne:acd wne:argValue="AgAHaJiYMwBfAFMAdAB5AGwAZQA=" wne:acdName="acd3" wne:fciIndexBasedOn="0065"/>
    <wne:acd wne:argValue="AgAHaJiYNABfAFMAdAB5AGwAZQA=" wne:acdName="acd4" wne:fciIndexBasedOn="0065"/>
    <wne:acd wne:argValue="AgAHaJiYNQBfAFMAdAB5AGwAZQA=" wne:acdName="acd5" wne:fciIndexBasedOn="0065"/>
    <wne:acd wne:argValue="AgBja4dlXwBTAHQAeQBsAGUA" wne:acdName="acd6" wne:fciIndexBasedOn="0065"/>
    <wne:acd wne:argValue="AgAHaJiYMgBfAFMAdAB5AGwAZQA=" wne:acdName="acd7" wne:fciIndexBasedOn="0065"/>
    <wne:acd wne:argValue="AgAHaJiYMwBfAFMAdAB5AGwAZQA=" wne:acdName="acd8" wne:fciIndexBasedOn="0065"/>
    <wne:acd wne:argValue="AgAHaJiYNABfAFMAdAB5AGwAZQA=" wne:acdName="acd9" wne:fciIndexBasedOn="0065"/>
    <wne:acd wne:argValue="AgAHaJiYNQBfAFMAdAB5AGwAZQA=" wne:acdName="acd10" wne:fciIndexBasedOn="0065"/>
    <wne:acd wne:argValue="AgBoiJiYXwBTAHQAeQBsAGUA" wne:acdName="acd11" wne:fciIndexBasedOn="0065"/>
    <wne:acd wne:argValue="AgD+VpiYXwBTAHQAeQBsAGUA" wne:acdName="acd1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40CA9">
    <w:pPr>
      <w:pStyle w:val="11"/>
      <w:ind w:firstLine="360"/>
      <w:jc w:val="center"/>
    </w:pPr>
    <w:r>
      <w:fldChar w:fldCharType="begin"/>
    </w:r>
    <w:r>
      <w:instrText xml:space="preserve"> PAGE   \* MERGEFORMAT </w:instrText>
    </w:r>
    <w:r>
      <w:fldChar w:fldCharType="separate"/>
    </w:r>
    <w:r>
      <w:rPr>
        <w:lang w:val="zh-CN"/>
      </w:rP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9AF32">
    <w:pPr>
      <w:pStyle w:val="11"/>
      <w:framePr w:wrap="around" w:vAnchor="text" w:hAnchor="margin" w:xAlign="center" w:y="1"/>
      <w:ind w:firstLine="360"/>
      <w:rPr>
        <w:rStyle w:val="24"/>
      </w:rPr>
    </w:pPr>
    <w:r>
      <w:fldChar w:fldCharType="begin"/>
    </w:r>
    <w:r>
      <w:rPr>
        <w:rStyle w:val="24"/>
      </w:rPr>
      <w:instrText xml:space="preserve">PAGE  </w:instrText>
    </w:r>
    <w:r>
      <w:fldChar w:fldCharType="end"/>
    </w:r>
  </w:p>
  <w:p w14:paraId="6052F9D6">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AD7C6">
    <w:pPr>
      <w:pStyle w:val="11"/>
      <w:ind w:firstLine="360"/>
      <w:jc w:val="center"/>
    </w:pPr>
    <w:r>
      <w:rPr>
        <w:rStyle w:val="24"/>
        <w:rFonts w:hint="eastAsia"/>
      </w:rPr>
      <w:t>第</w:t>
    </w:r>
    <w:r>
      <w:fldChar w:fldCharType="begin"/>
    </w:r>
    <w:r>
      <w:rPr>
        <w:rStyle w:val="24"/>
      </w:rPr>
      <w:instrText xml:space="preserve"> PAGE </w:instrText>
    </w:r>
    <w:r>
      <w:fldChar w:fldCharType="separate"/>
    </w:r>
    <w:r>
      <w:rPr>
        <w:rStyle w:val="24"/>
      </w:rPr>
      <w:t>2</w:t>
    </w:r>
    <w:r>
      <w:fldChar w:fldCharType="end"/>
    </w:r>
    <w:r>
      <w:rPr>
        <w:rStyle w:val="24"/>
        <w:rFonts w:hint="eastAsia"/>
      </w:rPr>
      <w:t>页，共</w:t>
    </w:r>
    <w:r>
      <w:fldChar w:fldCharType="begin"/>
    </w:r>
    <w:r>
      <w:rPr>
        <w:rStyle w:val="24"/>
      </w:rPr>
      <w:instrText xml:space="preserve"> NUMPAGES </w:instrText>
    </w:r>
    <w:r>
      <w:fldChar w:fldCharType="separate"/>
    </w:r>
    <w:r>
      <w:rPr>
        <w:rStyle w:val="24"/>
      </w:rPr>
      <w:t>4</w:t>
    </w:r>
    <w:r>
      <w:fldChar w:fldCharType="end"/>
    </w:r>
    <w:r>
      <w:rPr>
        <w:rStyle w:val="24"/>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83C02">
    <w:pPr>
      <w:pStyle w:val="12"/>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839B1"/>
    <w:multiLevelType w:val="multilevel"/>
    <w:tmpl w:val="100839B1"/>
    <w:lvl w:ilvl="0" w:tentative="0">
      <w:start w:val="1"/>
      <w:numFmt w:val="decimal"/>
      <w:suff w:val="space"/>
      <w:lvlText w:val="%1"/>
      <w:lvlJc w:val="left"/>
      <w:pPr>
        <w:ind w:left="0" w:firstLine="0"/>
      </w:pPr>
      <w:rPr>
        <w:rFonts w:hint="eastAsia"/>
        <w:lang w:eastAsia="zh-CN"/>
      </w:rPr>
    </w:lvl>
    <w:lvl w:ilvl="1" w:tentative="0">
      <w:start w:val="1"/>
      <w:numFmt w:val="decimal"/>
      <w:pStyle w:val="34"/>
      <w:suff w:val="space"/>
      <w:lvlText w:val="%1.%2"/>
      <w:lvlJc w:val="left"/>
      <w:pPr>
        <w:ind w:left="488" w:hanging="488"/>
      </w:pPr>
      <w:rPr>
        <w:rFonts w:hint="eastAsia"/>
      </w:rPr>
    </w:lvl>
    <w:lvl w:ilvl="2" w:tentative="0">
      <w:start w:val="1"/>
      <w:numFmt w:val="decimal"/>
      <w:pStyle w:val="36"/>
      <w:suff w:val="space"/>
      <w:lvlText w:val="%1.%2.%3"/>
      <w:lvlJc w:val="left"/>
      <w:pPr>
        <w:ind w:left="680" w:hanging="680"/>
      </w:pPr>
      <w:rPr>
        <w:rFonts w:hint="eastAsia"/>
      </w:rPr>
    </w:lvl>
    <w:lvl w:ilvl="3" w:tentative="0">
      <w:start w:val="1"/>
      <w:numFmt w:val="decimal"/>
      <w:pStyle w:val="38"/>
      <w:suff w:val="space"/>
      <w:lvlText w:val="%1.%2.%3.%4"/>
      <w:lvlJc w:val="left"/>
      <w:pPr>
        <w:ind w:left="845" w:hanging="845"/>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nothing"/>
      <w:lvlText w:val="%1.%2.%3.%4.%5.%6"/>
      <w:lvlJc w:val="left"/>
      <w:pPr>
        <w:ind w:left="0" w:firstLine="0"/>
      </w:pPr>
      <w:rPr>
        <w:rFonts w:hint="eastAsia"/>
      </w:rPr>
    </w:lvl>
    <w:lvl w:ilvl="6" w:tentative="0">
      <w:start w:val="1"/>
      <w:numFmt w:val="decimal"/>
      <w:lvlRestart w:val="1"/>
      <w:lvlText w:val="(%1.%7)"/>
      <w:lvlJc w:val="left"/>
      <w:pPr>
        <w:ind w:left="0" w:firstLine="2551"/>
      </w:pPr>
      <w:rPr>
        <w:rFonts w:hint="eastAsia"/>
        <w:position w:val="0"/>
        <w:vertAlign w:val="baseline"/>
      </w:rPr>
    </w:lvl>
    <w:lvl w:ilvl="7" w:tentative="0">
      <w:start w:val="1"/>
      <w:numFmt w:val="decimal"/>
      <w:lvlRestart w:val="1"/>
      <w:pStyle w:val="42"/>
      <w:suff w:val="space"/>
      <w:lvlText w:val="图%1.%8"/>
      <w:lvlJc w:val="left"/>
      <w:pPr>
        <w:ind w:left="0" w:firstLine="0"/>
      </w:pPr>
      <w:rPr>
        <w:rFonts w:hint="eastAsia"/>
      </w:rPr>
    </w:lvl>
    <w:lvl w:ilvl="8" w:tentative="0">
      <w:start w:val="1"/>
      <w:numFmt w:val="decimal"/>
      <w:lvlRestart w:val="1"/>
      <w:pStyle w:val="44"/>
      <w:suff w:val="space"/>
      <w:lvlText w:val="表%1.%9"/>
      <w:lvlJc w:val="left"/>
      <w:pPr>
        <w:ind w:left="0" w:firstLine="0"/>
      </w:pPr>
      <w:rPr>
        <w:rFonts w:hint="eastAsia"/>
      </w:rPr>
    </w:lvl>
  </w:abstractNum>
  <w:abstractNum w:abstractNumId="1">
    <w:nsid w:val="2EB3575F"/>
    <w:multiLevelType w:val="singleLevel"/>
    <w:tmpl w:val="2EB3575F"/>
    <w:lvl w:ilvl="0" w:tentative="0">
      <w:start w:val="1"/>
      <w:numFmt w:val="decimal"/>
      <w:pStyle w:val="50"/>
      <w:lvlText w:val="[%1]"/>
      <w:lvlJc w:val="left"/>
      <w:pPr>
        <w:ind w:left="567" w:hanging="567"/>
      </w:pPr>
    </w:lvl>
  </w:abstractNum>
  <w:abstractNum w:abstractNumId="2">
    <w:nsid w:val="47C4DB3B"/>
    <w:multiLevelType w:val="singleLevel"/>
    <w:tmpl w:val="47C4DB3B"/>
    <w:lvl w:ilvl="0" w:tentative="0">
      <w:start w:val="1"/>
      <w:numFmt w:val="decimal"/>
      <w:suff w:val="nothing"/>
      <w:lvlText w:val="%1."/>
      <w:lvlJc w:val="left"/>
      <w:pPr>
        <w:ind w:left="425" w:hanging="425"/>
      </w:pPr>
      <w:rPr>
        <w:rFonts w:hint="default"/>
      </w:rPr>
    </w:lvl>
  </w:abstractNum>
  <w:abstractNum w:abstractNumId="3">
    <w:nsid w:val="5B825727"/>
    <w:multiLevelType w:val="multilevel"/>
    <w:tmpl w:val="5B825727"/>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4">
    <w:nsid w:val="62577D0F"/>
    <w:multiLevelType w:val="singleLevel"/>
    <w:tmpl w:val="62577D0F"/>
    <w:lvl w:ilvl="0" w:tentative="0">
      <w:start w:val="1"/>
      <w:numFmt w:val="decimal"/>
      <w:lvlText w:val="%1."/>
      <w:lvlJc w:val="left"/>
      <w:pPr>
        <w:ind w:left="425" w:hanging="425"/>
      </w:pPr>
      <w:rPr>
        <w:rFonts w:hint="default"/>
      </w:rPr>
    </w:lvl>
  </w:abstractNum>
  <w:abstractNum w:abstractNumId="5">
    <w:nsid w:val="66006476"/>
    <w:multiLevelType w:val="multilevel"/>
    <w:tmpl w:val="66006476"/>
    <w:lvl w:ilvl="0" w:tentative="0">
      <w:start w:val="1"/>
      <w:numFmt w:val="upperLetter"/>
      <w:pStyle w:val="52"/>
      <w:suff w:val="space"/>
      <w:lvlText w:val="附录%1"/>
      <w:lvlJc w:val="left"/>
      <w:pPr>
        <w:ind w:left="0" w:firstLine="0"/>
      </w:pPr>
      <w:rPr>
        <w:rFonts w:hint="eastAsia"/>
      </w:rPr>
    </w:lvl>
    <w:lvl w:ilvl="1" w:tentative="0">
      <w:start w:val="1"/>
      <w:numFmt w:val="decimal"/>
      <w:pStyle w:val="54"/>
      <w:suff w:val="space"/>
      <w:lvlText w:val="%1.%2"/>
      <w:lvlJc w:val="left"/>
      <w:pPr>
        <w:ind w:left="561" w:hanging="561"/>
      </w:pPr>
      <w:rPr>
        <w:rFonts w:hint="eastAsia"/>
      </w:rPr>
    </w:lvl>
    <w:lvl w:ilvl="2" w:tentative="0">
      <w:start w:val="1"/>
      <w:numFmt w:val="decimal"/>
      <w:pStyle w:val="56"/>
      <w:suff w:val="space"/>
      <w:lvlText w:val="%1.%2.%3"/>
      <w:lvlJc w:val="left"/>
      <w:pPr>
        <w:ind w:left="697" w:hanging="697"/>
      </w:pPr>
      <w:rPr>
        <w:rFonts w:hint="eastAsia"/>
      </w:rPr>
    </w:lvl>
    <w:lvl w:ilvl="3" w:tentative="0">
      <w:start w:val="1"/>
      <w:numFmt w:val="decimal"/>
      <w:pStyle w:val="58"/>
      <w:suff w:val="space"/>
      <w:lvlText w:val="%1.%2.%3.%4"/>
      <w:lvlJc w:val="left"/>
      <w:pPr>
        <w:ind w:left="907" w:hanging="907"/>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Restart w:val="1"/>
      <w:pStyle w:val="75"/>
      <w:suff w:val="space"/>
      <w:lvlText w:val="图%1.%7"/>
      <w:lvlJc w:val="left"/>
      <w:pPr>
        <w:ind w:left="0" w:firstLine="0"/>
      </w:pPr>
      <w:rPr>
        <w:rFonts w:hint="eastAsia"/>
      </w:rPr>
    </w:lvl>
    <w:lvl w:ilvl="7" w:tentative="0">
      <w:start w:val="1"/>
      <w:numFmt w:val="decimal"/>
      <w:lvlRestart w:val="1"/>
      <w:pStyle w:val="60"/>
      <w:suff w:val="space"/>
      <w:lvlText w:val="表%1.%8"/>
      <w:lvlJc w:val="left"/>
      <w:pPr>
        <w:ind w:left="0" w:firstLine="0"/>
      </w:pPr>
      <w:rPr>
        <w:rFonts w:hint="eastAsia"/>
      </w:rPr>
    </w:lvl>
    <w:lvl w:ilvl="8" w:tentative="0">
      <w:start w:val="1"/>
      <w:numFmt w:val="decimal"/>
      <w:lvlText w:val="%1.%2.%3.%4.%5.%6.%7.%8.%9"/>
      <w:lvlJc w:val="left"/>
      <w:pPr>
        <w:ind w:left="5102" w:hanging="1700"/>
      </w:pPr>
      <w:rPr>
        <w:rFonts w:hint="eastAsia"/>
      </w:rPr>
    </w:lvl>
  </w:abstractNum>
  <w:abstractNum w:abstractNumId="6">
    <w:nsid w:val="7DCC5BA7"/>
    <w:multiLevelType w:val="multilevel"/>
    <w:tmpl w:val="7DCC5BA7"/>
    <w:lvl w:ilvl="0" w:tentative="0">
      <w:start w:val="1"/>
      <w:numFmt w:val="decimal"/>
      <w:pStyle w:val="2"/>
      <w:suff w:val="space"/>
      <w:lvlText w:val="%1"/>
      <w:lvlJc w:val="left"/>
      <w:pPr>
        <w:ind w:left="425" w:hanging="425"/>
      </w:pPr>
      <w:rPr>
        <w:rFonts w:hint="eastAsia"/>
      </w:rPr>
    </w:lvl>
    <w:lvl w:ilvl="1" w:tentative="0">
      <w:start w:val="1"/>
      <w:numFmt w:val="decimal"/>
      <w:pStyle w:val="3"/>
      <w:suff w:val="space"/>
      <w:lvlText w:val="%1.%2"/>
      <w:lvlJc w:val="left"/>
      <w:pPr>
        <w:ind w:left="992" w:hanging="992"/>
      </w:pPr>
      <w:rPr>
        <w:rFonts w:hint="eastAsia"/>
      </w:rPr>
    </w:lvl>
    <w:lvl w:ilvl="2" w:tentative="0">
      <w:start w:val="1"/>
      <w:numFmt w:val="decimal"/>
      <w:pStyle w:val="4"/>
      <w:suff w:val="space"/>
      <w:lvlText w:val="%1.%2.%3"/>
      <w:lvlJc w:val="left"/>
      <w:pPr>
        <w:ind w:left="1418" w:hanging="1418"/>
      </w:pPr>
      <w:rPr>
        <w:rFonts w:hint="eastAsia"/>
      </w:rPr>
    </w:lvl>
    <w:lvl w:ilvl="3" w:tentative="0">
      <w:start w:val="1"/>
      <w:numFmt w:val="decimal"/>
      <w:pStyle w:val="5"/>
      <w:suff w:val="space"/>
      <w:lvlText w:val="%1.%2.%3.%4"/>
      <w:lvlJc w:val="left"/>
      <w:pPr>
        <w:ind w:left="1984" w:hanging="1984"/>
      </w:pPr>
      <w:rPr>
        <w:rFonts w:hint="eastAsia"/>
      </w:rPr>
    </w:lvl>
    <w:lvl w:ilvl="4" w:tentative="0">
      <w:start w:val="1"/>
      <w:numFmt w:val="decimal"/>
      <w:suff w:val="space"/>
      <w:lvlText w:val="%1.%2.%3.%4.%5"/>
      <w:lvlJc w:val="left"/>
      <w:pPr>
        <w:ind w:left="2551" w:hanging="2551"/>
      </w:pPr>
      <w:rPr>
        <w:rFonts w:hint="eastAsia"/>
      </w:rPr>
    </w:lvl>
    <w:lvl w:ilvl="5" w:tentative="0">
      <w:start w:val="1"/>
      <w:numFmt w:val="decimal"/>
      <w:lvlText w:val="%1.%2.%3.%4.%5.%6"/>
      <w:lvlJc w:val="left"/>
      <w:pPr>
        <w:ind w:left="3260" w:hanging="1134"/>
      </w:pPr>
      <w:rPr>
        <w:rFonts w:hint="eastAsia"/>
      </w:rPr>
    </w:lvl>
    <w:lvl w:ilvl="6" w:tentative="0">
      <w:start w:val="1"/>
      <w:numFmt w:val="decimal"/>
      <w:lvlRestart w:val="1"/>
      <w:lvlText w:val="（%1.%7）"/>
      <w:lvlJc w:val="left"/>
      <w:pPr>
        <w:ind w:left="3827" w:hanging="1276"/>
      </w:pPr>
      <w:rPr>
        <w:rFonts w:hint="eastAsia"/>
      </w:rPr>
    </w:lvl>
    <w:lvl w:ilvl="7" w:tentative="0">
      <w:start w:val="1"/>
      <w:numFmt w:val="decimal"/>
      <w:lvlRestart w:val="1"/>
      <w:suff w:val="space"/>
      <w:lvlText w:val="图%1.%8"/>
      <w:lvlJc w:val="left"/>
      <w:pPr>
        <w:ind w:left="0" w:firstLine="0"/>
      </w:pPr>
      <w:rPr>
        <w:rFonts w:hint="eastAsia"/>
      </w:rPr>
    </w:lvl>
    <w:lvl w:ilvl="8" w:tentative="0">
      <w:start w:val="1"/>
      <w:numFmt w:val="decimal"/>
      <w:lvlRestart w:val="1"/>
      <w:suff w:val="space"/>
      <w:lvlText w:val="表%1.%9"/>
      <w:lvlJc w:val="left"/>
      <w:pPr>
        <w:ind w:left="0" w:firstLine="0"/>
      </w:pPr>
      <w:rPr>
        <w:rFonts w:hint="eastAsia"/>
      </w:rPr>
    </w:lvl>
  </w:abstractNum>
  <w:num w:numId="1">
    <w:abstractNumId w:val="6"/>
  </w:num>
  <w:num w:numId="2">
    <w:abstractNumId w:val="0"/>
    <w:lvlOverride w:ilvl="0">
      <w:lvl w:ilvl="0" w:tentative="1">
        <w:start w:val="1"/>
        <w:numFmt w:val="koreanDigital2"/>
        <w:pStyle w:val="32"/>
        <w:suff w:val="nothing"/>
        <w:lvlText w:val="%1、"/>
        <w:lvlJc w:val="left"/>
        <w:pPr>
          <w:ind w:left="0" w:firstLine="0"/>
        </w:pPr>
        <w:rPr>
          <w:rFonts w:hint="eastAsia"/>
        </w:rPr>
      </w:lvl>
    </w:lvlOverride>
    <w:lvlOverride w:ilvl="1">
      <w:lvl w:ilvl="1" w:tentative="1">
        <w:start w:val="1"/>
        <w:numFmt w:val="decimal"/>
        <w:isLgl/>
        <w:suff w:val="space"/>
        <w:lvlText w:val="%1.%2"/>
        <w:lvlJc w:val="left"/>
        <w:pPr>
          <w:ind w:left="488" w:hanging="488"/>
        </w:pPr>
        <w:rPr>
          <w:rFonts w:hint="eastAsia"/>
        </w:rPr>
      </w:lvl>
    </w:lvlOverride>
    <w:lvlOverride w:ilvl="2">
      <w:lvl w:ilvl="2" w:tentative="1">
        <w:start w:val="1"/>
        <w:numFmt w:val="decimal"/>
        <w:isLgl/>
        <w:suff w:val="space"/>
        <w:lvlText w:val="%1.%2.%3"/>
        <w:lvlJc w:val="left"/>
        <w:pPr>
          <w:ind w:left="680" w:hanging="680"/>
        </w:pPr>
        <w:rPr>
          <w:rFonts w:hint="eastAsia"/>
        </w:rPr>
      </w:lvl>
    </w:lvlOverride>
    <w:lvlOverride w:ilvl="3">
      <w:lvl w:ilvl="3" w:tentative="1">
        <w:start w:val="1"/>
        <w:numFmt w:val="decimal"/>
        <w:isLgl/>
        <w:suff w:val="space"/>
        <w:lvlText w:val="%1.%2.%3.%4"/>
        <w:lvlJc w:val="left"/>
        <w:pPr>
          <w:ind w:left="845" w:hanging="845"/>
        </w:pPr>
        <w:rPr>
          <w:rFonts w:hint="eastAsia"/>
        </w:rPr>
      </w:lvl>
    </w:lvlOverride>
    <w:lvlOverride w:ilvl="4">
      <w:lvl w:ilvl="4" w:tentative="1">
        <w:start w:val="1"/>
        <w:numFmt w:val="decimal"/>
        <w:isLgl/>
        <w:suff w:val="space"/>
        <w:lvlText w:val="%1.%2.%3.%4.%5"/>
        <w:lvlJc w:val="left"/>
        <w:pPr>
          <w:ind w:left="0" w:firstLine="0"/>
        </w:pPr>
        <w:rPr>
          <w:rFonts w:hint="eastAsia"/>
        </w:rPr>
      </w:lvl>
    </w:lvlOverride>
    <w:lvlOverride w:ilvl="5">
      <w:lvl w:ilvl="5" w:tentative="1">
        <w:start w:val="1"/>
        <w:numFmt w:val="decimal"/>
        <w:isLgl/>
        <w:suff w:val="nothing"/>
        <w:lvlText w:val="%1.%2.%3.%4.%5.%6"/>
        <w:lvlJc w:val="left"/>
        <w:pPr>
          <w:ind w:left="0" w:firstLine="0"/>
        </w:pPr>
        <w:rPr>
          <w:rFonts w:hint="eastAsia"/>
        </w:rPr>
      </w:lvl>
    </w:lvlOverride>
    <w:lvlOverride w:ilvl="6">
      <w:lvl w:ilvl="6" w:tentative="1">
        <w:start w:val="1"/>
        <w:numFmt w:val="decimal"/>
        <w:lvlRestart w:val="1"/>
        <w:isLgl/>
        <w:lvlText w:val="(%1.%7)"/>
        <w:lvlJc w:val="left"/>
        <w:pPr>
          <w:ind w:left="0" w:firstLine="2551"/>
        </w:pPr>
        <w:rPr>
          <w:rFonts w:hint="eastAsia"/>
          <w:position w:val="0"/>
          <w:vertAlign w:val="baseline"/>
        </w:rPr>
      </w:lvl>
    </w:lvlOverride>
    <w:lvlOverride w:ilvl="7">
      <w:lvl w:ilvl="7" w:tentative="1">
        <w:start w:val="1"/>
        <w:numFmt w:val="decimal"/>
        <w:lvlRestart w:val="1"/>
        <w:isLgl/>
        <w:suff w:val="space"/>
        <w:lvlText w:val="图%1.%8"/>
        <w:lvlJc w:val="left"/>
        <w:pPr>
          <w:ind w:left="0" w:firstLine="0"/>
        </w:pPr>
        <w:rPr>
          <w:rFonts w:hint="eastAsia"/>
        </w:rPr>
      </w:lvl>
    </w:lvlOverride>
    <w:lvlOverride w:ilvl="8">
      <w:lvl w:ilvl="8" w:tentative="1">
        <w:start w:val="1"/>
        <w:numFmt w:val="decimal"/>
        <w:lvlRestart w:val="1"/>
        <w:isLgl/>
        <w:suff w:val="space"/>
        <w:lvlText w:val="表%1.%9"/>
        <w:lvlJc w:val="left"/>
        <w:pPr>
          <w:ind w:left="0" w:firstLine="0"/>
        </w:pPr>
        <w:rPr>
          <w:rFonts w:hint="eastAsia"/>
        </w:rPr>
      </w:lvl>
    </w:lvlOverride>
  </w:num>
  <w:num w:numId="3">
    <w:abstractNumId w:val="0"/>
  </w:num>
  <w:num w:numId="4">
    <w:abstractNumId w:val="0"/>
    <w:lvlOverride w:ilvl="0">
      <w:lvl w:ilvl="0" w:tentative="1">
        <w:start w:val="1"/>
        <w:numFmt w:val="decimal"/>
        <w:suff w:val="space"/>
        <w:lvlText w:val="%1"/>
        <w:lvlJc w:val="left"/>
        <w:pPr>
          <w:ind w:left="0" w:firstLine="0"/>
        </w:pPr>
        <w:rPr>
          <w:rFonts w:hint="eastAsia"/>
        </w:rPr>
      </w:lvl>
    </w:lvlOverride>
    <w:lvlOverride w:ilvl="1">
      <w:lvl w:ilvl="1" w:tentative="1">
        <w:start w:val="1"/>
        <w:numFmt w:val="decimal"/>
        <w:suff w:val="space"/>
        <w:lvlText w:val="%1.%2"/>
        <w:lvlJc w:val="left"/>
        <w:pPr>
          <w:ind w:left="0" w:firstLine="0"/>
        </w:pPr>
        <w:rPr>
          <w:rFonts w:hint="eastAsia"/>
        </w:rPr>
      </w:lvl>
    </w:lvlOverride>
    <w:lvlOverride w:ilvl="2">
      <w:lvl w:ilvl="2" w:tentative="1">
        <w:start w:val="1"/>
        <w:numFmt w:val="decimal"/>
        <w:suff w:val="space"/>
        <w:lvlText w:val="%1.%2.%3"/>
        <w:lvlJc w:val="left"/>
        <w:pPr>
          <w:ind w:left="0" w:firstLine="0"/>
        </w:pPr>
        <w:rPr>
          <w:rFonts w:hint="eastAsia"/>
        </w:rPr>
      </w:lvl>
    </w:lvlOverride>
    <w:lvlOverride w:ilvl="3">
      <w:lvl w:ilvl="3" w:tentative="1">
        <w:start w:val="1"/>
        <w:numFmt w:val="decimal"/>
        <w:suff w:val="space"/>
        <w:lvlText w:val="%1.%2.%3.%4"/>
        <w:lvlJc w:val="left"/>
        <w:pPr>
          <w:ind w:left="845" w:hanging="845"/>
        </w:pPr>
        <w:rPr>
          <w:rFonts w:hint="eastAsia"/>
        </w:rPr>
      </w:lvl>
    </w:lvlOverride>
    <w:lvlOverride w:ilvl="4">
      <w:lvl w:ilvl="4" w:tentative="1">
        <w:start w:val="1"/>
        <w:numFmt w:val="decimal"/>
        <w:pStyle w:val="40"/>
        <w:suff w:val="space"/>
        <w:lvlText w:val="%1.%2.%3.%4.%5"/>
        <w:lvlJc w:val="left"/>
        <w:pPr>
          <w:ind w:left="0" w:firstLine="0"/>
        </w:pPr>
        <w:rPr>
          <w:rFonts w:hint="eastAsia"/>
        </w:rPr>
      </w:lvl>
    </w:lvlOverride>
    <w:lvlOverride w:ilvl="5">
      <w:lvl w:ilvl="5" w:tentative="1">
        <w:start w:val="1"/>
        <w:numFmt w:val="decimal"/>
        <w:pStyle w:val="83"/>
        <w:lvlText w:val="%1.%2.%3.%4.%5.%6"/>
        <w:lvlJc w:val="left"/>
        <w:pPr>
          <w:ind w:left="0" w:firstLine="2126"/>
        </w:pPr>
        <w:rPr>
          <w:rFonts w:hint="eastAsia"/>
        </w:rPr>
      </w:lvl>
    </w:lvlOverride>
    <w:lvlOverride w:ilvl="6">
      <w:lvl w:ilvl="6" w:tentative="1">
        <w:start w:val="1"/>
        <w:numFmt w:val="decimal"/>
        <w:lvlRestart w:val="1"/>
        <w:lvlText w:val="（%1.%7）"/>
        <w:lvlJc w:val="left"/>
        <w:pPr>
          <w:ind w:left="0" w:firstLine="2551"/>
        </w:pPr>
        <w:rPr>
          <w:rFonts w:hint="eastAsia"/>
        </w:rPr>
      </w:lvl>
    </w:lvlOverride>
    <w:lvlOverride w:ilvl="7">
      <w:lvl w:ilvl="7" w:tentative="1">
        <w:start w:val="1"/>
        <w:numFmt w:val="decimal"/>
        <w:lvlRestart w:val="1"/>
        <w:suff w:val="space"/>
        <w:lvlText w:val="图%1.%8"/>
        <w:lvlJc w:val="left"/>
        <w:pPr>
          <w:ind w:left="0" w:firstLine="0"/>
        </w:pPr>
        <w:rPr>
          <w:rFonts w:hint="eastAsia"/>
        </w:rPr>
      </w:lvl>
    </w:lvlOverride>
    <w:lvlOverride w:ilvl="8">
      <w:lvl w:ilvl="8" w:tentative="1">
        <w:start w:val="1"/>
        <w:numFmt w:val="decimal"/>
        <w:lvlRestart w:val="1"/>
        <w:suff w:val="space"/>
        <w:lvlText w:val="表%1.%9"/>
        <w:lvlJc w:val="left"/>
        <w:pPr>
          <w:ind w:left="0" w:firstLine="0"/>
        </w:pPr>
        <w:rPr>
          <w:rFonts w:hint="eastAsia"/>
        </w:rPr>
      </w:lvl>
    </w:lvlOverride>
  </w:num>
  <w:num w:numId="5">
    <w:abstractNumId w:val="1"/>
  </w:num>
  <w:num w:numId="6">
    <w:abstractNumId w:val="5"/>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xM2JjZDRkOWMxMWM2YTE2OGNkZDY2ODI5NTQwZjYifQ=="/>
  </w:docVars>
  <w:rsids>
    <w:rsidRoot w:val="766E3E41"/>
    <w:rsid w:val="00027CFD"/>
    <w:rsid w:val="0004707A"/>
    <w:rsid w:val="00052813"/>
    <w:rsid w:val="000548B9"/>
    <w:rsid w:val="000A1210"/>
    <w:rsid w:val="000C12B3"/>
    <w:rsid w:val="000C257B"/>
    <w:rsid w:val="000C5E47"/>
    <w:rsid w:val="000D2B40"/>
    <w:rsid w:val="000E3DE2"/>
    <w:rsid w:val="0010726F"/>
    <w:rsid w:val="001234A4"/>
    <w:rsid w:val="0012427A"/>
    <w:rsid w:val="00152954"/>
    <w:rsid w:val="0017229B"/>
    <w:rsid w:val="001C0587"/>
    <w:rsid w:val="001C1354"/>
    <w:rsid w:val="001C1C7F"/>
    <w:rsid w:val="001C7E13"/>
    <w:rsid w:val="001F3719"/>
    <w:rsid w:val="00242BA8"/>
    <w:rsid w:val="00252FD8"/>
    <w:rsid w:val="00255E02"/>
    <w:rsid w:val="00257EFE"/>
    <w:rsid w:val="00262802"/>
    <w:rsid w:val="0027058E"/>
    <w:rsid w:val="00272919"/>
    <w:rsid w:val="00275D0C"/>
    <w:rsid w:val="002A24B4"/>
    <w:rsid w:val="002A67BF"/>
    <w:rsid w:val="002B5571"/>
    <w:rsid w:val="002E31EE"/>
    <w:rsid w:val="002F25EC"/>
    <w:rsid w:val="002F40C4"/>
    <w:rsid w:val="00306B49"/>
    <w:rsid w:val="00324ABA"/>
    <w:rsid w:val="003315AB"/>
    <w:rsid w:val="00334BCF"/>
    <w:rsid w:val="00337D72"/>
    <w:rsid w:val="00377EBA"/>
    <w:rsid w:val="003B356B"/>
    <w:rsid w:val="003B358D"/>
    <w:rsid w:val="0041453A"/>
    <w:rsid w:val="00416FBB"/>
    <w:rsid w:val="00425BD8"/>
    <w:rsid w:val="00433F71"/>
    <w:rsid w:val="00440297"/>
    <w:rsid w:val="004629C8"/>
    <w:rsid w:val="00465FDA"/>
    <w:rsid w:val="004661B0"/>
    <w:rsid w:val="00470AA4"/>
    <w:rsid w:val="00472DE4"/>
    <w:rsid w:val="0047653C"/>
    <w:rsid w:val="004859FF"/>
    <w:rsid w:val="004901C7"/>
    <w:rsid w:val="004A4407"/>
    <w:rsid w:val="004A6663"/>
    <w:rsid w:val="004F00D0"/>
    <w:rsid w:val="004F0BDF"/>
    <w:rsid w:val="004F2EE7"/>
    <w:rsid w:val="00543BFA"/>
    <w:rsid w:val="005441D4"/>
    <w:rsid w:val="00560D38"/>
    <w:rsid w:val="00585AF1"/>
    <w:rsid w:val="005A5070"/>
    <w:rsid w:val="005E0FB8"/>
    <w:rsid w:val="006139F2"/>
    <w:rsid w:val="006155CC"/>
    <w:rsid w:val="0065585B"/>
    <w:rsid w:val="00661061"/>
    <w:rsid w:val="0069112D"/>
    <w:rsid w:val="00691448"/>
    <w:rsid w:val="00697F99"/>
    <w:rsid w:val="006C243E"/>
    <w:rsid w:val="00701939"/>
    <w:rsid w:val="00701955"/>
    <w:rsid w:val="007423C7"/>
    <w:rsid w:val="00775CED"/>
    <w:rsid w:val="00800A3B"/>
    <w:rsid w:val="00810FAF"/>
    <w:rsid w:val="00825CDA"/>
    <w:rsid w:val="00860A14"/>
    <w:rsid w:val="00860B50"/>
    <w:rsid w:val="008622C8"/>
    <w:rsid w:val="008765CB"/>
    <w:rsid w:val="00886311"/>
    <w:rsid w:val="00897925"/>
    <w:rsid w:val="008A0C4D"/>
    <w:rsid w:val="008A780C"/>
    <w:rsid w:val="008D54F6"/>
    <w:rsid w:val="008E5CC0"/>
    <w:rsid w:val="008F33BF"/>
    <w:rsid w:val="00940598"/>
    <w:rsid w:val="00970350"/>
    <w:rsid w:val="00970EDD"/>
    <w:rsid w:val="009769B5"/>
    <w:rsid w:val="00976B99"/>
    <w:rsid w:val="009771F5"/>
    <w:rsid w:val="00980028"/>
    <w:rsid w:val="009A4885"/>
    <w:rsid w:val="009B23E0"/>
    <w:rsid w:val="009B3A2A"/>
    <w:rsid w:val="009C21EE"/>
    <w:rsid w:val="009D1945"/>
    <w:rsid w:val="009E6DCA"/>
    <w:rsid w:val="009F16E1"/>
    <w:rsid w:val="009F27CD"/>
    <w:rsid w:val="009F7B98"/>
    <w:rsid w:val="009F7FF9"/>
    <w:rsid w:val="00A05CEC"/>
    <w:rsid w:val="00A14C0F"/>
    <w:rsid w:val="00A27EB5"/>
    <w:rsid w:val="00A41B67"/>
    <w:rsid w:val="00A504A0"/>
    <w:rsid w:val="00A53AB2"/>
    <w:rsid w:val="00A76179"/>
    <w:rsid w:val="00AA2A5C"/>
    <w:rsid w:val="00AB084B"/>
    <w:rsid w:val="00AC5A33"/>
    <w:rsid w:val="00AC5A74"/>
    <w:rsid w:val="00AE3AFC"/>
    <w:rsid w:val="00B313D9"/>
    <w:rsid w:val="00B331A4"/>
    <w:rsid w:val="00B36181"/>
    <w:rsid w:val="00B474E6"/>
    <w:rsid w:val="00B828EF"/>
    <w:rsid w:val="00B97F1F"/>
    <w:rsid w:val="00BA17C9"/>
    <w:rsid w:val="00BF7513"/>
    <w:rsid w:val="00C06F18"/>
    <w:rsid w:val="00C43154"/>
    <w:rsid w:val="00C4390C"/>
    <w:rsid w:val="00C4602E"/>
    <w:rsid w:val="00C57026"/>
    <w:rsid w:val="00C660D8"/>
    <w:rsid w:val="00CC4081"/>
    <w:rsid w:val="00D065F6"/>
    <w:rsid w:val="00D12426"/>
    <w:rsid w:val="00D152E9"/>
    <w:rsid w:val="00D4183D"/>
    <w:rsid w:val="00D72E04"/>
    <w:rsid w:val="00D97315"/>
    <w:rsid w:val="00DA2A89"/>
    <w:rsid w:val="00DA58A2"/>
    <w:rsid w:val="00DA6F8A"/>
    <w:rsid w:val="00DB0E08"/>
    <w:rsid w:val="00DB4424"/>
    <w:rsid w:val="00DC26D1"/>
    <w:rsid w:val="00DD29AF"/>
    <w:rsid w:val="00DD5C53"/>
    <w:rsid w:val="00DE45B1"/>
    <w:rsid w:val="00DE4D5C"/>
    <w:rsid w:val="00DE4DEB"/>
    <w:rsid w:val="00DF5DD6"/>
    <w:rsid w:val="00E00953"/>
    <w:rsid w:val="00E02AB4"/>
    <w:rsid w:val="00E26F98"/>
    <w:rsid w:val="00E35A70"/>
    <w:rsid w:val="00E51A8A"/>
    <w:rsid w:val="00E633F0"/>
    <w:rsid w:val="00E804D6"/>
    <w:rsid w:val="00E85B3A"/>
    <w:rsid w:val="00E92559"/>
    <w:rsid w:val="00EA32A6"/>
    <w:rsid w:val="00EA6F4E"/>
    <w:rsid w:val="00EC01CC"/>
    <w:rsid w:val="00EE3F14"/>
    <w:rsid w:val="00F11C35"/>
    <w:rsid w:val="00F92223"/>
    <w:rsid w:val="00F9728D"/>
    <w:rsid w:val="00FB32ED"/>
    <w:rsid w:val="00FD20CD"/>
    <w:rsid w:val="00FD35CE"/>
    <w:rsid w:val="00FE0828"/>
    <w:rsid w:val="00FF6C57"/>
    <w:rsid w:val="080023E3"/>
    <w:rsid w:val="09175488"/>
    <w:rsid w:val="0E26006F"/>
    <w:rsid w:val="0FBA55CD"/>
    <w:rsid w:val="10594BBE"/>
    <w:rsid w:val="24403625"/>
    <w:rsid w:val="251D491E"/>
    <w:rsid w:val="34012F1B"/>
    <w:rsid w:val="42ED2FE9"/>
    <w:rsid w:val="4A0155CC"/>
    <w:rsid w:val="512027DB"/>
    <w:rsid w:val="61F311BD"/>
    <w:rsid w:val="6CDE55CC"/>
    <w:rsid w:val="6D6011D7"/>
    <w:rsid w:val="6F6A1399"/>
    <w:rsid w:val="727A7B45"/>
    <w:rsid w:val="758569E1"/>
    <w:rsid w:val="766E3E41"/>
    <w:rsid w:val="7AD2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3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8"/>
      <w:szCs w:val="28"/>
      <w:lang w:val="en-US" w:eastAsia="zh-CN" w:bidi="ar-SA"/>
    </w:rPr>
  </w:style>
  <w:style w:type="paragraph" w:styleId="2">
    <w:name w:val="heading 1"/>
    <w:next w:val="1"/>
    <w:link w:val="68"/>
    <w:qFormat/>
    <w:uiPriority w:val="9"/>
    <w:pPr>
      <w:pageBreakBefore/>
      <w:widowControl w:val="0"/>
      <w:numPr>
        <w:ilvl w:val="0"/>
        <w:numId w:val="1"/>
      </w:numPr>
      <w:spacing w:before="120" w:after="120" w:line="360" w:lineRule="auto"/>
      <w:ind w:left="0" w:firstLine="0"/>
      <w:jc w:val="center"/>
      <w:outlineLvl w:val="0"/>
    </w:pPr>
    <w:rPr>
      <w:rFonts w:ascii="黑体" w:hAnsi="黑体" w:eastAsia="黑体" w:cs="Times New Roman"/>
      <w:kern w:val="2"/>
      <w:sz w:val="44"/>
      <w:szCs w:val="44"/>
      <w:lang w:val="en-US" w:eastAsia="zh-CN" w:bidi="ar-SA"/>
    </w:rPr>
  </w:style>
  <w:style w:type="paragraph" w:styleId="3">
    <w:name w:val="heading 2"/>
    <w:next w:val="1"/>
    <w:link w:val="69"/>
    <w:unhideWhenUsed/>
    <w:qFormat/>
    <w:uiPriority w:val="9"/>
    <w:pPr>
      <w:widowControl w:val="0"/>
      <w:numPr>
        <w:ilvl w:val="1"/>
        <w:numId w:val="1"/>
      </w:numPr>
      <w:spacing w:before="120" w:after="120" w:line="360" w:lineRule="auto"/>
      <w:ind w:left="0" w:firstLine="0"/>
      <w:outlineLvl w:val="1"/>
    </w:pPr>
    <w:rPr>
      <w:rFonts w:ascii="Times New Roman" w:hAnsi="Times New Roman" w:eastAsia="宋体" w:cs="Times New Roman"/>
      <w:kern w:val="2"/>
      <w:sz w:val="32"/>
      <w:szCs w:val="30"/>
      <w:lang w:val="en-US" w:eastAsia="zh-CN" w:bidi="ar-SA"/>
    </w:rPr>
  </w:style>
  <w:style w:type="paragraph" w:styleId="4">
    <w:name w:val="heading 3"/>
    <w:next w:val="1"/>
    <w:link w:val="70"/>
    <w:unhideWhenUsed/>
    <w:qFormat/>
    <w:uiPriority w:val="9"/>
    <w:pPr>
      <w:widowControl w:val="0"/>
      <w:numPr>
        <w:ilvl w:val="2"/>
        <w:numId w:val="1"/>
      </w:numPr>
      <w:spacing w:before="60" w:after="60" w:line="360" w:lineRule="auto"/>
      <w:ind w:left="0" w:firstLine="0"/>
      <w:outlineLvl w:val="2"/>
    </w:pPr>
    <w:rPr>
      <w:rFonts w:ascii="Times New Roman" w:hAnsi="Times New Roman" w:eastAsia="宋体" w:cs="Times New Roman"/>
      <w:kern w:val="2"/>
      <w:sz w:val="28"/>
      <w:szCs w:val="24"/>
      <w:lang w:val="en-US" w:eastAsia="zh-CN" w:bidi="ar-SA"/>
    </w:rPr>
  </w:style>
  <w:style w:type="paragraph" w:styleId="5">
    <w:name w:val="heading 4"/>
    <w:next w:val="1"/>
    <w:link w:val="65"/>
    <w:unhideWhenUsed/>
    <w:qFormat/>
    <w:uiPriority w:val="9"/>
    <w:pPr>
      <w:widowControl w:val="0"/>
      <w:numPr>
        <w:ilvl w:val="3"/>
        <w:numId w:val="1"/>
      </w:numPr>
      <w:spacing w:before="60" w:line="360" w:lineRule="auto"/>
      <w:ind w:left="0" w:firstLine="0"/>
      <w:outlineLvl w:val="3"/>
    </w:pPr>
    <w:rPr>
      <w:rFonts w:ascii="Times New Roman" w:hAnsi="Times New Roman" w:eastAsia="宋体" w:cs="Times New Roman"/>
      <w:kern w:val="2"/>
      <w:sz w:val="28"/>
      <w:szCs w:val="24"/>
      <w:lang w:val="en-US" w:eastAsia="zh-CN" w:bidi="ar-SA"/>
    </w:rPr>
  </w:style>
  <w:style w:type="paragraph" w:styleId="6">
    <w:name w:val="heading 5"/>
    <w:basedOn w:val="1"/>
    <w:next w:val="1"/>
    <w:link w:val="66"/>
    <w:unhideWhenUsed/>
    <w:qFormat/>
    <w:uiPriority w:val="9"/>
    <w:pPr>
      <w:keepNext/>
      <w:keepLines/>
      <w:spacing w:before="280" w:after="290" w:line="376" w:lineRule="auto"/>
      <w:ind w:firstLine="562"/>
      <w:outlineLvl w:val="4"/>
    </w:pPr>
    <w:rPr>
      <w:b/>
      <w:bCs/>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Body Text Indent"/>
    <w:basedOn w:val="1"/>
    <w:qFormat/>
    <w:uiPriority w:val="0"/>
    <w:pPr>
      <w:ind w:left="359" w:leftChars="171" w:firstLine="890" w:firstLineChars="371"/>
    </w:pPr>
    <w:rPr>
      <w:rFonts w:ascii="宋体" w:hAnsi="宋体"/>
      <w:i/>
      <w:iCs/>
      <w:sz w:val="24"/>
    </w:rPr>
  </w:style>
  <w:style w:type="paragraph" w:styleId="8">
    <w:name w:val="toc 3"/>
    <w:basedOn w:val="9"/>
    <w:next w:val="1"/>
    <w:unhideWhenUsed/>
    <w:qFormat/>
    <w:uiPriority w:val="39"/>
    <w:pPr>
      <w:ind w:left="400" w:leftChars="400" w:firstLine="0" w:firstLineChars="0"/>
    </w:pPr>
    <w:rPr>
      <w:szCs w:val="24"/>
    </w:rPr>
  </w:style>
  <w:style w:type="paragraph" w:styleId="9">
    <w:name w:val="List Paragraph"/>
    <w:basedOn w:val="1"/>
    <w:link w:val="73"/>
    <w:qFormat/>
    <w:uiPriority w:val="34"/>
    <w:pPr>
      <w:ind w:firstLine="420"/>
    </w:pPr>
  </w:style>
  <w:style w:type="paragraph" w:styleId="10">
    <w:name w:val="Plain Text"/>
    <w:basedOn w:val="1"/>
    <w:qFormat/>
    <w:uiPriority w:val="0"/>
    <w:pPr>
      <w:adjustRightInd w:val="0"/>
      <w:spacing w:line="312" w:lineRule="atLeast"/>
      <w:textAlignment w:val="baseline"/>
    </w:pPr>
    <w:rPr>
      <w:rFonts w:ascii="宋体" w:hAnsi="Courier New"/>
      <w:kern w:val="0"/>
      <w:szCs w:val="20"/>
    </w:rPr>
  </w:style>
  <w:style w:type="paragraph" w:styleId="11">
    <w:name w:val="footer"/>
    <w:basedOn w:val="1"/>
    <w:link w:val="72"/>
    <w:unhideWhenUsed/>
    <w:qFormat/>
    <w:uiPriority w:val="99"/>
    <w:pPr>
      <w:tabs>
        <w:tab w:val="center" w:pos="4153"/>
        <w:tab w:val="right" w:pos="8306"/>
      </w:tabs>
      <w:snapToGrid w:val="0"/>
      <w:spacing w:line="240" w:lineRule="auto"/>
      <w:jc w:val="left"/>
    </w:pPr>
    <w:rPr>
      <w:sz w:val="18"/>
      <w:szCs w:val="18"/>
    </w:rPr>
  </w:style>
  <w:style w:type="paragraph" w:styleId="12">
    <w:name w:val="header"/>
    <w:basedOn w:val="9"/>
    <w:link w:val="71"/>
    <w:unhideWhenUsed/>
    <w:qFormat/>
    <w:uiPriority w:val="99"/>
    <w:pPr>
      <w:pBdr>
        <w:bottom w:val="single" w:color="auto" w:sz="6" w:space="1"/>
      </w:pBdr>
      <w:snapToGrid w:val="0"/>
      <w:spacing w:line="240" w:lineRule="auto"/>
      <w:ind w:firstLine="0" w:firstLineChars="0"/>
      <w:jc w:val="center"/>
    </w:pPr>
    <w:rPr>
      <w:sz w:val="18"/>
      <w:szCs w:val="18"/>
    </w:rPr>
  </w:style>
  <w:style w:type="paragraph" w:styleId="13">
    <w:name w:val="toc 1"/>
    <w:basedOn w:val="9"/>
    <w:next w:val="1"/>
    <w:unhideWhenUsed/>
    <w:qFormat/>
    <w:uiPriority w:val="39"/>
    <w:pPr>
      <w:ind w:firstLine="0" w:firstLineChars="0"/>
    </w:pPr>
    <w:rPr>
      <w:szCs w:val="24"/>
    </w:rPr>
  </w:style>
  <w:style w:type="paragraph" w:styleId="14">
    <w:name w:val="toc 4"/>
    <w:basedOn w:val="9"/>
    <w:next w:val="1"/>
    <w:autoRedefine/>
    <w:unhideWhenUsed/>
    <w:uiPriority w:val="39"/>
    <w:pPr>
      <w:ind w:left="600" w:leftChars="600" w:firstLine="0" w:firstLineChars="0"/>
    </w:pPr>
  </w:style>
  <w:style w:type="paragraph" w:styleId="15">
    <w:name w:val="Subtitle"/>
    <w:basedOn w:val="1"/>
    <w:next w:val="1"/>
    <w:link w:val="67"/>
    <w:qFormat/>
    <w:uiPriority w:val="11"/>
    <w:pPr>
      <w:jc w:val="center"/>
    </w:pPr>
    <w:rPr>
      <w:szCs w:val="24"/>
    </w:rPr>
  </w:style>
  <w:style w:type="paragraph" w:styleId="16">
    <w:name w:val="table of figures"/>
    <w:basedOn w:val="1"/>
    <w:next w:val="1"/>
    <w:unhideWhenUsed/>
    <w:qFormat/>
    <w:uiPriority w:val="99"/>
    <w:pPr>
      <w:ind w:left="200" w:leftChars="200" w:hanging="200" w:hangingChars="200"/>
    </w:pPr>
  </w:style>
  <w:style w:type="paragraph" w:styleId="17">
    <w:name w:val="toc 2"/>
    <w:basedOn w:val="9"/>
    <w:next w:val="1"/>
    <w:unhideWhenUsed/>
    <w:qFormat/>
    <w:uiPriority w:val="39"/>
    <w:pPr>
      <w:ind w:left="200" w:leftChars="200" w:firstLine="0" w:firstLineChars="0"/>
    </w:pPr>
    <w:rPr>
      <w:szCs w:val="24"/>
    </w:rPr>
  </w:style>
  <w:style w:type="paragraph" w:styleId="1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uiPriority w:val="0"/>
    <w:pPr>
      <w:spacing w:before="0" w:beforeAutospacing="1" w:after="0" w:afterAutospacing="1"/>
      <w:ind w:left="0" w:right="0"/>
      <w:jc w:val="left"/>
    </w:pPr>
    <w:rPr>
      <w:kern w:val="0"/>
      <w:sz w:val="24"/>
      <w:lang w:val="en-US" w:eastAsia="zh-CN" w:bidi="ar"/>
    </w:rPr>
  </w:style>
  <w:style w:type="paragraph" w:styleId="20">
    <w:name w:val="Title"/>
    <w:basedOn w:val="1"/>
    <w:next w:val="1"/>
    <w:link w:val="31"/>
    <w:qFormat/>
    <w:uiPriority w:val="10"/>
    <w:pPr>
      <w:jc w:val="center"/>
    </w:pPr>
    <w:rPr>
      <w:rFonts w:ascii="黑体" w:hAnsi="黑体" w:eastAsia="黑体"/>
      <w:b/>
      <w:sz w:val="32"/>
      <w:szCs w:val="48"/>
    </w:rPr>
  </w:style>
  <w:style w:type="table" w:styleId="22">
    <w:name w:val="Table Grid"/>
    <w:basedOn w:val="2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uiPriority w:val="0"/>
  </w:style>
  <w:style w:type="character" w:styleId="25">
    <w:name w:val="Hyperlink"/>
    <w:unhideWhenUsed/>
    <w:qFormat/>
    <w:uiPriority w:val="99"/>
    <w:rPr>
      <w:color w:val="0563C1"/>
      <w:u w:val="single"/>
    </w:rPr>
  </w:style>
  <w:style w:type="character" w:styleId="26">
    <w:name w:val="HTML Code"/>
    <w:basedOn w:val="23"/>
    <w:uiPriority w:val="0"/>
    <w:rPr>
      <w:rFonts w:ascii="Courier New" w:hAnsi="Courier New"/>
      <w:sz w:val="20"/>
    </w:rPr>
  </w:style>
  <w:style w:type="table" w:customStyle="1" w:styleId="27">
    <w:name w:val="三线表"/>
    <w:basedOn w:val="21"/>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28">
    <w:name w:val="图表标题"/>
    <w:basedOn w:val="1"/>
    <w:next w:val="1"/>
    <w:uiPriority w:val="0"/>
    <w:pPr>
      <w:jc w:val="center"/>
    </w:pPr>
    <w:rPr>
      <w:b/>
      <w:szCs w:val="21"/>
    </w:rPr>
  </w:style>
  <w:style w:type="paragraph" w:customStyle="1" w:styleId="29">
    <w:name w:val="正文_Style"/>
    <w:link w:val="30"/>
    <w:qFormat/>
    <w:uiPriority w:val="0"/>
    <w:pPr>
      <w:widowControl w:val="0"/>
      <w:spacing w:line="312" w:lineRule="auto"/>
      <w:ind w:firstLine="200" w:firstLineChars="200"/>
      <w:jc w:val="both"/>
    </w:pPr>
    <w:rPr>
      <w:rFonts w:ascii="Times New Roman" w:hAnsi="Times New Roman" w:eastAsia="宋体" w:cs="Times New Roman"/>
      <w:kern w:val="2"/>
      <w:sz w:val="24"/>
      <w:szCs w:val="48"/>
      <w:lang w:val="en-US" w:eastAsia="zh-CN" w:bidi="ar-SA"/>
    </w:rPr>
  </w:style>
  <w:style w:type="character" w:customStyle="1" w:styleId="30">
    <w:name w:val="正文_Style 字符"/>
    <w:basedOn w:val="31"/>
    <w:link w:val="29"/>
    <w:qFormat/>
    <w:uiPriority w:val="0"/>
    <w:rPr>
      <w:rFonts w:ascii="Times New Roman" w:hAnsi="Times New Roman" w:eastAsia="宋体" w:cs="Times New Roman"/>
      <w:b w:val="0"/>
      <w:kern w:val="2"/>
      <w:sz w:val="24"/>
      <w:szCs w:val="48"/>
    </w:rPr>
  </w:style>
  <w:style w:type="character" w:customStyle="1" w:styleId="31">
    <w:name w:val="标题 字符"/>
    <w:basedOn w:val="23"/>
    <w:link w:val="20"/>
    <w:qFormat/>
    <w:uiPriority w:val="10"/>
    <w:rPr>
      <w:rFonts w:ascii="黑体" w:hAnsi="黑体" w:eastAsia="黑体" w:cs="Times New Roman"/>
      <w:b/>
      <w:kern w:val="2"/>
      <w:sz w:val="32"/>
      <w:szCs w:val="48"/>
    </w:rPr>
  </w:style>
  <w:style w:type="paragraph" w:customStyle="1" w:styleId="32">
    <w:name w:val="标题1_Style"/>
    <w:next w:val="29"/>
    <w:link w:val="33"/>
    <w:qFormat/>
    <w:uiPriority w:val="0"/>
    <w:pPr>
      <w:widowControl w:val="0"/>
      <w:numPr>
        <w:ilvl w:val="0"/>
        <w:numId w:val="2"/>
      </w:numPr>
      <w:spacing w:before="120" w:after="120" w:line="360" w:lineRule="auto"/>
      <w:jc w:val="center"/>
      <w:outlineLvl w:val="0"/>
    </w:pPr>
    <w:rPr>
      <w:rFonts w:ascii="Times New Roman" w:hAnsi="Times New Roman" w:eastAsia="黑体" w:cs="Times New Roman"/>
      <w:kern w:val="2"/>
      <w:sz w:val="32"/>
      <w:szCs w:val="48"/>
      <w:lang w:val="en-US" w:eastAsia="zh-CN" w:bidi="ar-SA"/>
    </w:rPr>
  </w:style>
  <w:style w:type="character" w:customStyle="1" w:styleId="33">
    <w:name w:val="标题1_Style 字符"/>
    <w:basedOn w:val="31"/>
    <w:link w:val="32"/>
    <w:uiPriority w:val="0"/>
    <w:rPr>
      <w:rFonts w:ascii="Times New Roman" w:hAnsi="Times New Roman" w:eastAsia="黑体" w:cs="Times New Roman"/>
      <w:b w:val="0"/>
      <w:kern w:val="2"/>
      <w:sz w:val="32"/>
      <w:szCs w:val="48"/>
    </w:rPr>
  </w:style>
  <w:style w:type="paragraph" w:customStyle="1" w:styleId="34">
    <w:name w:val="标题2_Style"/>
    <w:next w:val="29"/>
    <w:link w:val="35"/>
    <w:qFormat/>
    <w:uiPriority w:val="0"/>
    <w:pPr>
      <w:widowControl w:val="0"/>
      <w:numPr>
        <w:ilvl w:val="1"/>
        <w:numId w:val="3"/>
      </w:numPr>
      <w:spacing w:before="120" w:after="120" w:line="360" w:lineRule="auto"/>
      <w:outlineLvl w:val="1"/>
    </w:pPr>
    <w:rPr>
      <w:rFonts w:ascii="Times New Roman" w:hAnsi="Times New Roman" w:eastAsia="宋体" w:cs="Times New Roman"/>
      <w:b/>
      <w:kern w:val="2"/>
      <w:sz w:val="28"/>
      <w:szCs w:val="48"/>
      <w:lang w:val="en-US" w:eastAsia="zh-CN" w:bidi="ar-SA"/>
    </w:rPr>
  </w:style>
  <w:style w:type="character" w:customStyle="1" w:styleId="35">
    <w:name w:val="标题2_Style 字符"/>
    <w:basedOn w:val="31"/>
    <w:link w:val="34"/>
    <w:uiPriority w:val="0"/>
    <w:rPr>
      <w:rFonts w:ascii="Times New Roman" w:hAnsi="Times New Roman" w:eastAsia="宋体" w:cs="Times New Roman"/>
      <w:kern w:val="2"/>
      <w:sz w:val="28"/>
      <w:szCs w:val="48"/>
    </w:rPr>
  </w:style>
  <w:style w:type="paragraph" w:customStyle="1" w:styleId="36">
    <w:name w:val="标题3_Style"/>
    <w:next w:val="29"/>
    <w:link w:val="37"/>
    <w:qFormat/>
    <w:uiPriority w:val="0"/>
    <w:pPr>
      <w:widowControl w:val="0"/>
      <w:numPr>
        <w:ilvl w:val="2"/>
        <w:numId w:val="3"/>
      </w:numPr>
      <w:spacing w:before="60" w:after="60" w:line="360" w:lineRule="auto"/>
      <w:outlineLvl w:val="2"/>
    </w:pPr>
    <w:rPr>
      <w:rFonts w:ascii="Times New Roman" w:hAnsi="Times New Roman" w:eastAsia="宋体" w:cs="Times New Roman"/>
      <w:b/>
      <w:kern w:val="2"/>
      <w:sz w:val="24"/>
      <w:szCs w:val="48"/>
      <w:lang w:val="en-US" w:eastAsia="zh-CN" w:bidi="ar-SA"/>
    </w:rPr>
  </w:style>
  <w:style w:type="character" w:customStyle="1" w:styleId="37">
    <w:name w:val="标题3_Style 字符"/>
    <w:basedOn w:val="31"/>
    <w:link w:val="36"/>
    <w:qFormat/>
    <w:uiPriority w:val="0"/>
    <w:rPr>
      <w:rFonts w:ascii="Times New Roman" w:hAnsi="Times New Roman" w:eastAsia="宋体" w:cs="Times New Roman"/>
      <w:kern w:val="2"/>
      <w:sz w:val="24"/>
      <w:szCs w:val="48"/>
    </w:rPr>
  </w:style>
  <w:style w:type="paragraph" w:customStyle="1" w:styleId="38">
    <w:name w:val="标题4_Style"/>
    <w:next w:val="29"/>
    <w:link w:val="39"/>
    <w:qFormat/>
    <w:uiPriority w:val="0"/>
    <w:pPr>
      <w:widowControl w:val="0"/>
      <w:numPr>
        <w:ilvl w:val="3"/>
        <w:numId w:val="3"/>
      </w:numPr>
      <w:spacing w:before="60" w:line="360" w:lineRule="auto"/>
      <w:outlineLvl w:val="3"/>
    </w:pPr>
    <w:rPr>
      <w:rFonts w:ascii="Times New Roman" w:hAnsi="Times New Roman" w:eastAsia="宋体" w:cs="Times New Roman"/>
      <w:kern w:val="2"/>
      <w:sz w:val="24"/>
      <w:szCs w:val="48"/>
      <w:lang w:val="en-US" w:eastAsia="zh-CN" w:bidi="ar-SA"/>
    </w:rPr>
  </w:style>
  <w:style w:type="character" w:customStyle="1" w:styleId="39">
    <w:name w:val="标题4_Style 字符"/>
    <w:basedOn w:val="31"/>
    <w:link w:val="38"/>
    <w:uiPriority w:val="0"/>
    <w:rPr>
      <w:rFonts w:ascii="Times New Roman" w:hAnsi="Times New Roman" w:eastAsia="宋体" w:cs="Times New Roman"/>
      <w:b w:val="0"/>
      <w:kern w:val="2"/>
      <w:sz w:val="24"/>
      <w:szCs w:val="48"/>
    </w:rPr>
  </w:style>
  <w:style w:type="paragraph" w:customStyle="1" w:styleId="40">
    <w:name w:val="标题5_Style"/>
    <w:next w:val="29"/>
    <w:link w:val="41"/>
    <w:uiPriority w:val="0"/>
    <w:pPr>
      <w:numPr>
        <w:ilvl w:val="4"/>
        <w:numId w:val="4"/>
      </w:numPr>
      <w:outlineLvl w:val="4"/>
    </w:pPr>
    <w:rPr>
      <w:rFonts w:ascii="Times New Roman" w:hAnsi="Times New Roman" w:eastAsia="宋体" w:cs="Times New Roman"/>
      <w:kern w:val="2"/>
      <w:sz w:val="28"/>
      <w:szCs w:val="48"/>
      <w:lang w:val="en-US" w:eastAsia="zh-CN" w:bidi="ar-SA"/>
    </w:rPr>
  </w:style>
  <w:style w:type="character" w:customStyle="1" w:styleId="41">
    <w:name w:val="标题5_Style 字符"/>
    <w:basedOn w:val="30"/>
    <w:link w:val="40"/>
    <w:uiPriority w:val="0"/>
    <w:rPr>
      <w:rFonts w:ascii="Times New Roman" w:hAnsi="Times New Roman" w:eastAsia="宋体" w:cs="Times New Roman"/>
      <w:kern w:val="2"/>
      <w:sz w:val="28"/>
      <w:szCs w:val="48"/>
    </w:rPr>
  </w:style>
  <w:style w:type="paragraph" w:customStyle="1" w:styleId="42">
    <w:name w:val="图题_Style"/>
    <w:next w:val="29"/>
    <w:link w:val="43"/>
    <w:qFormat/>
    <w:uiPriority w:val="0"/>
    <w:pPr>
      <w:widowControl w:val="0"/>
      <w:numPr>
        <w:ilvl w:val="7"/>
        <w:numId w:val="3"/>
      </w:numPr>
      <w:spacing w:after="50" w:afterLines="50" w:line="360" w:lineRule="auto"/>
      <w:jc w:val="center"/>
    </w:pPr>
    <w:rPr>
      <w:rFonts w:ascii="Times New Roman" w:hAnsi="Times New Roman" w:eastAsia="宋体" w:cs="Times New Roman"/>
      <w:b/>
      <w:kern w:val="2"/>
      <w:sz w:val="21"/>
      <w:szCs w:val="48"/>
      <w:lang w:val="en-US" w:eastAsia="zh-CN" w:bidi="ar-SA"/>
    </w:rPr>
  </w:style>
  <w:style w:type="character" w:customStyle="1" w:styleId="43">
    <w:name w:val="图题_Style 字符"/>
    <w:basedOn w:val="31"/>
    <w:link w:val="42"/>
    <w:uiPriority w:val="0"/>
    <w:rPr>
      <w:rFonts w:ascii="Times New Roman" w:hAnsi="Times New Roman" w:eastAsia="宋体" w:cs="Times New Roman"/>
      <w:kern w:val="2"/>
      <w:sz w:val="21"/>
      <w:szCs w:val="48"/>
    </w:rPr>
  </w:style>
  <w:style w:type="paragraph" w:customStyle="1" w:styleId="44">
    <w:name w:val="表题_Style"/>
    <w:next w:val="29"/>
    <w:link w:val="45"/>
    <w:uiPriority w:val="0"/>
    <w:pPr>
      <w:widowControl w:val="0"/>
      <w:numPr>
        <w:ilvl w:val="8"/>
        <w:numId w:val="3"/>
      </w:numPr>
      <w:spacing w:before="50" w:beforeLines="50" w:line="360" w:lineRule="auto"/>
      <w:jc w:val="center"/>
    </w:pPr>
    <w:rPr>
      <w:rFonts w:ascii="Times New Roman" w:hAnsi="Times New Roman" w:eastAsia="宋体" w:cs="Times New Roman"/>
      <w:b/>
      <w:kern w:val="2"/>
      <w:sz w:val="21"/>
      <w:szCs w:val="48"/>
      <w:lang w:val="en-US" w:eastAsia="zh-CN" w:bidi="ar-SA"/>
    </w:rPr>
  </w:style>
  <w:style w:type="character" w:customStyle="1" w:styleId="45">
    <w:name w:val="表题_Style 字符"/>
    <w:basedOn w:val="31"/>
    <w:link w:val="44"/>
    <w:uiPriority w:val="0"/>
    <w:rPr>
      <w:rFonts w:ascii="Times New Roman" w:hAnsi="Times New Roman" w:eastAsia="宋体" w:cs="Times New Roman"/>
      <w:kern w:val="2"/>
      <w:sz w:val="21"/>
      <w:szCs w:val="48"/>
    </w:rPr>
  </w:style>
  <w:style w:type="paragraph" w:customStyle="1" w:styleId="46">
    <w:name w:val="表文字_Style"/>
    <w:next w:val="29"/>
    <w:link w:val="47"/>
    <w:uiPriority w:val="0"/>
    <w:pPr>
      <w:widowControl w:val="0"/>
      <w:jc w:val="center"/>
    </w:pPr>
    <w:rPr>
      <w:rFonts w:ascii="Times New Roman" w:hAnsi="Times New Roman" w:eastAsia="宋体" w:cs="Times New Roman"/>
      <w:kern w:val="2"/>
      <w:sz w:val="24"/>
      <w:szCs w:val="48"/>
      <w:lang w:val="en-US" w:eastAsia="zh-CN" w:bidi="ar-SA"/>
    </w:rPr>
  </w:style>
  <w:style w:type="character" w:customStyle="1" w:styleId="47">
    <w:name w:val="表文字_Style 字符"/>
    <w:basedOn w:val="31"/>
    <w:link w:val="46"/>
    <w:uiPriority w:val="0"/>
    <w:rPr>
      <w:rFonts w:ascii="Times New Roman" w:hAnsi="Times New Roman" w:eastAsia="宋体" w:cs="Times New Roman"/>
      <w:b w:val="0"/>
      <w:kern w:val="2"/>
      <w:sz w:val="24"/>
      <w:szCs w:val="48"/>
    </w:rPr>
  </w:style>
  <w:style w:type="paragraph" w:customStyle="1" w:styleId="48">
    <w:name w:val="公式_Style"/>
    <w:next w:val="29"/>
    <w:link w:val="49"/>
    <w:uiPriority w:val="0"/>
    <w:pPr>
      <w:widowControl w:val="0"/>
      <w:tabs>
        <w:tab w:val="center" w:pos="4535"/>
        <w:tab w:val="right" w:pos="9071"/>
      </w:tabs>
      <w:textAlignment w:val="center"/>
    </w:pPr>
    <w:rPr>
      <w:rFonts w:ascii="Times New Roman" w:hAnsi="Times New Roman" w:eastAsia="仿宋" w:cs="Times New Roman"/>
      <w:kern w:val="2"/>
      <w:sz w:val="28"/>
      <w:szCs w:val="48"/>
      <w:lang w:val="en-US" w:eastAsia="zh-CN" w:bidi="ar-SA"/>
    </w:rPr>
  </w:style>
  <w:style w:type="character" w:customStyle="1" w:styleId="49">
    <w:name w:val="公式_Style 字符"/>
    <w:basedOn w:val="31"/>
    <w:link w:val="48"/>
    <w:uiPriority w:val="0"/>
    <w:rPr>
      <w:rFonts w:ascii="Times New Roman" w:hAnsi="Times New Roman" w:eastAsia="仿宋" w:cs="Times New Roman"/>
      <w:b w:val="0"/>
      <w:kern w:val="2"/>
      <w:sz w:val="28"/>
      <w:szCs w:val="48"/>
    </w:rPr>
  </w:style>
  <w:style w:type="paragraph" w:customStyle="1" w:styleId="50">
    <w:name w:val="参考文献_Style"/>
    <w:next w:val="29"/>
    <w:link w:val="51"/>
    <w:uiPriority w:val="0"/>
    <w:pPr>
      <w:widowControl w:val="0"/>
      <w:numPr>
        <w:ilvl w:val="0"/>
        <w:numId w:val="5"/>
      </w:numPr>
      <w:tabs>
        <w:tab w:val="left" w:pos="567"/>
      </w:tabs>
      <w:spacing w:line="360" w:lineRule="auto"/>
    </w:pPr>
    <w:rPr>
      <w:rFonts w:ascii="Times New Roman" w:hAnsi="Times New Roman" w:eastAsia="仿宋" w:cs="Times New Roman"/>
      <w:kern w:val="2"/>
      <w:sz w:val="28"/>
      <w:szCs w:val="48"/>
      <w:lang w:val="en-US" w:eastAsia="zh-CN" w:bidi="ar-SA"/>
    </w:rPr>
  </w:style>
  <w:style w:type="character" w:customStyle="1" w:styleId="51">
    <w:name w:val="参考文献_Style 字符"/>
    <w:basedOn w:val="31"/>
    <w:link w:val="50"/>
    <w:uiPriority w:val="0"/>
    <w:rPr>
      <w:rFonts w:ascii="Times New Roman" w:hAnsi="Times New Roman" w:eastAsia="仿宋" w:cs="Times New Roman"/>
      <w:b w:val="0"/>
      <w:kern w:val="2"/>
      <w:sz w:val="28"/>
      <w:szCs w:val="48"/>
    </w:rPr>
  </w:style>
  <w:style w:type="paragraph" w:customStyle="1" w:styleId="52">
    <w:name w:val="附录1_Style"/>
    <w:next w:val="29"/>
    <w:link w:val="53"/>
    <w:uiPriority w:val="0"/>
    <w:pPr>
      <w:pageBreakBefore/>
      <w:widowControl w:val="0"/>
      <w:numPr>
        <w:ilvl w:val="0"/>
        <w:numId w:val="6"/>
      </w:numPr>
      <w:spacing w:before="120" w:after="120" w:line="360" w:lineRule="auto"/>
      <w:jc w:val="center"/>
      <w:outlineLvl w:val="0"/>
    </w:pPr>
    <w:rPr>
      <w:rFonts w:ascii="Times New Roman" w:hAnsi="Times New Roman" w:eastAsia="黑体" w:cs="Times New Roman"/>
      <w:kern w:val="2"/>
      <w:sz w:val="44"/>
      <w:szCs w:val="48"/>
      <w:lang w:val="en-US" w:eastAsia="zh-CN" w:bidi="ar-SA"/>
    </w:rPr>
  </w:style>
  <w:style w:type="character" w:customStyle="1" w:styleId="53">
    <w:name w:val="附录1_Style 字符"/>
    <w:basedOn w:val="31"/>
    <w:link w:val="52"/>
    <w:uiPriority w:val="0"/>
    <w:rPr>
      <w:rFonts w:ascii="Times New Roman" w:hAnsi="Times New Roman" w:eastAsia="黑体" w:cs="Times New Roman"/>
      <w:b w:val="0"/>
      <w:kern w:val="2"/>
      <w:sz w:val="44"/>
      <w:szCs w:val="48"/>
    </w:rPr>
  </w:style>
  <w:style w:type="paragraph" w:customStyle="1" w:styleId="54">
    <w:name w:val="附录2_Style"/>
    <w:next w:val="29"/>
    <w:link w:val="55"/>
    <w:uiPriority w:val="0"/>
    <w:pPr>
      <w:widowControl w:val="0"/>
      <w:numPr>
        <w:ilvl w:val="1"/>
        <w:numId w:val="6"/>
      </w:numPr>
      <w:spacing w:before="120" w:after="120" w:line="360" w:lineRule="auto"/>
      <w:outlineLvl w:val="1"/>
    </w:pPr>
    <w:rPr>
      <w:rFonts w:ascii="Times New Roman" w:hAnsi="Times New Roman" w:eastAsia="宋体" w:cs="Times New Roman"/>
      <w:kern w:val="2"/>
      <w:sz w:val="32"/>
      <w:szCs w:val="48"/>
      <w:lang w:val="en-US" w:eastAsia="zh-CN" w:bidi="ar-SA"/>
    </w:rPr>
  </w:style>
  <w:style w:type="character" w:customStyle="1" w:styleId="55">
    <w:name w:val="附录2_Style 字符"/>
    <w:basedOn w:val="31"/>
    <w:link w:val="54"/>
    <w:uiPriority w:val="0"/>
    <w:rPr>
      <w:rFonts w:ascii="Times New Roman" w:hAnsi="Times New Roman" w:eastAsia="宋体" w:cs="Times New Roman"/>
      <w:b w:val="0"/>
      <w:kern w:val="2"/>
      <w:sz w:val="32"/>
      <w:szCs w:val="48"/>
    </w:rPr>
  </w:style>
  <w:style w:type="paragraph" w:customStyle="1" w:styleId="56">
    <w:name w:val="附录3_Style"/>
    <w:next w:val="29"/>
    <w:link w:val="57"/>
    <w:uiPriority w:val="0"/>
    <w:pPr>
      <w:widowControl w:val="0"/>
      <w:numPr>
        <w:ilvl w:val="2"/>
        <w:numId w:val="6"/>
      </w:numPr>
      <w:spacing w:before="60" w:after="60" w:line="360" w:lineRule="auto"/>
      <w:outlineLvl w:val="2"/>
    </w:pPr>
    <w:rPr>
      <w:rFonts w:ascii="Times New Roman" w:hAnsi="Times New Roman" w:eastAsia="宋体" w:cs="Times New Roman"/>
      <w:kern w:val="2"/>
      <w:sz w:val="30"/>
      <w:szCs w:val="48"/>
      <w:lang w:val="en-US" w:eastAsia="zh-CN" w:bidi="ar-SA"/>
    </w:rPr>
  </w:style>
  <w:style w:type="character" w:customStyle="1" w:styleId="57">
    <w:name w:val="附录3_Style 字符"/>
    <w:basedOn w:val="31"/>
    <w:link w:val="56"/>
    <w:uiPriority w:val="0"/>
    <w:rPr>
      <w:rFonts w:ascii="Times New Roman" w:hAnsi="Times New Roman" w:eastAsia="宋体" w:cs="Times New Roman"/>
      <w:b w:val="0"/>
      <w:kern w:val="2"/>
      <w:sz w:val="30"/>
      <w:szCs w:val="48"/>
    </w:rPr>
  </w:style>
  <w:style w:type="paragraph" w:customStyle="1" w:styleId="58">
    <w:name w:val="附录4_Style"/>
    <w:next w:val="29"/>
    <w:link w:val="59"/>
    <w:uiPriority w:val="0"/>
    <w:pPr>
      <w:widowControl w:val="0"/>
      <w:numPr>
        <w:ilvl w:val="3"/>
        <w:numId w:val="6"/>
      </w:numPr>
      <w:spacing w:before="60" w:line="360" w:lineRule="auto"/>
      <w:outlineLvl w:val="3"/>
    </w:pPr>
    <w:rPr>
      <w:rFonts w:ascii="Times New Roman" w:hAnsi="Times New Roman" w:eastAsia="仿宋" w:cs="Times New Roman"/>
      <w:kern w:val="2"/>
      <w:sz w:val="28"/>
      <w:szCs w:val="48"/>
      <w:lang w:val="en-US" w:eastAsia="zh-CN" w:bidi="ar-SA"/>
    </w:rPr>
  </w:style>
  <w:style w:type="character" w:customStyle="1" w:styleId="59">
    <w:name w:val="附录4_Style 字符"/>
    <w:basedOn w:val="31"/>
    <w:link w:val="58"/>
    <w:uiPriority w:val="0"/>
    <w:rPr>
      <w:rFonts w:ascii="Times New Roman" w:hAnsi="Times New Roman" w:eastAsia="仿宋" w:cs="Times New Roman"/>
      <w:b w:val="0"/>
      <w:kern w:val="2"/>
      <w:sz w:val="28"/>
      <w:szCs w:val="48"/>
    </w:rPr>
  </w:style>
  <w:style w:type="paragraph" w:customStyle="1" w:styleId="60">
    <w:name w:val="附录表_Style"/>
    <w:next w:val="29"/>
    <w:link w:val="61"/>
    <w:uiPriority w:val="0"/>
    <w:pPr>
      <w:widowControl w:val="0"/>
      <w:numPr>
        <w:ilvl w:val="7"/>
        <w:numId w:val="6"/>
      </w:numPr>
      <w:spacing w:line="312" w:lineRule="auto"/>
      <w:jc w:val="center"/>
    </w:pPr>
    <w:rPr>
      <w:rFonts w:ascii="Times New Roman" w:hAnsi="Times New Roman" w:eastAsia="宋体" w:cs="Times New Roman"/>
      <w:b/>
      <w:kern w:val="2"/>
      <w:sz w:val="21"/>
      <w:szCs w:val="48"/>
      <w:lang w:val="en-US" w:eastAsia="zh-CN" w:bidi="ar-SA"/>
    </w:rPr>
  </w:style>
  <w:style w:type="character" w:customStyle="1" w:styleId="61">
    <w:name w:val="附录表_Style 字符"/>
    <w:basedOn w:val="31"/>
    <w:link w:val="60"/>
    <w:uiPriority w:val="0"/>
    <w:rPr>
      <w:rFonts w:ascii="Times New Roman" w:hAnsi="Times New Roman" w:eastAsia="宋体" w:cs="Times New Roman"/>
      <w:kern w:val="2"/>
      <w:sz w:val="21"/>
      <w:szCs w:val="48"/>
    </w:rPr>
  </w:style>
  <w:style w:type="table" w:customStyle="1" w:styleId="62">
    <w:name w:val="tab_Style"/>
    <w:basedOn w:val="21"/>
    <w:uiPriority w:val="0"/>
    <w:pPr>
      <w:jc w:val="center"/>
    </w:pPr>
    <w:rPr>
      <w:rFonts w:ascii="Times New Roman" w:hAnsi="Times New Roman" w:eastAsia="宋体" w:cs="Times New Roman"/>
      <w:sz w:val="21"/>
    </w:rPr>
    <w:tblPr>
      <w:jc w:val="center"/>
      <w:tblBorders>
        <w:top w:val="single" w:color="auto" w:sz="12" w:space="0"/>
        <w:bottom w:val="single" w:color="auto" w:sz="12" w:space="0"/>
      </w:tblBorders>
    </w:tblPr>
    <w:trPr>
      <w:jc w:val="center"/>
    </w:trPr>
    <w:tcPr>
      <w:shd w:val="clear" w:color="auto" w:fill="auto"/>
      <w:tcMar>
        <w:top w:w="0" w:type="dxa"/>
        <w:left w:w="57" w:type="dxa"/>
        <w:bottom w:w="0" w:type="dxa"/>
        <w:right w:w="57" w:type="dxa"/>
      </w:tcMar>
      <w:vAlign w:val="center"/>
    </w:tcPr>
    <w:tblStylePr w:type="firstRow">
      <w:tcPr>
        <w:tcBorders>
          <w:bottom w:val="single" w:color="auto" w:sz="4" w:space="0"/>
        </w:tcBorders>
        <w:shd w:val="clear" w:color="auto" w:fill="auto"/>
      </w:tcPr>
    </w:tblStylePr>
  </w:style>
  <w:style w:type="paragraph" w:customStyle="1" w:styleId="63">
    <w:name w:val="摘要"/>
    <w:basedOn w:val="29"/>
    <w:link w:val="64"/>
    <w:uiPriority w:val="0"/>
    <w:pPr>
      <w:ind w:firstLine="0" w:firstLineChars="0"/>
      <w:jc w:val="center"/>
    </w:pPr>
    <w:rPr>
      <w:b/>
      <w:bCs/>
      <w:sz w:val="28"/>
      <w:szCs w:val="28"/>
    </w:rPr>
  </w:style>
  <w:style w:type="character" w:customStyle="1" w:styleId="64">
    <w:name w:val="摘要 字符"/>
    <w:basedOn w:val="30"/>
    <w:link w:val="63"/>
    <w:uiPriority w:val="0"/>
    <w:rPr>
      <w:rFonts w:ascii="Times New Roman" w:hAnsi="Times New Roman" w:eastAsia="宋体" w:cs="Times New Roman"/>
      <w:b/>
      <w:bCs/>
      <w:kern w:val="2"/>
      <w:sz w:val="28"/>
      <w:szCs w:val="28"/>
    </w:rPr>
  </w:style>
  <w:style w:type="character" w:customStyle="1" w:styleId="65">
    <w:name w:val="标题 4 字符"/>
    <w:basedOn w:val="23"/>
    <w:link w:val="5"/>
    <w:qFormat/>
    <w:uiPriority w:val="9"/>
    <w:rPr>
      <w:rFonts w:ascii="Times New Roman" w:hAnsi="Times New Roman" w:eastAsia="宋体" w:cs="Times New Roman"/>
      <w:kern w:val="2"/>
      <w:sz w:val="28"/>
      <w:szCs w:val="24"/>
    </w:rPr>
  </w:style>
  <w:style w:type="character" w:customStyle="1" w:styleId="66">
    <w:name w:val="标题 5 字符"/>
    <w:basedOn w:val="23"/>
    <w:link w:val="6"/>
    <w:uiPriority w:val="9"/>
    <w:rPr>
      <w:rFonts w:ascii="Times New Roman" w:hAnsi="Times New Roman" w:eastAsia="宋体" w:cs="Times New Roman"/>
      <w:b/>
      <w:bCs/>
      <w:kern w:val="2"/>
      <w:sz w:val="28"/>
      <w:szCs w:val="28"/>
    </w:rPr>
  </w:style>
  <w:style w:type="character" w:customStyle="1" w:styleId="67">
    <w:name w:val="副标题 字符"/>
    <w:basedOn w:val="23"/>
    <w:link w:val="15"/>
    <w:uiPriority w:val="11"/>
    <w:rPr>
      <w:rFonts w:ascii="Times New Roman" w:hAnsi="Times New Roman" w:eastAsia="宋体" w:cs="Times New Roman"/>
      <w:kern w:val="2"/>
      <w:sz w:val="28"/>
      <w:szCs w:val="24"/>
    </w:rPr>
  </w:style>
  <w:style w:type="character" w:customStyle="1" w:styleId="68">
    <w:name w:val="标题 1 字符"/>
    <w:basedOn w:val="23"/>
    <w:link w:val="2"/>
    <w:uiPriority w:val="9"/>
    <w:rPr>
      <w:rFonts w:ascii="黑体" w:hAnsi="黑体" w:eastAsia="黑体" w:cs="Times New Roman"/>
      <w:kern w:val="2"/>
      <w:sz w:val="44"/>
      <w:szCs w:val="44"/>
    </w:rPr>
  </w:style>
  <w:style w:type="character" w:customStyle="1" w:styleId="69">
    <w:name w:val="标题 2 字符"/>
    <w:basedOn w:val="23"/>
    <w:link w:val="3"/>
    <w:qFormat/>
    <w:uiPriority w:val="9"/>
    <w:rPr>
      <w:rFonts w:ascii="Times New Roman" w:hAnsi="Times New Roman" w:eastAsia="宋体" w:cs="Times New Roman"/>
      <w:kern w:val="2"/>
      <w:sz w:val="32"/>
      <w:szCs w:val="30"/>
    </w:rPr>
  </w:style>
  <w:style w:type="character" w:customStyle="1" w:styleId="70">
    <w:name w:val="标题 3 字符"/>
    <w:basedOn w:val="23"/>
    <w:link w:val="4"/>
    <w:qFormat/>
    <w:uiPriority w:val="9"/>
    <w:rPr>
      <w:rFonts w:ascii="Times New Roman" w:hAnsi="Times New Roman" w:eastAsia="宋体" w:cs="Times New Roman"/>
      <w:kern w:val="2"/>
      <w:sz w:val="28"/>
      <w:szCs w:val="24"/>
    </w:rPr>
  </w:style>
  <w:style w:type="character" w:customStyle="1" w:styleId="71">
    <w:name w:val="页眉 字符"/>
    <w:basedOn w:val="23"/>
    <w:link w:val="12"/>
    <w:qFormat/>
    <w:uiPriority w:val="99"/>
    <w:rPr>
      <w:rFonts w:ascii="Times New Roman" w:hAnsi="Times New Roman" w:eastAsia="宋体" w:cs="Times New Roman"/>
      <w:kern w:val="2"/>
      <w:sz w:val="18"/>
      <w:szCs w:val="18"/>
    </w:rPr>
  </w:style>
  <w:style w:type="character" w:customStyle="1" w:styleId="72">
    <w:name w:val="页脚 字符"/>
    <w:basedOn w:val="23"/>
    <w:link w:val="11"/>
    <w:uiPriority w:val="99"/>
    <w:rPr>
      <w:rFonts w:ascii="Times New Roman" w:hAnsi="Times New Roman" w:eastAsia="宋体" w:cs="Times New Roman"/>
      <w:kern w:val="2"/>
      <w:sz w:val="18"/>
      <w:szCs w:val="18"/>
    </w:rPr>
  </w:style>
  <w:style w:type="character" w:customStyle="1" w:styleId="73">
    <w:name w:val="列表段落 字符"/>
    <w:basedOn w:val="23"/>
    <w:link w:val="9"/>
    <w:uiPriority w:val="34"/>
    <w:rPr>
      <w:rFonts w:ascii="Times New Roman" w:hAnsi="Times New Roman" w:eastAsia="宋体" w:cs="Times New Roman"/>
      <w:kern w:val="2"/>
      <w:sz w:val="28"/>
      <w:szCs w:val="28"/>
    </w:rPr>
  </w:style>
  <w:style w:type="character" w:customStyle="1" w:styleId="74">
    <w:name w:val="Book Title"/>
    <w:basedOn w:val="23"/>
    <w:qFormat/>
    <w:uiPriority w:val="33"/>
    <w:rPr>
      <w:b/>
      <w:bCs/>
      <w:i/>
      <w:iCs/>
      <w:spacing w:val="5"/>
    </w:rPr>
  </w:style>
  <w:style w:type="paragraph" w:customStyle="1" w:styleId="75">
    <w:name w:val="附录图_Style"/>
    <w:next w:val="29"/>
    <w:link w:val="76"/>
    <w:uiPriority w:val="0"/>
    <w:pPr>
      <w:widowControl w:val="0"/>
      <w:numPr>
        <w:ilvl w:val="6"/>
        <w:numId w:val="6"/>
      </w:numPr>
      <w:jc w:val="center"/>
    </w:pPr>
    <w:rPr>
      <w:rFonts w:ascii="Times New Roman" w:hAnsi="Times New Roman" w:eastAsia="宋体" w:cs="Times New Roman"/>
      <w:b/>
      <w:kern w:val="2"/>
      <w:sz w:val="21"/>
      <w:szCs w:val="48"/>
      <w:lang w:val="en-US" w:eastAsia="zh-CN" w:bidi="ar-SA"/>
    </w:rPr>
  </w:style>
  <w:style w:type="character" w:customStyle="1" w:styleId="76">
    <w:name w:val="附录图_Style 字符"/>
    <w:basedOn w:val="31"/>
    <w:link w:val="75"/>
    <w:uiPriority w:val="0"/>
    <w:rPr>
      <w:rFonts w:ascii="Times New Roman" w:hAnsi="Times New Roman" w:eastAsia="宋体" w:cs="Times New Roman"/>
      <w:kern w:val="2"/>
      <w:sz w:val="21"/>
      <w:szCs w:val="48"/>
    </w:rPr>
  </w:style>
  <w:style w:type="character" w:customStyle="1" w:styleId="77">
    <w:name w:val="MTEquationSection"/>
    <w:basedOn w:val="23"/>
    <w:uiPriority w:val="0"/>
    <w:rPr>
      <w:vanish/>
      <w:color w:val="FF0000"/>
    </w:rPr>
  </w:style>
  <w:style w:type="paragraph" w:customStyle="1" w:styleId="78">
    <w:name w:val="MTDisplayEquation"/>
    <w:basedOn w:val="29"/>
    <w:next w:val="1"/>
    <w:link w:val="79"/>
    <w:uiPriority w:val="0"/>
    <w:pPr>
      <w:tabs>
        <w:tab w:val="center" w:pos="4160"/>
        <w:tab w:val="right" w:pos="8300"/>
      </w:tabs>
      <w:ind w:firstLine="0" w:firstLineChars="0"/>
    </w:pPr>
  </w:style>
  <w:style w:type="character" w:customStyle="1" w:styleId="79">
    <w:name w:val="MTDisplayEquation 字符"/>
    <w:basedOn w:val="30"/>
    <w:link w:val="78"/>
    <w:uiPriority w:val="0"/>
    <w:rPr>
      <w:rFonts w:ascii="Times New Roman" w:hAnsi="Times New Roman" w:eastAsia="宋体" w:cs="Times New Roman"/>
      <w:kern w:val="2"/>
      <w:sz w:val="24"/>
      <w:szCs w:val="48"/>
    </w:rPr>
  </w:style>
  <w:style w:type="character" w:styleId="80">
    <w:name w:val="Placeholder Text"/>
    <w:basedOn w:val="23"/>
    <w:semiHidden/>
    <w:uiPriority w:val="99"/>
    <w:rPr>
      <w:color w:val="666666"/>
    </w:rPr>
  </w:style>
  <w:style w:type="paragraph" w:customStyle="1" w:styleId="81">
    <w:name w:val="图样式_Style"/>
    <w:basedOn w:val="29"/>
    <w:next w:val="29"/>
    <w:link w:val="82"/>
    <w:qFormat/>
    <w:uiPriority w:val="0"/>
    <w:pPr>
      <w:spacing w:line="240" w:lineRule="auto"/>
      <w:ind w:firstLine="0" w:firstLineChars="0"/>
      <w:jc w:val="center"/>
    </w:pPr>
  </w:style>
  <w:style w:type="character" w:customStyle="1" w:styleId="82">
    <w:name w:val="图样式_Style 字符"/>
    <w:basedOn w:val="33"/>
    <w:link w:val="81"/>
    <w:uiPriority w:val="0"/>
    <w:rPr>
      <w:rFonts w:ascii="Times New Roman" w:hAnsi="Times New Roman" w:eastAsia="宋体" w:cs="Times New Roman"/>
      <w:kern w:val="2"/>
      <w:sz w:val="24"/>
      <w:szCs w:val="48"/>
    </w:rPr>
  </w:style>
  <w:style w:type="paragraph" w:customStyle="1" w:styleId="83">
    <w:name w:val="标题6_Style"/>
    <w:basedOn w:val="29"/>
    <w:link w:val="84"/>
    <w:qFormat/>
    <w:uiPriority w:val="0"/>
    <w:pPr>
      <w:numPr>
        <w:ilvl w:val="5"/>
        <w:numId w:val="4"/>
      </w:numPr>
      <w:ind w:firstLine="0"/>
      <w:outlineLvl w:val="5"/>
    </w:pPr>
  </w:style>
  <w:style w:type="character" w:customStyle="1" w:styleId="84">
    <w:name w:val="标题6_Style 字符"/>
    <w:basedOn w:val="30"/>
    <w:link w:val="83"/>
    <w:uiPriority w:val="0"/>
    <w:rPr>
      <w:rFonts w:ascii="Times New Roman" w:hAnsi="Times New Roman" w:eastAsia="宋体" w:cs="Times New Roman"/>
      <w:kern w:val="2"/>
      <w:sz w:val="24"/>
      <w:szCs w:val="4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microsoft.com/office/2006/relationships/keyMapCustomizations" Target="customizations.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emf"/><Relationship Id="rId10" Type="http://schemas.openxmlformats.org/officeDocument/2006/relationships/package" Target="embeddings/Microsoft_Visio___1.vsdx"/><Relationship Id="rId1" Type="http://schemas.openxmlformats.org/officeDocument/2006/relationships/styles" Target="styles.xml"/><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B5AFA-45F7-4169-A194-A0A96490F359}">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4696</Words>
  <Characters>5359</Characters>
  <Lines>25</Lines>
  <Paragraphs>7</Paragraphs>
  <TotalTime>0</TotalTime>
  <ScaleCrop>false</ScaleCrop>
  <LinksUpToDate>false</LinksUpToDate>
  <CharactersWithSpaces>5455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2022-09-04T10:30:00Z</dcterms:created>
  <dc:creator>qzuser</dc:creator>
  <cp:lastModifiedBy>拉文克劳2018级der仙女</cp:lastModifiedBy>
  <dcterms:modified xsi:type="dcterms:W3CDTF">2026-09-11T10:01:31Z</dcterms:modified>
  <cp:revision>181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D9C583DFF1804EF5AC877FFD31384E9B</vt:lpwstr>
  </property>
  <property fmtid="{D5CDD505-2E9C-101B-9397-08002B2CF9AE}" pid="4" name="StyleKingKeyBindings">
    <vt:lpwstr>560|255|正文_Style|正文_Style|wdKeyCategoryStyle|Ctrl+0
561|255|标题1_Style|标题1_Style|wdKeyCategoryStyle|Ctrl+1
562|255|标题2_Style|标题2_Style|wdKeyCategoryStyle|Ctrl+2
563|255|标题3_Style|标题3_Style|wdKeyCategoryStyle|Ctrl+3
564|255|标题4_Style|标题4_Style|wdKeyCategoryStyle|Ctrl+4
565|255|标题5_Style|标题5_Style|wdKeyCategoryStyle|Ctrl+5
608|255|正文_Style|正文_Style|wdKeyCategoryStyle|Ctrl+Num 0
610|255|标题2_Style|标题2_Style|wdKeyCategoryStyle|Ctrl+Num 2
611|255|标题3_Style|标题3_Style|wdKeyCategoryStyle|Ctrl+Num 3
612|255|标题4_Style|标题4_Style|wdKeyCategoryStyle|Ctrl+Num 4
613|255|标题5_Style|标题5_Style|wdKeyCategoryStyle|Ctrl+Num 5
834|255|表题_Style|表题_Style|wdKeyCategoryStyle|Ctrl+Shift+B
852|255|图题_Style|图题_Style|wdKeyCategoryStyle|Ctrl+Shift+T</vt:lpwstr>
  </property>
  <property fmtid="{D5CDD505-2E9C-101B-9397-08002B2CF9AE}" pid="5" name="KSOTemplateDocerSaveRecord">
    <vt:lpwstr>eyJoZGlkIjoiNGM3YzI3YzMyMjA2ZmFmMDlmZDA5OTRiZmQyYmVlMGEiLCJ1c2VySWQiOiIxMzg3OTY0ODk0In0=</vt:lpwstr>
  </property>
</Properties>
</file>