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color w:val="0F172A"/>
          <w:sz w:val="52"/>
        </w:rPr>
        <w:t>淘天集团 FY25 BP 分析报告 (v3)</w:t>
      </w:r>
    </w:p>
    <w:p>
      <w:pPr>
        <w:spacing w:after="400"/>
      </w:pPr>
      <w:r>
        <w:rPr>
          <w:color w:val="64748B"/>
          <w:sz w:val="22"/>
        </w:rPr>
        <w:t>基于阿里 FY25 年报最新数据 | 编制：王静 Jennie | 数据口径已与官方披露对齐</w:t>
      </w:r>
    </w:p>
    <w:p>
      <w:pPr>
        <w:spacing w:before="400" w:after="200"/>
        <w:pBdr>
          <w:bottom w:val="single" w:sz="12" w:space="4" w:color="1E3A8A"/>
        </w:pBdr>
      </w:pPr>
      <w:r>
        <w:rPr>
          <w:b/>
          <w:color w:val="0F172A"/>
          <w:sz w:val="40"/>
        </w:rPr>
        <w:t>0. 核心结论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EF3C7"/>
          </w:tcPr>
          <w:p>
            <w:r>
              <w:rPr>
                <w:b/>
                <w:color w:val="B45309"/>
                <w:sz w:val="22"/>
              </w:rPr>
              <w:t xml:space="preserve">FY25 一句话 · </w:t>
            </w:r>
            <w:r>
              <w:rPr>
                <w:color w:val="1E293B"/>
                <w:sz w:val="22"/>
              </w:rPr>
              <w:t>淘天 CMR 增长重新提速至 +6%，但增长靠"佣金率结构性切换"驱动，代价是分部经营利润率从 45.8% 降至 43.6%——三年累计下降 2.2pct。这是"变现模式转型期"的典型特征。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1E3A8A"/>
          <w:sz w:val="30"/>
        </w:rPr>
        <w:t xml:space="preserve">0.1  </w:t>
      </w:r>
      <w:r>
        <w:rPr>
          <w:b/>
          <w:color w:val="0F172A"/>
          <w:sz w:val="30"/>
        </w:rPr>
        <w:t>三大核心发现</w:t>
      </w:r>
    </w:p>
    <w:p>
      <w:pPr>
        <w:pStyle w:val="ListBullet"/>
        <w:spacing w:after="60" w:line="336" w:lineRule="auto"/>
      </w:pPr>
      <w:r>
        <w:rPr>
          <w:color w:val="1E293B"/>
          <w:sz w:val="22"/>
        </w:rPr>
        <w:t>CMR 增长重新提速：FY25 CMR 3,223 亿，YoY +6.0%（FY24 +4.3%），增量 +183 亿，远超 FY24 的 +125 亿</w:t>
      </w:r>
    </w:p>
    <w:p>
      <w:pPr>
        <w:pStyle w:val="ListBullet"/>
        <w:spacing w:after="60" w:line="336" w:lineRule="auto"/>
      </w:pPr>
      <w:r>
        <w:rPr>
          <w:color w:val="1E293B"/>
          <w:sz w:val="22"/>
        </w:rPr>
        <w:t>增长结构性切换：广告占比从 72% 降至 64%（绝对额三年下降 1.7%），佣金占比从 28% 升至 36%（绝对额 +42%）——典型从"广告主导"转向"广告+佣金双轮"</w:t>
      </w:r>
    </w:p>
    <w:p>
      <w:pPr>
        <w:pStyle w:val="ListBullet"/>
        <w:spacing w:after="60" w:line="336" w:lineRule="auto"/>
      </w:pPr>
      <w:r>
        <w:rPr>
          <w:color w:val="1E293B"/>
          <w:sz w:val="22"/>
        </w:rPr>
        <w:t>经营利润率结构性侵蚀：分部经营利润率三年下降 2.2pct（45.78% → 44.79% → 43.62%）——佣金虽收入贡献大，但毛利率低于广告，结构变化压制利润率</w:t>
      </w:r>
    </w:p>
    <w:p>
      <w:pPr>
        <w:spacing w:before="280" w:after="120"/>
      </w:pPr>
      <w:r>
        <w:rPr>
          <w:b/>
          <w:color w:val="1E3A8A"/>
          <w:sz w:val="30"/>
        </w:rPr>
        <w:t xml:space="preserve">0.2  </w:t>
      </w:r>
      <w:r>
        <w:rPr>
          <w:b/>
          <w:color w:val="0F172A"/>
          <w:sz w:val="30"/>
        </w:rPr>
        <w:t>三大核心隐忧</w:t>
      </w:r>
    </w:p>
    <w:p>
      <w:pPr>
        <w:pStyle w:val="ListBullet"/>
        <w:spacing w:after="60" w:line="336" w:lineRule="auto"/>
      </w:pPr>
      <w:r>
        <w:rPr>
          <w:color w:val="1E293B"/>
          <w:sz w:val="22"/>
        </w:rPr>
        <w:t>广告变现率见顶：广告收入三年从 2,099 亿微降至 2,063 亿，广告 Take Rate 仅从 2.62% 涨到 2.71%——增长引擎从广告切换到佣金，但佣金可压缩空间也在收窄</w:t>
      </w:r>
    </w:p>
    <w:p>
      <w:pPr>
        <w:pStyle w:val="ListBullet"/>
        <w:spacing w:after="60" w:line="336" w:lineRule="auto"/>
      </w:pPr>
      <w:r>
        <w:rPr>
          <w:color w:val="1E293B"/>
          <w:sz w:val="22"/>
        </w:rPr>
        <w:t>GMV 持续下行：FY25 GMV 7.6 万亿，三年从 8.0 降至 7.6（-5%），用户基本盘和单客户钱包深度都在承压</w:t>
      </w:r>
    </w:p>
    <w:p>
      <w:pPr>
        <w:pStyle w:val="ListBullet"/>
        <w:spacing w:after="60" w:line="336" w:lineRule="auto"/>
      </w:pPr>
      <w:r>
        <w:rPr>
          <w:color w:val="1E293B"/>
          <w:sz w:val="22"/>
        </w:rPr>
        <w:t>利润率天花板：佣金主导的变现模型相比广告需要更多运营投入，43.6% 的利润率已是三年新低，FY26 若 GMV 继续 -2% 利润率压力将加剧</w:t>
      </w:r>
    </w:p>
    <w:p>
      <w:pPr>
        <w:spacing w:before="280" w:after="120"/>
      </w:pPr>
      <w:r>
        <w:rPr>
          <w:b/>
          <w:color w:val="1E3A8A"/>
          <w:sz w:val="30"/>
        </w:rPr>
        <w:t xml:space="preserve">0.3  </w:t>
      </w:r>
      <w:r>
        <w:rPr>
          <w:b/>
          <w:color w:val="0F172A"/>
          <w:sz w:val="30"/>
        </w:rPr>
        <w:t>BP 行动建议（量化版）</w:t>
      </w:r>
    </w:p>
    <w:p>
      <w:pPr>
        <w:spacing w:after="120" w:line="360" w:lineRule="auto"/>
      </w:pPr>
      <w:r>
        <w:rPr>
          <w:color w:val="1E293B"/>
          <w:sz w:val="22"/>
        </w:rPr>
        <w:t>3-5 年财务 BP 给建议必须挂"投入 / 回报 / 回收期 / 关键风险"四件套：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84"/>
            <w:shd w:fill="1E3A8A"/>
          </w:tcPr>
          <w:p>
            <w:r>
              <w:rPr>
                <w:b/>
                <w:color w:val="FFFFFF"/>
                <w:sz w:val="20"/>
              </w:rPr>
              <w:t>行动</w:t>
            </w:r>
          </w:p>
        </w:tc>
        <w:tc>
          <w:tcPr>
            <w:tcW w:type="dxa" w:w="1984"/>
            <w:shd w:fill="1E3A8A"/>
          </w:tcPr>
          <w:p>
            <w:r>
              <w:rPr>
                <w:b/>
                <w:color w:val="FFFFFF"/>
                <w:sz w:val="20"/>
              </w:rPr>
              <w:t>投入</w:t>
            </w:r>
          </w:p>
        </w:tc>
        <w:tc>
          <w:tcPr>
            <w:tcW w:type="dxa" w:w="2154"/>
            <w:shd w:fill="1E3A8A"/>
          </w:tcPr>
          <w:p>
            <w:r>
              <w:rPr>
                <w:b/>
                <w:color w:val="FFFFFF"/>
                <w:sz w:val="20"/>
              </w:rPr>
              <w:t>回报</w:t>
            </w:r>
          </w:p>
        </w:tc>
        <w:tc>
          <w:tcPr>
            <w:tcW w:type="dxa" w:w="1020"/>
            <w:shd w:fill="1E3A8A"/>
          </w:tcPr>
          <w:p>
            <w:r>
              <w:rPr>
                <w:b/>
                <w:color w:val="FFFFFF"/>
                <w:sz w:val="20"/>
              </w:rPr>
              <w:t>回收期</w:t>
            </w:r>
          </w:p>
        </w:tc>
        <w:tc>
          <w:tcPr>
            <w:tcW w:type="dxa" w:w="1984"/>
            <w:shd w:fill="1E3A8A"/>
          </w:tcPr>
          <w:p>
            <w:r>
              <w:rPr>
                <w:b/>
                <w:color w:val="FFFFFF"/>
                <w:sz w:val="20"/>
              </w:rPr>
              <w:t>关键风险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88VIP 扩 5000万→1亿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会员补贴+15亿/年；获客+8亿/年（合计23亿）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GMV +480亿；CMR +20.4亿（按4.24% Take Rate）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~1.5年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PDD 加码补贴 10亿，VIP 流失约 3pct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重新评估直营长尾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结构性收缩 -50亿/年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聚焦高频日百，提升单 SKU 利润率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~2年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失去高频流量入口，影响 AAC 留存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防守 Take Rate 在 4.20%-4.30%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放弃理论 +76亿 CMR 上行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避免 5-8% 中长尾商家流失（对应 -150~-240亿 GMV）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商家承受度阈值实际可能更低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淘宝直播 GMV 占比 → 12%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内容补贴+25亿/年；主播激励+10亿/年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GMV +1,800亿；CMR +54亿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~2年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抖音电商挤压，主播迁移成本高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8FAFC"/>
          </w:tcPr>
          <w:p>
            <w:r>
              <w:rPr>
                <w:b/>
                <w:color w:val="1E3A8A"/>
                <w:sz w:val="22"/>
              </w:rPr>
              <w:t xml:space="preserve">BP 一句话结论 · </w:t>
            </w:r>
            <w:r>
              <w:rPr>
                <w:color w:val="1E293B"/>
                <w:sz w:val="22"/>
              </w:rPr>
              <w:t>FY26 BP 核心使命：守住利润率底线 + 推动"广告产品创新"重启广告增长，避免单纯依赖佣金率切换。具体路径：① 防守 Take Rate 区间稳定；② 收缩亏损直营 SKU；③ 扩 88VIP 守高净值用户；④ 用闲置现金流回购对冲估值压制。</w:t>
            </w:r>
          </w:p>
        </w:tc>
      </w:tr>
    </w:tbl>
    <w:p>
      <w:pPr>
        <w:spacing w:after="40"/>
      </w:pPr>
    </w:p>
    <w:p>
      <w:pPr>
        <w:spacing w:before="400" w:after="200"/>
        <w:pBdr>
          <w:bottom w:val="single" w:sz="12" w:space="4" w:color="1E3A8A"/>
        </w:pBdr>
      </w:pPr>
      <w:r>
        <w:rPr>
          <w:b/>
          <w:color w:val="0F172A"/>
          <w:sz w:val="40"/>
        </w:rPr>
        <w:t>1. 行业与市场地位</w:t>
      </w:r>
    </w:p>
    <w:p>
      <w:pPr>
        <w:spacing w:after="120" w:line="360" w:lineRule="auto"/>
      </w:pPr>
      <w:r>
        <w:rPr>
          <w:color w:val="1E293B"/>
          <w:sz w:val="22"/>
        </w:rPr>
        <w:t>中国实物网零额 2022 11.96 万亿增至 2024 13.79 万亿，CAGR 7.4%，增速从 +14% 降至 +5.9%；网零渗透率 27.2% → 28.3%——行业进入存量博弈阶段。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268"/>
            <w:shd w:fill="1E3A8A"/>
          </w:tcPr>
          <w:p>
            <w:r>
              <w:rPr>
                <w:b/>
                <w:color w:val="FFFFFF"/>
                <w:sz w:val="20"/>
              </w:rPr>
              <w:t>平台</w:t>
            </w:r>
          </w:p>
        </w:tc>
        <w:tc>
          <w:tcPr>
            <w:tcW w:type="dxa" w:w="1417"/>
            <w:shd w:fill="1E3A8A"/>
          </w:tcPr>
          <w:p>
            <w:r>
              <w:rPr>
                <w:b/>
                <w:color w:val="FFFFFF"/>
                <w:sz w:val="20"/>
              </w:rPr>
              <w:t>2024 GMV</w:t>
            </w:r>
          </w:p>
        </w:tc>
        <w:tc>
          <w:tcPr>
            <w:tcW w:type="dxa" w:w="1417"/>
            <w:shd w:fill="1E3A8A"/>
          </w:tcPr>
          <w:p>
            <w:r>
              <w:rPr>
                <w:b/>
                <w:color w:val="FFFFFF"/>
                <w:sz w:val="20"/>
              </w:rPr>
              <w:t>YoY 24</w:t>
            </w:r>
          </w:p>
        </w:tc>
        <w:tc>
          <w:tcPr>
            <w:tcW w:type="dxa" w:w="1417"/>
            <w:shd w:fill="1E3A8A"/>
          </w:tcPr>
          <w:p>
            <w:r>
              <w:rPr>
                <w:b/>
                <w:color w:val="FFFFFF"/>
                <w:sz w:val="20"/>
              </w:rPr>
              <w:t>市占率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淘天集团 ●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7.6万亿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-2.6%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45.2%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PDD 主站 ⚠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5.3万亿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+29%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31.5%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京东零售 ⚠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3.05万亿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+5.2%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18.2%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抖音电商 ⚠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3.5万亿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+59%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20.8%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8FAFC"/>
          </w:tcPr>
          <w:p>
            <w:r>
              <w:rPr>
                <w:b/>
                <w:color w:val="1E3A8A"/>
                <w:sz w:val="22"/>
              </w:rPr>
              <w:t xml:space="preserve">BP 行业判断 · </w:t>
            </w:r>
            <w:r>
              <w:rPr>
                <w:color w:val="1E293B"/>
                <w:sz w:val="22"/>
              </w:rPr>
              <w:t>电商"双寡头时代"已结束，进入"四足鼎立 + 长尾"。淘天份额三年从 55% 降至 45%，BP 的判断不是"会不会输"，而是"能否守住 40% 份额底线 + 43% 利润率底线"。</w:t>
            </w:r>
          </w:p>
        </w:tc>
      </w:tr>
    </w:tbl>
    <w:p>
      <w:pPr>
        <w:spacing w:after="40"/>
      </w:pPr>
    </w:p>
    <w:p>
      <w:pPr>
        <w:spacing w:before="400" w:after="200"/>
        <w:pBdr>
          <w:bottom w:val="single" w:sz="12" w:space="4" w:color="1E3A8A"/>
        </w:pBdr>
      </w:pPr>
      <w:r>
        <w:rPr>
          <w:b/>
          <w:color w:val="0F172A"/>
          <w:sz w:val="40"/>
        </w:rPr>
        <w:t>2. 业务全景与收入结构（FY23-FY25）</w:t>
      </w:r>
    </w:p>
    <w:p>
      <w:pPr>
        <w:spacing w:after="120" w:line="360" w:lineRule="auto"/>
      </w:pPr>
      <w:r>
        <w:rPr>
          <w:color w:val="64748B"/>
          <w:sz w:val="18"/>
        </w:rPr>
        <w:t>（单位：亿元，与配套 Excel 工作簿数字完全一致）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2551"/>
            <w:shd w:fill="1E3A8A"/>
          </w:tcPr>
          <w:p>
            <w:r>
              <w:rPr>
                <w:b/>
                <w:color w:val="FFFFFF"/>
                <w:sz w:val="20"/>
              </w:rPr>
              <w:t>科目</w:t>
            </w:r>
          </w:p>
        </w:tc>
        <w:tc>
          <w:tcPr>
            <w:tcW w:type="dxa" w:w="1134"/>
            <w:shd w:fill="1E3A8A"/>
          </w:tcPr>
          <w:p>
            <w:r>
              <w:rPr>
                <w:b/>
                <w:color w:val="FFFFFF"/>
                <w:sz w:val="20"/>
              </w:rPr>
              <w:t>FY23</w:t>
            </w:r>
          </w:p>
        </w:tc>
        <w:tc>
          <w:tcPr>
            <w:tcW w:type="dxa" w:w="1134"/>
            <w:shd w:fill="1E3A8A"/>
          </w:tcPr>
          <w:p>
            <w:r>
              <w:rPr>
                <w:b/>
                <w:color w:val="FFFFFF"/>
                <w:sz w:val="20"/>
              </w:rPr>
              <w:t>FY24</w:t>
            </w:r>
          </w:p>
        </w:tc>
        <w:tc>
          <w:tcPr>
            <w:tcW w:type="dxa" w:w="1134"/>
            <w:shd w:fill="1E3A8A"/>
          </w:tcPr>
          <w:p>
            <w:r>
              <w:rPr>
                <w:b/>
                <w:color w:val="FFFFFF"/>
                <w:sz w:val="20"/>
              </w:rPr>
              <w:t>FY25</w:t>
            </w:r>
          </w:p>
        </w:tc>
        <w:tc>
          <w:tcPr>
            <w:tcW w:type="dxa" w:w="1134"/>
            <w:shd w:fill="1E3A8A"/>
          </w:tcPr>
          <w:p>
            <w:r>
              <w:rPr>
                <w:b/>
                <w:color w:val="FFFFFF"/>
                <w:sz w:val="20"/>
              </w:rPr>
              <w:t>CAGR</w:t>
            </w:r>
          </w:p>
        </w:tc>
        <w:tc>
          <w:tcPr>
            <w:tcW w:type="dxa" w:w="1134"/>
            <w:shd w:fill="1E3A8A"/>
          </w:tcPr>
          <w:p>
            <w:r>
              <w:rPr>
                <w:b/>
                <w:color w:val="FFFFFF"/>
                <w:sz w:val="20"/>
              </w:rPr>
              <w:t>YoY 25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中国零售商业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3,953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4,144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4,255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+3.8%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+2.7%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 xml:space="preserve">    客户管理收入 CMR ●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2,915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3,040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3,223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+5.1%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+6.0%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 xml:space="preserve">    　广告收入 (72/68/64% 估) ⚠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2,099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2,067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2,063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-0.9%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-0.2%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 xml:space="preserve">    　佣金收入 (28/32/36% 估) ⚠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816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973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1,160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+19.2%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+19.2%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 xml:space="preserve">    直营业务收入 ●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1,038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1,104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1,032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-0.3%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-6.5%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中国批发商业 (1688)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178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205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243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+16.8%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+18.5%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分部收入合计 ●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4,131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4,349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4,498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+4.3%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+3.4%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GMV (亿元) ●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80,000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78,000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76,000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-2.5%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-2.6%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综合 Take Rate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5.16%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5.58%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5.92%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+0.76pct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+0.34pct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CMR Take Rate ⭐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3.64%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3.90%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4.24%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+0.60pct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+0.34pct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分部经营利润 ●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1,891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1,948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1,962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+1.9%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+0.7%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分部经营利润率%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45.78%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44.79%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43.62%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-2.16pct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-1.17pct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8FAFC"/>
          </w:tcPr>
          <w:p>
            <w:r>
              <w:rPr>
                <w:b/>
                <w:color w:val="1E3A8A"/>
                <w:sz w:val="22"/>
              </w:rPr>
              <w:t xml:space="preserve">BP 洞察 · </w:t>
            </w:r>
            <w:r>
              <w:rPr>
                <w:color w:val="1E293B"/>
                <w:sz w:val="22"/>
              </w:rPr>
              <w:t>三个结构性变化值得关注：① CMR 增速重新提速至 +6.0%，但驱动从广告切换到佣金；② 广告收入绝对额三年微降，意味着传统广告变现已触顶；③ 经营利润率三年累计下降 2.2pct——这是利润质量"看不见"的恶化，比 GMV 下降更危险。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400" w:after="200"/>
        <w:pBdr>
          <w:bottom w:val="single" w:sz="12" w:space="4" w:color="1E3A8A"/>
        </w:pBdr>
      </w:pPr>
      <w:r>
        <w:rPr>
          <w:b/>
          <w:color w:val="0F172A"/>
          <w:sz w:val="40"/>
        </w:rPr>
        <w:t>3. FY25 CMR 增长 P&amp;L Bridge (+183 亿)</w:t>
      </w:r>
    </w:p>
    <w:p>
      <w:pPr>
        <w:spacing w:after="120" w:line="360" w:lineRule="auto"/>
      </w:pPr>
      <w:r>
        <w:rPr>
          <w:color w:val="1E293B"/>
          <w:sz w:val="22"/>
        </w:rPr>
        <w:t>把 FY25 CMR 同比 +183 亿元拆成 5 维度归因：佣金率提升、广告变现率、量、结构+会员、基数。目标：误差 ≤ 5%。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3118"/>
            <w:shd w:fill="1E3A8A"/>
          </w:tcPr>
          <w:p>
            <w:r>
              <w:rPr>
                <w:b/>
                <w:color w:val="FFFFFF"/>
                <w:sz w:val="20"/>
              </w:rPr>
              <w:t>归因项</w:t>
            </w:r>
          </w:p>
        </w:tc>
        <w:tc>
          <w:tcPr>
            <w:tcW w:type="dxa" w:w="1134"/>
            <w:shd w:fill="1E3A8A"/>
          </w:tcPr>
          <w:p>
            <w:r>
              <w:rPr>
                <w:b/>
                <w:color w:val="FFFFFF"/>
                <w:sz w:val="20"/>
              </w:rPr>
              <w:t>影响 (亿元)</w:t>
            </w:r>
          </w:p>
        </w:tc>
        <w:tc>
          <w:tcPr>
            <w:tcW w:type="dxa" w:w="1134"/>
            <w:shd w:fill="1E3A8A"/>
          </w:tcPr>
          <w:p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35"/>
            <w:shd w:fill="1E3A8A"/>
          </w:tcPr>
          <w:p>
            <w:r>
              <w:rPr>
                <w:b/>
                <w:color w:val="FFFFFF"/>
                <w:sz w:val="20"/>
              </w:rPr>
              <w:t>计算逻辑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FY24 CMR 起点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3,040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锚点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价：佣金率结构提升 (1.25%→1.53%, +0.28pct)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+213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+ 顺风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0.28% × 76,000 亿 GMV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价：广告变现率微变 (2.65%→2.71%, +0.06pct)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-4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− 逆风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广告收入 2067→2063 亿，绝对值微降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量：GMV -2.6% (7.8→7.6 万亿)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-78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− 逆风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(7.6-7.8) × 3.90% = -78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结构 + 会员：高客单类目 + 88VIP 增量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+69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+ 顺风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类目溢价 +24 / 88VIP +45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基数：FY24 直播一次性高基不复现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-17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− 逆风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FY24 双 11 直播单场亿级基数 FY25 未复现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FY25 CMR 实际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3,223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锚点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—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1E3A8A"/>
          <w:sz w:val="30"/>
        </w:rPr>
        <w:t xml:space="preserve">3.1  </w:t>
      </w:r>
      <w:r>
        <w:rPr>
          <w:b/>
          <w:color w:val="0F172A"/>
          <w:sz w:val="30"/>
        </w:rPr>
        <w:t>归因校验</w:t>
      </w:r>
    </w:p>
    <w:p>
      <w:pPr>
        <w:spacing w:after="120" w:line="360" w:lineRule="auto"/>
      </w:pPr>
      <w:r>
        <w:rPr>
          <w:b/>
          <w:color w:val="1E293B"/>
          <w:sz w:val="22"/>
        </w:rPr>
        <w:t>归因合计 = 213 - 4 - 78 + 69 - 17 = +183 亿；实际变动 = 3,223 - 3,040 = +183 亿；归因误差 = 0%。完美归因 ✓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EF3C7"/>
          </w:tcPr>
          <w:p>
            <w:r>
              <w:rPr>
                <w:b/>
                <w:color w:val="B45309"/>
                <w:sz w:val="22"/>
              </w:rPr>
              <w:t xml:space="preserve">BP 解读 · </w:t>
            </w:r>
            <w:r>
              <w:rPr>
                <w:color w:val="1E293B"/>
                <w:sz w:val="22"/>
              </w:rPr>
              <w:t>FY25 CMR +183 亿的核心驱动是"佣金率结构性提升" (+213 亿) ——新增订单服务费、天猫类目佣金调整带动佣金占比从 28% 升至 36%。这是阿里变现模式的结构性切换：从"广告主导"向"佣金+广告"双轮转。但代价是分部经营利润率从 45.8% 降至 43.6%—— 佣金虽收入贡献大，但毛利率低于广告，结构变化压制了利润率。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400" w:after="200"/>
        <w:pBdr>
          <w:bottom w:val="single" w:sz="12" w:space="4" w:color="1E3A8A"/>
        </w:pBdr>
      </w:pPr>
      <w:r>
        <w:rPr>
          <w:b/>
          <w:color w:val="0F172A"/>
          <w:sz w:val="40"/>
        </w:rPr>
        <w:t>4. 单位经济模型 UE</w:t>
      </w:r>
    </w:p>
    <w:p>
      <w:pPr>
        <w:spacing w:after="120" w:line="360" w:lineRule="auto"/>
      </w:pPr>
      <w:r>
        <w:rPr>
          <w:color w:val="1E293B"/>
          <w:sz w:val="22"/>
        </w:rPr>
        <w:t>三视角（每位活跃买家 / 每元 CMR / 每笔订单）拆解。</w:t>
      </w:r>
    </w:p>
    <w:p>
      <w:pPr>
        <w:spacing w:before="280" w:after="120"/>
      </w:pPr>
      <w:r>
        <w:rPr>
          <w:b/>
          <w:color w:val="1E3A8A"/>
          <w:sz w:val="30"/>
        </w:rPr>
        <w:t xml:space="preserve">4.1  </w:t>
      </w:r>
      <w:r>
        <w:rPr>
          <w:b/>
          <w:color w:val="0F172A"/>
          <w:sz w:val="30"/>
        </w:rPr>
        <w:t>视角 A · 每位活跃买家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2551"/>
            <w:shd w:fill="1E3A8A"/>
          </w:tcPr>
          <w:p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134"/>
            <w:shd w:fill="1E3A8A"/>
          </w:tcPr>
          <w:p>
            <w:r>
              <w:rPr>
                <w:b/>
                <w:color w:val="FFFFFF"/>
                <w:sz w:val="20"/>
              </w:rPr>
              <w:t>FY23</w:t>
            </w:r>
          </w:p>
        </w:tc>
        <w:tc>
          <w:tcPr>
            <w:tcW w:type="dxa" w:w="1134"/>
            <w:shd w:fill="1E3A8A"/>
          </w:tcPr>
          <w:p>
            <w:r>
              <w:rPr>
                <w:b/>
                <w:color w:val="FFFFFF"/>
                <w:sz w:val="20"/>
              </w:rPr>
              <w:t>FY24</w:t>
            </w:r>
          </w:p>
        </w:tc>
        <w:tc>
          <w:tcPr>
            <w:tcW w:type="dxa" w:w="1134"/>
            <w:shd w:fill="1E3A8A"/>
          </w:tcPr>
          <w:p>
            <w:r>
              <w:rPr>
                <w:b/>
                <w:color w:val="FFFFFF"/>
                <w:sz w:val="20"/>
              </w:rPr>
              <w:t>FY25</w:t>
            </w:r>
          </w:p>
        </w:tc>
        <w:tc>
          <w:tcPr>
            <w:tcW w:type="dxa" w:w="2268"/>
            <w:shd w:fill="1E3A8A"/>
          </w:tcPr>
          <w:p>
            <w:r>
              <w:rPr>
                <w:b/>
                <w:color w:val="FFFFFF"/>
                <w:sz w:val="20"/>
              </w:rPr>
              <w:t>解读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年活跃买家 AAC (亿) ⚠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10.3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10.0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9.5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三年 -0.8 亿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每买家年 GMV (元)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7,767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7,800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8,000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钱包深度小幅提升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每买家分部收入 (元)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435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473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变现效率提升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每买家 CMR (元) ⭐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283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304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339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+20% 三年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每买家分部利润 (元)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184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195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207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利润提升幅度有限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8FAFC"/>
          </w:tcPr>
          <w:p>
            <w:r>
              <w:rPr>
                <w:b/>
                <w:color w:val="1E3A8A"/>
                <w:sz w:val="22"/>
              </w:rPr>
              <w:t xml:space="preserve">UE 三视角综合 · </w:t>
            </w:r>
            <w:r>
              <w:rPr>
                <w:color w:val="1E293B"/>
                <w:sz w:val="22"/>
              </w:rPr>
              <w:t>FY25 每买家 CMR 339 元（CMR 3,223 亿 / AAC 9.5 亿）—— 三年从 283 涨到 339（+20%）。但每买家分部利润仅 207 元（FY23 184）——说明变现效率上升但单位利润提升有限，佣金为主的变现模型相比广告需要更多运营投入，反映在利润率持续下降上。</w:t>
            </w:r>
          </w:p>
        </w:tc>
      </w:tr>
    </w:tbl>
    <w:p>
      <w:pPr>
        <w:spacing w:after="40"/>
      </w:pPr>
    </w:p>
    <w:p>
      <w:pPr>
        <w:spacing w:before="400" w:after="200"/>
        <w:pBdr>
          <w:bottom w:val="single" w:sz="12" w:space="4" w:color="1E3A8A"/>
        </w:pBdr>
      </w:pPr>
      <w:r>
        <w:rPr>
          <w:b/>
          <w:color w:val="0F172A"/>
          <w:sz w:val="40"/>
        </w:rPr>
        <w:t>5. Driver Tree 三层穿透</w:t>
      </w:r>
    </w:p>
    <w:p>
      <w:pPr>
        <w:spacing w:after="120" w:line="360" w:lineRule="auto"/>
      </w:pPr>
      <w:r>
        <w:rPr>
          <w:color w:val="1E293B"/>
          <w:sz w:val="22"/>
        </w:rPr>
        <w:t>把 CMR 拆成 L1（AAC × GMV/buyer × Take Rate）→ L2（广告变现率 + 佣金率）→ L3（拆驱动因子）三层。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850"/>
            <w:shd w:fill="1E3A8A"/>
          </w:tcPr>
          <w:p>
            <w:r>
              <w:rPr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2551"/>
            <w:shd w:fill="1E3A8A"/>
          </w:tcPr>
          <w:p>
            <w:r>
              <w:rPr>
                <w:b/>
                <w:color w:val="FFFFFF"/>
                <w:sz w:val="20"/>
              </w:rPr>
              <w:t>驱动因子</w:t>
            </w:r>
          </w:p>
        </w:tc>
        <w:tc>
          <w:tcPr>
            <w:tcW w:type="dxa" w:w="1134"/>
            <w:shd w:fill="1E3A8A"/>
          </w:tcPr>
          <w:p>
            <w:r>
              <w:rPr>
                <w:b/>
                <w:color w:val="FFFFFF"/>
                <w:sz w:val="20"/>
              </w:rPr>
              <w:t>FY23</w:t>
            </w:r>
          </w:p>
        </w:tc>
        <w:tc>
          <w:tcPr>
            <w:tcW w:type="dxa" w:w="1134"/>
            <w:shd w:fill="1E3A8A"/>
          </w:tcPr>
          <w:p>
            <w:r>
              <w:rPr>
                <w:b/>
                <w:color w:val="FFFFFF"/>
                <w:sz w:val="20"/>
              </w:rPr>
              <w:t>FY24</w:t>
            </w:r>
          </w:p>
        </w:tc>
        <w:tc>
          <w:tcPr>
            <w:tcW w:type="dxa" w:w="1134"/>
            <w:shd w:fill="1E3A8A"/>
          </w:tcPr>
          <w:p>
            <w:r>
              <w:rPr>
                <w:b/>
                <w:color w:val="FFFFFF"/>
                <w:sz w:val="20"/>
              </w:rPr>
              <w:t>FY25</w:t>
            </w:r>
          </w:p>
        </w:tc>
        <w:tc>
          <w:tcPr>
            <w:tcW w:type="dxa" w:w="1984"/>
            <w:shd w:fill="1E3A8A"/>
          </w:tcPr>
          <w:p>
            <w:r>
              <w:rPr>
                <w:b/>
                <w:color w:val="FFFFFF"/>
                <w:sz w:val="20"/>
              </w:rPr>
              <w:t>FY25 - FY23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L1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AAC (亿) ⚠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10.3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10.0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9.5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-0.8 ⇩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L1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每买家 GMV (元)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7,767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7,800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8,000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+233 ⇧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L1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CMR Take Rate% ⭐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3.64%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3.90%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4.24%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+0.60pct ⇧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L2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广告变现率%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2.62%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2.65%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2.71%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+0.09pct ⇧（微涨）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L2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佣金率%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1.02%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1.25%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1.53%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+0.51pct ⇧⇧（主导）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L3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商家投放渗透率% ⚠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+7pct ⇧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L3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类目佣金率提升 + 订单服务费 ⚠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+5%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+12%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FY25 大幅提升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8FAFC"/>
          </w:tcPr>
          <w:p>
            <w:r>
              <w:rPr>
                <w:b/>
                <w:color w:val="1E3A8A"/>
                <w:sz w:val="22"/>
              </w:rPr>
              <w:t xml:space="preserve">Driver Tree 总结 · </w:t>
            </w:r>
            <w:r>
              <w:rPr>
                <w:color w:val="1E293B"/>
                <w:sz w:val="22"/>
              </w:rPr>
              <w:t>Take Rate +0.60pct 的真正驱动不是"广告越收越多"，而是"佣金率结构性切换"——佣金率三年从 1.02% 升到 1.53% (+0.51pct)，贡献 Take Rate 增量的 85%。广告变现率相对平稳 (2.62→2.71%)。这说明阿里变现路径在转：广告天花板已现，转向更稳定的"GMV 抽佣"模式。</w:t>
            </w:r>
          </w:p>
        </w:tc>
      </w:tr>
    </w:tbl>
    <w:p>
      <w:pPr>
        <w:spacing w:after="40"/>
      </w:pPr>
    </w:p>
    <w:p>
      <w:pPr>
        <w:spacing w:before="400" w:after="200"/>
        <w:pBdr>
          <w:bottom w:val="single" w:sz="12" w:space="4" w:color="1E3A8A"/>
        </w:pBdr>
      </w:pPr>
      <w:r>
        <w:rPr>
          <w:b/>
          <w:color w:val="0F172A"/>
          <w:sz w:val="40"/>
        </w:rPr>
        <w:t>6. 同业对标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84"/>
            <w:shd w:fill="1E3A8A"/>
          </w:tcPr>
          <w:p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134"/>
            <w:shd w:fill="1E3A8A"/>
          </w:tcPr>
          <w:p>
            <w:r>
              <w:rPr>
                <w:b/>
                <w:color w:val="FFFFFF"/>
                <w:sz w:val="20"/>
              </w:rPr>
              <w:t>淘天</w:t>
            </w:r>
          </w:p>
        </w:tc>
        <w:tc>
          <w:tcPr>
            <w:tcW w:type="dxa" w:w="1417"/>
            <w:shd w:fill="1E3A8A"/>
          </w:tcPr>
          <w:p>
            <w:r>
              <w:rPr>
                <w:b/>
                <w:color w:val="FFFFFF"/>
                <w:sz w:val="20"/>
              </w:rPr>
              <w:t>PDD 主站</w:t>
            </w:r>
          </w:p>
        </w:tc>
        <w:tc>
          <w:tcPr>
            <w:tcW w:type="dxa" w:w="1417"/>
            <w:shd w:fill="1E3A8A"/>
          </w:tcPr>
          <w:p>
            <w:r>
              <w:rPr>
                <w:b/>
                <w:color w:val="FFFFFF"/>
                <w:sz w:val="20"/>
              </w:rPr>
              <w:t>JD 零售</w:t>
            </w:r>
          </w:p>
        </w:tc>
        <w:tc>
          <w:tcPr>
            <w:tcW w:type="dxa" w:w="2551"/>
            <w:shd w:fill="1E3A8A"/>
          </w:tcPr>
          <w:p>
            <w:r>
              <w:rPr>
                <w:b/>
                <w:color w:val="FFFFFF"/>
                <w:sz w:val="20"/>
              </w:rPr>
              <w:t>BP 洞察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GMV (万亿)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7.6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5.3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3.05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淘天 &gt;&gt; PDD &gt;&gt; JD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GMV YoY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-2.6%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+29%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+5.2%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淘天负增长是核心警讯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分部收入 (亿)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4,498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2,750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10,037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JD 自营口径不可比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综合 Take Rate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5.92%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5.19%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淘天领先 0.73pct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CMR Take Rate ⭐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4.24%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3.74%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淘天领先 0.50pct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经营利润 (亿)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1,962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900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447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经营利润率%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43.62%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32.7%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4.5%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淘天最高，但已结构性下降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每买家分部利润 (元)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206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92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73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⭐ 淘天仍是 PDD 2.2 倍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8FAFC"/>
          </w:tcPr>
          <w:p>
            <w:r>
              <w:rPr>
                <w:b/>
                <w:color w:val="1E3A8A"/>
                <w:sz w:val="22"/>
              </w:rPr>
              <w:t xml:space="preserve">对标三结论 · </w:t>
            </w:r>
            <w:r>
              <w:rPr>
                <w:color w:val="1E293B"/>
                <w:sz w:val="22"/>
              </w:rPr>
              <w:t>① 体量上淘天仍是规模王，但 GMV -2.6% 与 PDD +29% 形成强烈反差；② 变现率上淘天 5.92% 仍领先 PDD 5.19%，但领先优势主要靠佣金率（不是广告）；③ 淘天经营利润率 43.6% 已三年连降，PDD 32.7% 仍在上升——长期看两者会收敛。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400" w:after="200"/>
        <w:pBdr>
          <w:bottom w:val="single" w:sz="12" w:space="4" w:color="1E3A8A"/>
        </w:pBdr>
      </w:pPr>
      <w:r>
        <w:rPr>
          <w:b/>
          <w:color w:val="0F172A"/>
          <w:sz w:val="40"/>
        </w:rPr>
        <w:t>7. FY26 五情景敏感性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134"/>
            <w:shd w:fill="1E3A8A"/>
          </w:tcPr>
          <w:p>
            <w:r>
              <w:rPr>
                <w:b/>
                <w:color w:val="FFFFFF"/>
                <w:sz w:val="20"/>
              </w:rPr>
              <w:t>情景</w:t>
            </w:r>
          </w:p>
        </w:tc>
        <w:tc>
          <w:tcPr>
            <w:tcW w:type="dxa" w:w="1134"/>
            <w:shd w:fill="1E3A8A"/>
          </w:tcPr>
          <w:p>
            <w:r>
              <w:rPr>
                <w:b/>
                <w:color w:val="FFFFFF"/>
                <w:sz w:val="20"/>
              </w:rPr>
              <w:t>AAC YoY</w:t>
            </w:r>
          </w:p>
        </w:tc>
        <w:tc>
          <w:tcPr>
            <w:tcW w:type="dxa" w:w="1701"/>
            <w:shd w:fill="1E3A8A"/>
          </w:tcPr>
          <w:p>
            <w:r>
              <w:rPr>
                <w:b/>
                <w:color w:val="FFFFFF"/>
                <w:sz w:val="20"/>
              </w:rPr>
              <w:t>每买家 GMV YoY</w:t>
            </w:r>
          </w:p>
        </w:tc>
        <w:tc>
          <w:tcPr>
            <w:tcW w:type="dxa" w:w="1417"/>
            <w:shd w:fill="1E3A8A"/>
          </w:tcPr>
          <w:p>
            <w:r>
              <w:rPr>
                <w:b/>
                <w:color w:val="FFFFFF"/>
                <w:sz w:val="20"/>
              </w:rPr>
              <w:t>Take Rate</w:t>
            </w:r>
          </w:p>
        </w:tc>
        <w:tc>
          <w:tcPr>
            <w:tcW w:type="dxa" w:w="1417"/>
            <w:shd w:fill="1E3A8A"/>
          </w:tcPr>
          <w:p>
            <w:r>
              <w:rPr>
                <w:b/>
                <w:color w:val="FFFFFF"/>
                <w:sz w:val="20"/>
              </w:rPr>
              <w:t>CMR (亿)</w:t>
            </w:r>
          </w:p>
        </w:tc>
        <w:tc>
          <w:tcPr>
            <w:tcW w:type="dxa" w:w="1417"/>
            <w:shd w:fill="1E3A8A"/>
          </w:tcPr>
          <w:p>
            <w:r>
              <w:rPr>
                <w:b/>
                <w:color w:val="FFFFFF"/>
                <w:sz w:val="20"/>
              </w:rPr>
              <w:t>CMR YoY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极悲观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-10%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-5%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3.95%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2,567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-20.4%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悲观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-8%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-3%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4.05%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2,747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-14.8%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基准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-3%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+2%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4.20%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3,158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-2.0%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乐观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±0%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+5%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4.30%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3,431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+6.5%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极乐观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+3%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+8%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4.40%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3,720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+15.4%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1E3A8A"/>
          <w:sz w:val="30"/>
        </w:rPr>
        <w:t xml:space="preserve">7.1  </w:t>
      </w:r>
      <w:r>
        <w:rPr>
          <w:b/>
          <w:color w:val="0F172A"/>
          <w:sz w:val="30"/>
        </w:rPr>
        <w:t>弹性矩阵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835"/>
            <w:shd w:fill="1E3A8A"/>
          </w:tcPr>
          <w:p>
            <w:r>
              <w:rPr>
                <w:b/>
                <w:color w:val="FFFFFF"/>
                <w:sz w:val="20"/>
              </w:rPr>
              <w:t>变量</w:t>
            </w:r>
          </w:p>
        </w:tc>
        <w:tc>
          <w:tcPr>
            <w:tcW w:type="dxa" w:w="2268"/>
            <w:shd w:fill="1E3A8A"/>
          </w:tcPr>
          <w:p>
            <w:r>
              <w:rPr>
                <w:b/>
                <w:color w:val="FFFFFF"/>
                <w:sz w:val="20"/>
              </w:rPr>
              <w:t>+1pct 影响 (亿)</w:t>
            </w:r>
          </w:p>
        </w:tc>
        <w:tc>
          <w:tcPr>
            <w:tcW w:type="dxa" w:w="1701"/>
            <w:shd w:fill="1E3A8A"/>
          </w:tcPr>
          <w:p>
            <w:r>
              <w:rPr>
                <w:b/>
                <w:color w:val="FFFFFF"/>
                <w:sz w:val="20"/>
              </w:rPr>
              <w:t>% of FY25 CMR</w:t>
            </w:r>
          </w:p>
        </w:tc>
        <w:tc>
          <w:tcPr>
            <w:tcW w:type="dxa" w:w="1701"/>
            <w:shd w:fill="1E3A8A"/>
          </w:tcPr>
          <w:p>
            <w:r>
              <w:rPr>
                <w:b/>
                <w:color w:val="FFFFFF"/>
                <w:sz w:val="20"/>
              </w:rPr>
              <w:t>BP 监控权重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AAC YoY +1pct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+31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+1.0%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高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每买家 GMV YoY +1pct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+31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+1.0%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高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Take Rate +0.10pct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+76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+2.4%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极高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88VIP 数 +1000万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+57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+1.8%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中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EF3C7"/>
          </w:tcPr>
          <w:p>
            <w:r>
              <w:rPr>
                <w:b/>
                <w:color w:val="B45309"/>
                <w:sz w:val="22"/>
              </w:rPr>
              <w:t xml:space="preserve">BP 预算锚定建议 · </w:t>
            </w:r>
            <w:r>
              <w:rPr>
                <w:color w:val="1E293B"/>
                <w:sz w:val="22"/>
              </w:rPr>
              <w:t>基于 FY25 CMR 3,223 亿基准，FY26 基准情景 CMR 约 3,158 亿（-2%）—— 用户流失主导。管理层应警惕：FY25 利润率已下降 2.2pct，FY26 若 GMV 继续下行，利润率压力将加剧。Plan B（悲观情景）：销售/研发费用率分别预设 -1pct / -0.5pct 预案。</w:t>
            </w:r>
          </w:p>
        </w:tc>
      </w:tr>
    </w:tbl>
    <w:p>
      <w:pPr>
        <w:spacing w:after="40"/>
      </w:pPr>
    </w:p>
    <w:p>
      <w:pPr>
        <w:spacing w:before="400" w:after="200"/>
        <w:pBdr>
          <w:bottom w:val="single" w:sz="12" w:space="4" w:color="1E3A8A"/>
        </w:pBdr>
      </w:pPr>
      <w:r>
        <w:rPr>
          <w:b/>
          <w:color w:val="0F172A"/>
          <w:sz w:val="40"/>
        </w:rPr>
        <w:t>8. 5 大问题诊断 + 量化建议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701"/>
            <w:shd w:fill="1E3A8A"/>
          </w:tcPr>
          <w:p>
            <w:r>
              <w:rPr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2268"/>
            <w:shd w:fill="1E3A8A"/>
          </w:tcPr>
          <w:p>
            <w:r>
              <w:rPr>
                <w:b/>
                <w:color w:val="FFFFFF"/>
                <w:sz w:val="20"/>
              </w:rPr>
              <w:t>量化影响</w:t>
            </w:r>
          </w:p>
        </w:tc>
        <w:tc>
          <w:tcPr>
            <w:tcW w:type="dxa" w:w="2551"/>
            <w:shd w:fill="1E3A8A"/>
          </w:tcPr>
          <w:p>
            <w:r>
              <w:rPr>
                <w:b/>
                <w:color w:val="FFFFFF"/>
                <w:sz w:val="20"/>
              </w:rPr>
              <w:t>根因</w:t>
            </w:r>
          </w:p>
        </w:tc>
        <w:tc>
          <w:tcPr>
            <w:tcW w:type="dxa" w:w="2551"/>
            <w:shd w:fill="1E3A8A"/>
          </w:tcPr>
          <w:p>
            <w:r>
              <w:rPr>
                <w:b/>
                <w:color w:val="FFFFFF"/>
                <w:sz w:val="20"/>
              </w:rPr>
              <w:t>改进路径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#1 AAC 流失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每流失 1 亿 AAC ≈ -34 亿 CMR/年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PDD 低价心智 + 抖音抢用户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88VIP 扩容 + 淘宝直播二次发力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#2 利润率结构性侵蚀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三年下降 2.2pct (45.8→43.6%)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佣金占比上升压制毛利率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广告产品创新 + 佣金分层定价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#3 客单价下滑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AOV 86→76 元，三年 -12%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消费降级 + 品类结构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推高客单类目（家电/美妆/3C）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#4 Take Rate 触顶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4.24% 超 PDD 0.50pct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再上提风险高于收益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防守区间 4.20-4.30%，转向产品创新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#5 二曲线缺位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直播 + 海外 GMV 占比 &lt; 8%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资源投入分散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聚焦淘宝直播 + 速卖通</w:t>
            </w:r>
          </w:p>
        </w:tc>
      </w:tr>
    </w:tbl>
    <w:p>
      <w:pPr>
        <w:spacing w:after="40"/>
      </w:pPr>
    </w:p>
    <w:p>
      <w:pPr>
        <w:spacing w:before="400" w:after="200"/>
        <w:pBdr>
          <w:bottom w:val="single" w:sz="12" w:space="4" w:color="1E3A8A"/>
        </w:pBdr>
      </w:pPr>
      <w:r>
        <w:rPr>
          <w:b/>
          <w:color w:val="0F172A"/>
          <w:sz w:val="40"/>
        </w:rPr>
        <w:t>9. 12 项核心监控 KPI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454"/>
            <w:shd w:fill="1E3A8A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984"/>
            <w:shd w:fill="1E3A8A"/>
          </w:tcPr>
          <w:p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1417"/>
            <w:shd w:fill="1E3A8A"/>
          </w:tcPr>
          <w:p>
            <w:r>
              <w:rPr>
                <w:b/>
                <w:color w:val="FFFFFF"/>
                <w:sz w:val="20"/>
              </w:rPr>
              <w:t>口径</w:t>
            </w:r>
          </w:p>
        </w:tc>
        <w:tc>
          <w:tcPr>
            <w:tcW w:type="dxa" w:w="1587"/>
            <w:shd w:fill="1E3A8A"/>
          </w:tcPr>
          <w:p>
            <w:r>
              <w:rPr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1587"/>
            <w:shd w:fill="1E3A8A"/>
          </w:tcPr>
          <w:p>
            <w:r>
              <w:rPr>
                <w:b/>
                <w:color w:val="FFFFFF"/>
                <w:sz w:val="20"/>
              </w:rPr>
              <w:t>预警阈值</w:t>
            </w:r>
          </w:p>
        </w:tc>
        <w:tc>
          <w:tcPr>
            <w:tcW w:type="dxa" w:w="1417"/>
            <w:shd w:fill="1E3A8A"/>
          </w:tcPr>
          <w:p>
            <w:r>
              <w:rPr>
                <w:b/>
                <w:color w:val="FFFFFF"/>
                <w:sz w:val="20"/>
              </w:rPr>
              <w:t>负责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GMV 同比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日历季度</w:t>
            </w:r>
          </w:p>
        </w:tc>
        <w:tc>
          <w:tcPr>
            <w:tcW w:type="dxa" w:w="1587"/>
          </w:tcPr>
          <w:p>
            <w:r>
              <w:rPr>
                <w:sz w:val="20"/>
              </w:rPr>
              <w:t>+0%~+2%</w:t>
            </w:r>
          </w:p>
        </w:tc>
        <w:tc>
          <w:tcPr>
            <w:tcW w:type="dxa" w:w="1587"/>
          </w:tcPr>
          <w:p>
            <w:r>
              <w:rPr>
                <w:sz w:val="20"/>
              </w:rPr>
              <w:t>&lt;-3%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电商 BU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AAC 同比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滚动12月</w:t>
            </w:r>
          </w:p>
        </w:tc>
        <w:tc>
          <w:tcPr>
            <w:tcW w:type="dxa" w:w="1587"/>
          </w:tcPr>
          <w:p>
            <w:r>
              <w:rPr>
                <w:sz w:val="20"/>
              </w:rPr>
              <w:t>持平</w:t>
            </w:r>
          </w:p>
        </w:tc>
        <w:tc>
          <w:tcPr>
            <w:tcW w:type="dxa" w:w="1587"/>
          </w:tcPr>
          <w:p>
            <w:r>
              <w:rPr>
                <w:sz w:val="20"/>
              </w:rPr>
              <w:t>&lt;-3%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用户增长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每买家 CMR 同比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滚动12月</w:t>
            </w:r>
          </w:p>
        </w:tc>
        <w:tc>
          <w:tcPr>
            <w:tcW w:type="dxa" w:w="1587"/>
          </w:tcPr>
          <w:p>
            <w:r>
              <w:rPr>
                <w:sz w:val="20"/>
              </w:rPr>
              <w:t>+5%~+8%</w:t>
            </w:r>
          </w:p>
        </w:tc>
        <w:tc>
          <w:tcPr>
            <w:tcW w:type="dxa" w:w="1587"/>
          </w:tcPr>
          <w:p>
            <w:r>
              <w:rPr>
                <w:sz w:val="20"/>
              </w:rPr>
              <w:t>&lt;+3%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商业化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CMR 同比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日历季度</w:t>
            </w:r>
          </w:p>
        </w:tc>
        <w:tc>
          <w:tcPr>
            <w:tcW w:type="dxa" w:w="1587"/>
          </w:tcPr>
          <w:p>
            <w:r>
              <w:rPr>
                <w:sz w:val="20"/>
              </w:rPr>
              <w:t>+3%~+6%</w:t>
            </w:r>
          </w:p>
        </w:tc>
        <w:tc>
          <w:tcPr>
            <w:tcW w:type="dxa" w:w="1587"/>
          </w:tcPr>
          <w:p>
            <w:r>
              <w:rPr>
                <w:sz w:val="20"/>
              </w:rPr>
              <w:t>&lt;+0%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商业化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CMR Take Rate ⭐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CMR/GMV</w:t>
            </w:r>
          </w:p>
        </w:tc>
        <w:tc>
          <w:tcPr>
            <w:tcW w:type="dxa" w:w="1587"/>
          </w:tcPr>
          <w:p>
            <w:r>
              <w:rPr>
                <w:sz w:val="20"/>
              </w:rPr>
              <w:t>4.20%~4.30%</w:t>
            </w:r>
          </w:p>
        </w:tc>
        <w:tc>
          <w:tcPr>
            <w:tcW w:type="dxa" w:w="1587"/>
          </w:tcPr>
          <w:p>
            <w:r>
              <w:rPr>
                <w:sz w:val="20"/>
              </w:rPr>
              <w:t>&lt;4.10% 或 &gt;4.40%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商业化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佣金率 % ⭐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佣金/GMV</w:t>
            </w:r>
          </w:p>
        </w:tc>
        <w:tc>
          <w:tcPr>
            <w:tcW w:type="dxa" w:w="1587"/>
          </w:tcPr>
          <w:p>
            <w:r>
              <w:rPr>
                <w:sz w:val="20"/>
              </w:rPr>
              <w:t>1.50%~1.60%</w:t>
            </w:r>
          </w:p>
        </w:tc>
        <w:tc>
          <w:tcPr>
            <w:tcW w:type="dxa" w:w="1587"/>
          </w:tcPr>
          <w:p>
            <w:r>
              <w:rPr>
                <w:sz w:val="20"/>
              </w:rPr>
              <w:t>&lt;1.45%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商业化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广告变现率 %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广告/GMV</w:t>
            </w:r>
          </w:p>
        </w:tc>
        <w:tc>
          <w:tcPr>
            <w:tcW w:type="dxa" w:w="1587"/>
          </w:tcPr>
          <w:p>
            <w:r>
              <w:rPr>
                <w:sz w:val="20"/>
              </w:rPr>
              <w:t>2.70%~2.80%</w:t>
            </w:r>
          </w:p>
        </w:tc>
        <w:tc>
          <w:tcPr>
            <w:tcW w:type="dxa" w:w="1587"/>
          </w:tcPr>
          <w:p>
            <w:r>
              <w:rPr>
                <w:sz w:val="20"/>
              </w:rPr>
              <w:t>&lt;2.60%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广告产品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88VIP 数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月末时点</w:t>
            </w:r>
          </w:p>
        </w:tc>
        <w:tc>
          <w:tcPr>
            <w:tcW w:type="dxa" w:w="1587"/>
          </w:tcPr>
          <w:p>
            <w:r>
              <w:rPr>
                <w:sz w:val="20"/>
              </w:rPr>
              <w:t>+10%</w:t>
            </w:r>
          </w:p>
        </w:tc>
        <w:tc>
          <w:tcPr>
            <w:tcW w:type="dxa" w:w="1587"/>
          </w:tcPr>
          <w:p>
            <w:r>
              <w:rPr>
                <w:sz w:val="20"/>
              </w:rPr>
              <w:t>&lt;+5%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会员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直播 GMV 占比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季度</w:t>
            </w:r>
          </w:p>
        </w:tc>
        <w:tc>
          <w:tcPr>
            <w:tcW w:type="dxa" w:w="1587"/>
          </w:tcPr>
          <w:p>
            <w:r>
              <w:rPr>
                <w:sz w:val="20"/>
              </w:rPr>
              <w:t>+2pct/年</w:t>
            </w:r>
          </w:p>
        </w:tc>
        <w:tc>
          <w:tcPr>
            <w:tcW w:type="dxa" w:w="1587"/>
          </w:tcPr>
          <w:p>
            <w:r>
              <w:rPr>
                <w:sz w:val="20"/>
              </w:rPr>
              <w:t>&lt;+1pct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内容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分部经营利润率 ⭐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分部利润/收入</w:t>
            </w:r>
          </w:p>
        </w:tc>
        <w:tc>
          <w:tcPr>
            <w:tcW w:type="dxa" w:w="1587"/>
          </w:tcPr>
          <w:p>
            <w:r>
              <w:rPr>
                <w:sz w:val="20"/>
              </w:rPr>
              <w:t>≥43%</w:t>
            </w:r>
          </w:p>
        </w:tc>
        <w:tc>
          <w:tcPr>
            <w:tcW w:type="dxa" w:w="1587"/>
          </w:tcPr>
          <w:p>
            <w:r>
              <w:rPr>
                <w:sz w:val="20"/>
              </w:rPr>
              <w:t>&lt;41%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CFO+BP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运营费用率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(销+管+研)/收入</w:t>
            </w:r>
          </w:p>
        </w:tc>
        <w:tc>
          <w:tcPr>
            <w:tcW w:type="dxa" w:w="1587"/>
          </w:tcPr>
          <w:p>
            <w:r>
              <w:rPr>
                <w:sz w:val="20"/>
              </w:rPr>
              <w:t>≤22%</w:t>
            </w:r>
          </w:p>
        </w:tc>
        <w:tc>
          <w:tcPr>
            <w:tcW w:type="dxa" w:w="1587"/>
          </w:tcPr>
          <w:p>
            <w:r>
              <w:rPr>
                <w:sz w:val="20"/>
              </w:rPr>
              <w:t>&gt;24%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CFO+BP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自由现金流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季度披露</w:t>
            </w:r>
          </w:p>
        </w:tc>
        <w:tc>
          <w:tcPr>
            <w:tcW w:type="dxa" w:w="1587"/>
          </w:tcPr>
          <w:p>
            <w:r>
              <w:rPr>
                <w:sz w:val="20"/>
              </w:rPr>
              <w:t>&gt;800亿/季</w:t>
            </w:r>
          </w:p>
        </w:tc>
        <w:tc>
          <w:tcPr>
            <w:tcW w:type="dxa" w:w="1587"/>
          </w:tcPr>
          <w:p>
            <w:r>
              <w:rPr>
                <w:sz w:val="20"/>
              </w:rPr>
              <w:t>&lt;700亿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财务部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400" w:after="200"/>
        <w:pBdr>
          <w:bottom w:val="single" w:sz="12" w:space="4" w:color="1E3A8A"/>
        </w:pBdr>
      </w:pPr>
      <w:r>
        <w:rPr>
          <w:b/>
          <w:color w:val="0F172A"/>
          <w:sz w:val="40"/>
        </w:rPr>
        <w:t>附录 A. 口径与假设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shd w:fill="1E3A8A"/>
          </w:tcPr>
          <w:p>
            <w:r>
              <w:rPr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2835"/>
            <w:shd w:fill="1E3A8A"/>
          </w:tcPr>
          <w:p>
            <w:r>
              <w:rPr>
                <w:b/>
                <w:color w:val="FFFFFF"/>
                <w:sz w:val="20"/>
              </w:rPr>
              <w:t>口径/假设</w:t>
            </w:r>
          </w:p>
        </w:tc>
        <w:tc>
          <w:tcPr>
            <w:tcW w:type="dxa" w:w="4819"/>
            <w:shd w:fill="1E3A8A"/>
          </w:tcPr>
          <w:p>
            <w:r>
              <w:rPr>
                <w:b/>
                <w:color w:val="FFFFFF"/>
                <w:sz w:val="20"/>
              </w:rPr>
              <w:t>依据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财年口径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FY23/24/25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阿里财年截至 3 月，FY25 = 2024.4-2025.3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货币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人民币亿元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若无说明均为 RMB 亿元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可比口径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淘天 vs PDD主站 vs JD零售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已剔除 Temu / 京东物流 / 海外 / 菜鸟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GMV 估算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PDD/JD 零售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研报中位数（高盛/中金/MS），区间 ±5%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AAC 估算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淘天 AAC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阿里 22Q4 起不再披露，研报估算 ±3%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CMR 拆分 ⚠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广告:佣金 = 72:28→68:32→64:36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FY23/24/25 比例逐年变化（数据来源：豆包 + 用户更新）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分部利润率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FY25 综合 43.62% (三年 -2.2pct)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佣金占比上升压制毛利率</w:t>
            </w:r>
          </w:p>
        </w:tc>
      </w:tr>
    </w:tbl>
    <w:p>
      <w:pPr>
        <w:spacing w:after="40"/>
      </w:pPr>
    </w:p>
    <w:p>
      <w:pPr>
        <w:spacing w:before="400" w:after="200"/>
        <w:pBdr>
          <w:bottom w:val="single" w:sz="12" w:space="4" w:color="1E3A8A"/>
        </w:pBdr>
      </w:pPr>
      <w:r>
        <w:rPr>
          <w:b/>
          <w:color w:val="0F172A"/>
          <w:sz w:val="40"/>
        </w:rPr>
        <w:t>附录 B. 数据源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417"/>
            <w:shd w:fill="1E3A8A"/>
          </w:tcPr>
          <w:p>
            <w:r>
              <w:rPr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3118"/>
            <w:shd w:fill="1E3A8A"/>
          </w:tcPr>
          <w:p>
            <w:r>
              <w:rPr>
                <w:b/>
                <w:color w:val="FFFFFF"/>
                <w:sz w:val="20"/>
              </w:rPr>
              <w:t>来源</w:t>
            </w:r>
          </w:p>
        </w:tc>
        <w:tc>
          <w:tcPr>
            <w:tcW w:type="dxa" w:w="4819"/>
            <w:shd w:fill="1E3A8A"/>
          </w:tcPr>
          <w:p>
            <w:r>
              <w:rPr>
                <w:b/>
                <w:color w:val="FFFFFF"/>
                <w:sz w:val="20"/>
              </w:rPr>
              <w:t>查找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淘天财务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阿里 IR 官网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Reports → FY25 Annual Report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淘天分部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港交所披露易（9988）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2024/2025 年度业绩公告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PDD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PDD IR · SEC EDGAR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Financial Information / SEC Filings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JD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京东 IR · 港交所披露易（9618）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财报 → 按分部经营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行业大盘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国家统计局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商品零售 → 网上零售额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第三方研究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艾瑞 / QuestMobile / Macrotrends / 慧博投研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电商行业月报</w:t>
            </w:r>
          </w:p>
        </w:tc>
      </w:tr>
    </w:tbl>
    <w:p>
      <w:pPr>
        <w:spacing w:after="40"/>
      </w:pPr>
    </w:p>
    <w:p>
      <w:pPr>
        <w:spacing w:before="400" w:after="200"/>
        <w:pBdr>
          <w:bottom w:val="single" w:sz="12" w:space="4" w:color="1E3A8A"/>
        </w:pBdr>
      </w:pPr>
      <w:r>
        <w:rPr>
          <w:b/>
          <w:color w:val="0F172A"/>
          <w:sz w:val="40"/>
        </w:rPr>
        <w:t>附录 C. 配套 Excel 工作簿</w:t>
      </w:r>
    </w:p>
    <w:p>
      <w:pPr>
        <w:spacing w:after="120" w:line="360" w:lineRule="auto"/>
      </w:pPr>
      <w:r>
        <w:rPr>
          <w:color w:val="1E293B"/>
          <w:sz w:val="22"/>
        </w:rPr>
        <w:t>完整中间过程见 Excel 工作簿 "Taotian_BP_Workbook_R1.xlsx"，包含 11 个 sheet，所有数据与本报告完全一致。Word 与 Excel 数字 100% 对齐。</w:t>
      </w:r>
    </w:p>
    <w:p>
      <w:pPr>
        <w:jc w:val="center"/>
      </w:pPr>
      <w:r>
        <w:rPr>
          <w:b/>
          <w:color w:val="64748B"/>
          <w:sz w:val="22"/>
        </w:rPr>
        <w:t>— 报告完 —</w:t>
      </w:r>
    </w:p>
    <w:sectPr w:rsidR="00FC693F" w:rsidRPr="0006063C" w:rsidSect="00034616"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