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64748B"/>
          <w:sz w:val="22"/>
        </w:rPr>
        <w:t>淘天集团（中国电商业务）</w:t>
      </w:r>
    </w:p>
    <w:p>
      <w:pPr>
        <w:spacing w:after="160"/>
      </w:pPr>
      <w:r>
        <w:rPr>
          <w:b/>
          <w:color w:val="0F172A"/>
          <w:sz w:val="56"/>
        </w:rPr>
        <w:t>FY25 财务BP视角深度分析报告</w:t>
      </w:r>
    </w:p>
    <w:p>
      <w:pPr>
        <w:spacing w:after="400"/>
      </w:pPr>
      <w:r>
        <w:rPr>
          <w:color w:val="64748B"/>
          <w:sz w:val="20"/>
        </w:rPr>
        <w:t>对标：拼多多主站（剔除Temu）·京东零售  |  时间口径：阿里 FY25（2024.4–2025.3）  |  编制：王静 Jennie  |  日期：2026.05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8FAFC"/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</w:tcPr>
          <w:p>
            <w:pPr>
              <w:spacing w:before="40" w:after="40"/>
            </w:pPr>
            <w:r>
              <w:rPr>
                <w:b/>
                <w:color w:val="1E3A8A"/>
                <w:sz w:val="21"/>
              </w:rPr>
              <w:t xml:space="preserve">口径声明 · </w:t>
            </w:r>
            <w:r>
              <w:rPr>
                <w:color w:val="1E293B"/>
                <w:sz w:val="21"/>
              </w:rPr>
              <w:t>本报告以阿里 FY25（2024.4–2025.3）为时间口径；与 PDD/JD 对标使用 CY2024 ≈ 阿里 FY25 近似换算。GMV/收入/利润单位均为人民币亿元（除特别说明外）。所有数据与配套 Excel 工作簿完全一致；数据来源、估算口径、敏感性区间见附录。</w:t>
            </w:r>
          </w:p>
        </w:tc>
      </w:tr>
    </w:tbl>
    <w:p>
      <w:pPr>
        <w:spacing w:after="40"/>
      </w:pPr>
    </w:p>
    <w:p>
      <w:pPr>
        <w:spacing w:before="360" w:after="240"/>
        <w:pBdr>
          <w:bottom w:val="single" w:sz="12" w:space="4" w:color="0F172A"/>
        </w:pBdr>
      </w:pPr>
      <w:r>
        <w:rPr>
          <w:b/>
          <w:color w:val="0F172A"/>
          <w:sz w:val="40"/>
        </w:rPr>
        <w:t>0. 核心结论（Executive Summary）</w:t>
      </w:r>
    </w:p>
    <w:p>
      <w:pPr>
        <w:spacing w:before="280" w:after="120"/>
      </w:pPr>
      <w:r>
        <w:rPr>
          <w:b/>
          <w:color w:val="1E3A8A"/>
          <w:sz w:val="28"/>
        </w:rPr>
        <w:t xml:space="preserve">0.1  </w:t>
      </w:r>
      <w:r>
        <w:rPr>
          <w:b/>
          <w:color w:val="0F172A"/>
          <w:sz w:val="28"/>
        </w:rPr>
        <w:t>三大核心发现</w:t>
      </w:r>
    </w:p>
    <w:p>
      <w:pPr>
        <w:pStyle w:val="ListBullet"/>
        <w:spacing w:after="40"/>
      </w:pPr>
      <w:r>
        <w:rPr>
          <w:color w:val="1E293B"/>
          <w:sz w:val="21"/>
        </w:rPr>
        <w:t>规模仍领先但份额持续被切：FY25 淘天 GMV 7.6 万亿元（YoY -2.6%），是中国电商单一最大平台，但市占率从 2022 年约 55% 降至 45%；PDD 主站三年从 19% 升至 32%，份额差从 35pct 缩到 14pct。</w:t>
      </w:r>
    </w:p>
    <w:p>
      <w:pPr>
        <w:pStyle w:val="ListBullet"/>
        <w:spacing w:after="40"/>
      </w:pPr>
      <w:r>
        <w:rPr>
          <w:color w:val="1E293B"/>
          <w:sz w:val="21"/>
        </w:rPr>
        <w:t>盈利质量结构性向好但增长失速：CMR Take Rate 三年 +0.46pct（3.66%→4.12%），分部经营利润率提升至 47.5%；但 FY25 CMR 仅 +2.5%、GMV -2.6%——价跑赢但量在下降，"价补量"模式不可持续。</w:t>
      </w:r>
    </w:p>
    <w:p>
      <w:pPr>
        <w:pStyle w:val="ListBullet"/>
        <w:spacing w:after="40"/>
      </w:pPr>
      <w:r>
        <w:rPr>
          <w:color w:val="1E293B"/>
          <w:sz w:val="21"/>
        </w:rPr>
        <w:t>直营业务从微利转亏：直营经营利润率 FY23 +2.5% → FY25 -2.2%，FY25 净亏损 27 亿元，拖累整体经营利润率约 0.6pct。</w:t>
      </w:r>
    </w:p>
    <w:p>
      <w:pPr>
        <w:spacing w:before="280" w:after="120"/>
      </w:pPr>
      <w:r>
        <w:rPr>
          <w:b/>
          <w:color w:val="1E3A8A"/>
          <w:sz w:val="28"/>
        </w:rPr>
        <w:t xml:space="preserve">0.2  </w:t>
      </w:r>
      <w:r>
        <w:rPr>
          <w:b/>
          <w:color w:val="0F172A"/>
          <w:sz w:val="28"/>
        </w:rPr>
        <w:t>三大核心隐忧</w:t>
      </w:r>
    </w:p>
    <w:p>
      <w:pPr>
        <w:pStyle w:val="ListBullet"/>
        <w:spacing w:after="40"/>
      </w:pPr>
      <w:r>
        <w:rPr>
          <w:color w:val="1E293B"/>
          <w:sz w:val="21"/>
        </w:rPr>
        <w:t>用户基本盘流失：AAC 从 10.3 亿降至 9.5 亿（-0.8 亿），PDD 主站达 9.8 亿首次反超。每流失 1 亿活跃买家，按 ARPU-CMR 330 元测算稳态 ≈ -33 亿 CMR/年。</w:t>
      </w:r>
    </w:p>
    <w:p>
      <w:pPr>
        <w:pStyle w:val="ListBullet"/>
        <w:spacing w:after="40"/>
      </w:pPr>
      <w:r>
        <w:rPr>
          <w:color w:val="1E293B"/>
          <w:sz w:val="21"/>
        </w:rPr>
        <w:t>Take Rate 已超越 PDD 0.38pct（4.12% vs 3.74%），进一步上提将加速中长尾商家流失，触发"广告通胀-商家退出"螺旋。</w:t>
      </w:r>
    </w:p>
    <w:p>
      <w:pPr>
        <w:pStyle w:val="ListBullet"/>
        <w:spacing w:after="40"/>
      </w:pPr>
      <w:r>
        <w:rPr>
          <w:color w:val="1E293B"/>
          <w:sz w:val="21"/>
        </w:rPr>
        <w:t>直播/海外两条二曲线仍在投入期：淘宝直播 GMV 占比 &lt; 8%、速卖通 AE Choice 仍处亏损扩张期，3 年内难以独立扛起增长大旗。</w:t>
      </w:r>
    </w:p>
    <w:p>
      <w:pPr>
        <w:spacing w:before="280" w:after="120"/>
      </w:pPr>
      <w:r>
        <w:rPr>
          <w:b/>
          <w:color w:val="1E3A8A"/>
          <w:sz w:val="28"/>
        </w:rPr>
        <w:t xml:space="preserve">0.3  </w:t>
      </w:r>
      <w:r>
        <w:rPr>
          <w:b/>
          <w:color w:val="0F172A"/>
          <w:sz w:val="28"/>
        </w:rPr>
        <w:t>BP 行动建议（量化版）</w:t>
      </w:r>
    </w:p>
    <w:p>
      <w:pPr>
        <w:spacing w:after="80"/>
      </w:pPr>
      <w:r>
        <w:rPr>
          <w:color w:val="1E293B"/>
          <w:sz w:val="20"/>
        </w:rPr>
        <w:t>3-5 年财务 BP 给建议必须挂"投入 / 回报 / 回收期 / 关键风险"四件套。明细如下：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814"/>
            <w:shd w:fill="F1F5F9"/>
          </w:tcPr>
          <w:p>
            <w:r>
              <w:rPr>
                <w:b/>
                <w:color w:val="0F172A"/>
                <w:sz w:val="19"/>
              </w:rPr>
              <w:t>行动</w:t>
            </w:r>
          </w:p>
        </w:tc>
        <w:tc>
          <w:tcPr>
            <w:tcW w:type="dxa" w:w="1928"/>
            <w:shd w:fill="F1F5F9"/>
          </w:tcPr>
          <w:p>
            <w:r>
              <w:rPr>
                <w:b/>
                <w:color w:val="0F172A"/>
                <w:sz w:val="19"/>
              </w:rPr>
              <w:t>投入</w:t>
            </w:r>
          </w:p>
        </w:tc>
        <w:tc>
          <w:tcPr>
            <w:tcW w:type="dxa" w:w="1928"/>
            <w:shd w:fill="F1F5F9"/>
          </w:tcPr>
          <w:p>
            <w:r>
              <w:rPr>
                <w:b/>
                <w:color w:val="0F172A"/>
                <w:sz w:val="19"/>
              </w:rPr>
              <w:t>回报</w:t>
            </w:r>
          </w:p>
        </w:tc>
        <w:tc>
          <w:tcPr>
            <w:tcW w:type="dxa" w:w="850"/>
            <w:shd w:fill="F1F5F9"/>
          </w:tcPr>
          <w:p>
            <w:r>
              <w:rPr>
                <w:b/>
                <w:color w:val="0F172A"/>
                <w:sz w:val="19"/>
              </w:rPr>
              <w:t>回收期</w:t>
            </w:r>
          </w:p>
        </w:tc>
        <w:tc>
          <w:tcPr>
            <w:tcW w:type="dxa" w:w="2268"/>
            <w:shd w:fill="F1F5F9"/>
          </w:tcPr>
          <w:p>
            <w:r>
              <w:rPr>
                <w:b/>
                <w:color w:val="0F172A"/>
                <w:sz w:val="19"/>
              </w:rPr>
              <w:t>关键风险</w:t>
            </w:r>
          </w:p>
        </w:tc>
      </w:tr>
      <w:tr>
        <w:tc>
          <w:tcPr>
            <w:tcW w:type="dxa" w:w="1814"/>
          </w:tcPr>
          <w:p>
            <w:r>
              <w:rPr>
                <w:sz w:val="19"/>
              </w:rPr>
              <w:t>88VIP 扩 5000万 → 1亿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会员费补贴+15亿/年；获客成本+8亿/年（合计23亿）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GMV +480亿；CMR +19.7亿（按4.1% Take Rate）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~1.5年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PDD百亿补贴每加码10亿，VIP流失约3pct</w:t>
            </w:r>
          </w:p>
        </w:tc>
      </w:tr>
      <w:tr>
        <w:tc>
          <w:tcPr>
            <w:tcW w:type="dxa" w:w="1814"/>
          </w:tcPr>
          <w:p>
            <w:r>
              <w:rPr>
                <w:sz w:val="19"/>
              </w:rPr>
              <w:t>砍亏损直营SKU（猫超长尾）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一次性减值/库存清理~30亿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年减亏22亿；经营利润率+1.1pct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~1.4年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失去高频日百流量入口，影响AAC留存</w:t>
            </w:r>
          </w:p>
        </w:tc>
      </w:tr>
      <w:tr>
        <w:tc>
          <w:tcPr>
            <w:tcW w:type="dxa" w:w="1814"/>
          </w:tcPr>
          <w:p>
            <w:r>
              <w:rPr>
                <w:sz w:val="19"/>
              </w:rPr>
              <w:t>防守 Take Rate 在4.10%-4.15%（不上提）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放弃理论+76亿CMR的上行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避免5%-8%中长尾商家流失（对应-150~-240亿GMV风险）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商家承受度阈值实际可能更低</w:t>
            </w:r>
          </w:p>
        </w:tc>
      </w:tr>
      <w:tr>
        <w:tc>
          <w:tcPr>
            <w:tcW w:type="dxa" w:w="1814"/>
          </w:tcPr>
          <w:p>
            <w:r>
              <w:rPr>
                <w:sz w:val="19"/>
              </w:rPr>
              <w:t>淘宝直播GMV占比 → 12%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内容补贴+25亿/年；主播激励+10亿/年（合计35亿）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GMV +1,800亿；CMR +52亿（按2.9%直播Take Rate）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~2.0年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抖音电商挤压，主播迁移成本高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EF3C7"/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</w:tcPr>
          <w:p>
            <w:pPr>
              <w:spacing w:before="40" w:after="40"/>
            </w:pPr>
            <w:r>
              <w:rPr>
                <w:b/>
                <w:color w:val="B45309"/>
                <w:sz w:val="21"/>
              </w:rPr>
              <w:t xml:space="preserve">BP 一句话结论 · </w:t>
            </w:r>
            <w:r>
              <w:rPr>
                <w:color w:val="1E293B"/>
                <w:sz w:val="21"/>
              </w:rPr>
              <w:t>淘天处于"成熟期现金奶牛"位置，FY26 BP 核心使命不是"驱动增长"，而是"守住利润+优化结构"——① 防守 Take Rate 在 4.10%–4.15% 区间不再上提；② 砍直营长尾、保留高频日百；③ 扩 88VIP 守住高净值用户；④ 用闲置现金流加大回购，对冲电商估值压制（CFO 维度）。</w:t>
            </w:r>
          </w:p>
        </w:tc>
      </w:tr>
    </w:tbl>
    <w:p>
      <w:pPr>
        <w:spacing w:after="40"/>
      </w:pPr>
    </w:p>
    <w:p>
      <w:pPr>
        <w:spacing w:before="360" w:after="240"/>
        <w:pBdr>
          <w:bottom w:val="single" w:sz="12" w:space="4" w:color="0F172A"/>
        </w:pBdr>
      </w:pPr>
      <w:r>
        <w:rPr>
          <w:b/>
          <w:color w:val="0F172A"/>
          <w:sz w:val="40"/>
        </w:rPr>
        <w:t>1. 行业与市场地位</w:t>
      </w:r>
    </w:p>
    <w:p>
      <w:pPr>
        <w:spacing w:after="80"/>
      </w:pPr>
      <w:r>
        <w:rPr>
          <w:b/>
          <w:color w:val="64748B"/>
          <w:sz w:val="18"/>
        </w:rPr>
        <w:t>数据可信度图例：</w:t>
      </w:r>
      <w:r>
        <w:rPr>
          <w:color w:val="047857"/>
          <w:sz w:val="18"/>
        </w:rPr>
        <w:t>● 官方披露口径</w:t>
      </w:r>
      <w:r>
        <w:rPr>
          <w:color w:val="B45309"/>
          <w:sz w:val="18"/>
        </w:rPr>
        <w:t xml:space="preserve">    ⚠ 估算（带敏感性区间）</w:t>
      </w:r>
    </w:p>
    <w:p>
      <w:pPr>
        <w:spacing w:before="280" w:after="120"/>
      </w:pPr>
      <w:r>
        <w:rPr>
          <w:b/>
          <w:color w:val="1E3A8A"/>
          <w:sz w:val="28"/>
        </w:rPr>
        <w:t xml:space="preserve">1.1  </w:t>
      </w:r>
      <w:r>
        <w:rPr>
          <w:b/>
          <w:color w:val="0F172A"/>
          <w:sz w:val="28"/>
        </w:rPr>
        <w:t>中国电商行业大盘</w:t>
      </w:r>
    </w:p>
    <w:p>
      <w:pPr>
        <w:spacing w:after="80"/>
      </w:pPr>
      <w:r>
        <w:rPr>
          <w:color w:val="1E293B"/>
          <w:sz w:val="21"/>
        </w:rPr>
        <w:t>从社零口径看，中国实物商品网上零售额自 2022 年 11.96 万亿增长至 2024 年 13.79 万亿，CAGR 约 7.4%；增速从 2022 年 +14% 已下降至 2024 年 +5.9%。网上零售渗透率（网零/社零）从 27.2% 提升至 28.3%，进一步空间有限——行业进入存量博弈阶段。</w:t>
      </w:r>
    </w:p>
    <w:p>
      <w:pPr>
        <w:spacing w:before="280" w:after="120"/>
      </w:pPr>
      <w:r>
        <w:rPr>
          <w:b/>
          <w:color w:val="1E3A8A"/>
          <w:sz w:val="28"/>
        </w:rPr>
        <w:t xml:space="preserve">1.2  </w:t>
      </w:r>
      <w:r>
        <w:rPr>
          <w:b/>
          <w:color w:val="0F172A"/>
          <w:sz w:val="28"/>
        </w:rPr>
        <w:t>三家份额测算（GMV 口径）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2438"/>
            <w:shd w:fill="F1F5F9"/>
          </w:tcPr>
          <w:p>
            <w:r>
              <w:rPr>
                <w:b/>
                <w:color w:val="0F172A"/>
                <w:sz w:val="19"/>
              </w:rPr>
              <w:t>平台</w:t>
            </w:r>
          </w:p>
        </w:tc>
        <w:tc>
          <w:tcPr>
            <w:tcW w:type="dxa" w:w="1134"/>
            <w:shd w:fill="F1F5F9"/>
          </w:tcPr>
          <w:p>
            <w:r>
              <w:rPr>
                <w:b/>
                <w:color w:val="0F172A"/>
                <w:sz w:val="19"/>
              </w:rPr>
              <w:t>2022 GMV</w:t>
            </w:r>
          </w:p>
        </w:tc>
        <w:tc>
          <w:tcPr>
            <w:tcW w:type="dxa" w:w="1134"/>
            <w:shd w:fill="F1F5F9"/>
          </w:tcPr>
          <w:p>
            <w:r>
              <w:rPr>
                <w:b/>
                <w:color w:val="0F172A"/>
                <w:sz w:val="19"/>
              </w:rPr>
              <w:t>2024 GMV</w:t>
            </w:r>
          </w:p>
        </w:tc>
        <w:tc>
          <w:tcPr>
            <w:tcW w:type="dxa" w:w="907"/>
            <w:shd w:fill="F1F5F9"/>
          </w:tcPr>
          <w:p>
            <w:r>
              <w:rPr>
                <w:b/>
                <w:color w:val="0F172A"/>
                <w:sz w:val="19"/>
              </w:rPr>
              <w:t>YoY 24</w:t>
            </w:r>
          </w:p>
        </w:tc>
        <w:tc>
          <w:tcPr>
            <w:tcW w:type="dxa" w:w="1020"/>
            <w:shd w:fill="F1F5F9"/>
          </w:tcPr>
          <w:p>
            <w:r>
              <w:rPr>
                <w:b/>
                <w:color w:val="0F172A"/>
                <w:sz w:val="19"/>
              </w:rPr>
              <w:t>2024 份额</w:t>
            </w:r>
          </w:p>
        </w:tc>
        <w:tc>
          <w:tcPr>
            <w:tcW w:type="dxa" w:w="2438"/>
            <w:shd w:fill="F1F5F9"/>
          </w:tcPr>
          <w:p>
            <w:r>
              <w:rPr>
                <w:b/>
                <w:color w:val="0F172A"/>
                <w:sz w:val="19"/>
              </w:rPr>
              <w:t>战略画像</w:t>
            </w:r>
          </w:p>
        </w:tc>
      </w:tr>
      <w:tr>
        <w:tc>
          <w:tcPr>
            <w:tcW w:type="dxa" w:w="2438"/>
          </w:tcPr>
          <w:p>
            <w:r>
              <w:rPr>
                <w:sz w:val="19"/>
              </w:rPr>
              <w:t>淘天集团 ●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9"/>
              </w:rPr>
              <w:t>8.0万亿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9"/>
              </w:rPr>
              <w:t>7.6万亿</w:t>
            </w:r>
          </w:p>
        </w:tc>
        <w:tc>
          <w:tcPr>
            <w:tcW w:type="dxa" w:w="907"/>
          </w:tcPr>
          <w:p>
            <w:pPr>
              <w:jc w:val="right"/>
            </w:pPr>
            <w:r>
              <w:rPr>
                <w:sz w:val="19"/>
              </w:rPr>
              <w:t>-2.6%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9"/>
              </w:rPr>
              <w:t>45.2%</w:t>
            </w:r>
          </w:p>
        </w:tc>
        <w:tc>
          <w:tcPr>
            <w:tcW w:type="dxa" w:w="2438"/>
          </w:tcPr>
          <w:p>
            <w:r>
              <w:rPr>
                <w:sz w:val="19"/>
              </w:rPr>
              <w:t>存量主导者 / 利润奶牛</w:t>
            </w:r>
          </w:p>
        </w:tc>
      </w:tr>
      <w:tr>
        <w:tc>
          <w:tcPr>
            <w:tcW w:type="dxa" w:w="2438"/>
          </w:tcPr>
          <w:p>
            <w:r>
              <w:rPr>
                <w:sz w:val="19"/>
              </w:rPr>
              <w:t>PDD 主站 ⚠（5.0–5.6万亿）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9"/>
              </w:rPr>
              <w:t>2.8万亿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9"/>
              </w:rPr>
              <w:t>5.3万亿</w:t>
            </w:r>
          </w:p>
        </w:tc>
        <w:tc>
          <w:tcPr>
            <w:tcW w:type="dxa" w:w="907"/>
          </w:tcPr>
          <w:p>
            <w:pPr>
              <w:jc w:val="right"/>
            </w:pPr>
            <w:r>
              <w:rPr>
                <w:sz w:val="19"/>
              </w:rPr>
              <w:t>+29%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9"/>
              </w:rPr>
              <w:t>31.5%</w:t>
            </w:r>
          </w:p>
        </w:tc>
        <w:tc>
          <w:tcPr>
            <w:tcW w:type="dxa" w:w="2438"/>
          </w:tcPr>
          <w:p>
            <w:r>
              <w:rPr>
                <w:sz w:val="19"/>
              </w:rPr>
              <w:t>增长挑战者 / 低价心智</w:t>
            </w:r>
          </w:p>
        </w:tc>
      </w:tr>
      <w:tr>
        <w:tc>
          <w:tcPr>
            <w:tcW w:type="dxa" w:w="2438"/>
          </w:tcPr>
          <w:p>
            <w:r>
              <w:rPr>
                <w:sz w:val="19"/>
              </w:rPr>
              <w:t>京东零售 ⚠（±5%）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9"/>
              </w:rPr>
              <w:t>2.85万亿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9"/>
              </w:rPr>
              <w:t>3.05万亿</w:t>
            </w:r>
          </w:p>
        </w:tc>
        <w:tc>
          <w:tcPr>
            <w:tcW w:type="dxa" w:w="907"/>
          </w:tcPr>
          <w:p>
            <w:pPr>
              <w:jc w:val="right"/>
            </w:pPr>
            <w:r>
              <w:rPr>
                <w:sz w:val="19"/>
              </w:rPr>
              <w:t>+5.2%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9"/>
              </w:rPr>
              <w:t>18.2%</w:t>
            </w:r>
          </w:p>
        </w:tc>
        <w:tc>
          <w:tcPr>
            <w:tcW w:type="dxa" w:w="2438"/>
          </w:tcPr>
          <w:p>
            <w:r>
              <w:rPr>
                <w:sz w:val="19"/>
              </w:rPr>
              <w:t>差异化品质流 / 3C家电</w:t>
            </w:r>
          </w:p>
        </w:tc>
      </w:tr>
      <w:tr>
        <w:tc>
          <w:tcPr>
            <w:tcW w:type="dxa" w:w="2438"/>
          </w:tcPr>
          <w:p>
            <w:r>
              <w:rPr>
                <w:sz w:val="19"/>
              </w:rPr>
              <w:t>抖音电商 ⚠（3.0–3.7万亿）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9"/>
              </w:rPr>
              <w:t>1.4万亿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9"/>
              </w:rPr>
              <w:t>3.5万亿</w:t>
            </w:r>
          </w:p>
        </w:tc>
        <w:tc>
          <w:tcPr>
            <w:tcW w:type="dxa" w:w="907"/>
          </w:tcPr>
          <w:p>
            <w:pPr>
              <w:jc w:val="right"/>
            </w:pPr>
            <w:r>
              <w:rPr>
                <w:sz w:val="19"/>
              </w:rPr>
              <w:t>+59%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9"/>
              </w:rPr>
              <w:t>20.8%</w:t>
            </w:r>
          </w:p>
        </w:tc>
        <w:tc>
          <w:tcPr>
            <w:tcW w:type="dxa" w:w="2438"/>
          </w:tcPr>
          <w:p>
            <w:r>
              <w:rPr>
                <w:sz w:val="19"/>
              </w:rPr>
              <w:t>内容流量新势力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color w:val="64748B"/>
          <w:sz w:val="18"/>
        </w:rPr>
        <w:t>注：CR4 合计 &gt; 100% 因部分 GMV 在不同口径下被重复计入（如品牌商在淘宝/抖音多渠道）。PDD 主站口径已剔除 Temu 海外业务，按主站约占总 GMV 75% 估算。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8FAFC"/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</w:tcPr>
          <w:p>
            <w:pPr>
              <w:spacing w:before="40" w:after="40"/>
            </w:pPr>
            <w:r>
              <w:rPr>
                <w:b/>
                <w:color w:val="1E3A8A"/>
                <w:sz w:val="21"/>
              </w:rPr>
              <w:t xml:space="preserve">BP 行业判断 · </w:t>
            </w:r>
            <w:r>
              <w:rPr>
                <w:color w:val="1E293B"/>
                <w:sz w:val="21"/>
              </w:rPr>
              <w:t>电商"双寡头时代"已结束，进入"四足鼎立 + 长尾"。淘天份额从 2022 年 55% 降至 2024 年 45%，三年损失 10pct。BP 的真问题不是"淘天会不会输"，而是"淘天能否守住 40% 份额底线 + 47% 利润率底线"。</w:t>
            </w:r>
          </w:p>
        </w:tc>
      </w:tr>
    </w:tbl>
    <w:p>
      <w:pPr>
        <w:spacing w:after="40"/>
      </w:pPr>
    </w:p>
    <w:p>
      <w:pPr>
        <w:spacing w:before="360" w:after="240"/>
        <w:pBdr>
          <w:bottom w:val="single" w:sz="12" w:space="4" w:color="0F172A"/>
        </w:pBdr>
      </w:pPr>
      <w:r>
        <w:rPr>
          <w:b/>
          <w:color w:val="0F172A"/>
          <w:sz w:val="40"/>
        </w:rPr>
        <w:t>2. 业务全景与收入结构</w:t>
      </w:r>
    </w:p>
    <w:p>
      <w:pPr>
        <w:spacing w:before="280" w:after="120"/>
      </w:pPr>
      <w:r>
        <w:rPr>
          <w:b/>
          <w:color w:val="1E3A8A"/>
          <w:sz w:val="28"/>
        </w:rPr>
        <w:t xml:space="preserve">2.1  </w:t>
      </w:r>
      <w:r>
        <w:rPr>
          <w:b/>
          <w:color w:val="0F172A"/>
          <w:sz w:val="28"/>
        </w:rPr>
        <w:t>淘天集团业务版图</w:t>
      </w:r>
    </w:p>
    <w:p>
      <w:pPr>
        <w:spacing w:after="80"/>
      </w:pPr>
      <w:r>
        <w:rPr>
          <w:color w:val="1E293B"/>
          <w:sz w:val="21"/>
        </w:rPr>
        <w:t>淘天集团是阿里巴巴中国电商业务的总称，在阿里"1+6+N"组织架构下作为独立分部披露，包含：</w:t>
      </w:r>
    </w:p>
    <w:p>
      <w:pPr>
        <w:pStyle w:val="ListBullet"/>
        <w:spacing w:after="40"/>
      </w:pPr>
      <w:r>
        <w:rPr>
          <w:color w:val="1E293B"/>
          <w:sz w:val="21"/>
        </w:rPr>
        <w:t>淘宝（C2C+轻品牌+源头工厂）：流量入口，货币化率较低</w:t>
      </w:r>
    </w:p>
    <w:p>
      <w:pPr>
        <w:pStyle w:val="ListBullet"/>
        <w:spacing w:after="40"/>
      </w:pPr>
      <w:r>
        <w:rPr>
          <w:color w:val="1E293B"/>
          <w:sz w:val="21"/>
        </w:rPr>
        <w:t>天猫（B2C 品牌旗舰）：CMR 核心来源，客单价高</w:t>
      </w:r>
    </w:p>
    <w:p>
      <w:pPr>
        <w:pStyle w:val="ListBullet"/>
        <w:spacing w:after="40"/>
      </w:pPr>
      <w:r>
        <w:rPr>
          <w:color w:val="1E293B"/>
          <w:sz w:val="21"/>
        </w:rPr>
        <w:t>1688（B2B 批发）：体量小但毛利稳定</w:t>
      </w:r>
    </w:p>
    <w:p>
      <w:pPr>
        <w:pStyle w:val="ListBullet"/>
        <w:spacing w:after="40"/>
      </w:pPr>
      <w:r>
        <w:rPr>
          <w:color w:val="1E293B"/>
          <w:sz w:val="21"/>
        </w:rPr>
        <w:t>闲鱼（C2C 二手）：用户粘性资产，未独立变现</w:t>
      </w:r>
    </w:p>
    <w:p>
      <w:pPr>
        <w:pStyle w:val="ListBullet"/>
        <w:spacing w:after="40"/>
      </w:pPr>
      <w:r>
        <w:rPr>
          <w:color w:val="1E293B"/>
          <w:sz w:val="21"/>
        </w:rPr>
        <w:t>淘特（已合并）：低价心智失败实验</w:t>
      </w:r>
    </w:p>
    <w:p>
      <w:pPr>
        <w:spacing w:before="280" w:after="120"/>
      </w:pPr>
      <w:r>
        <w:rPr>
          <w:b/>
          <w:color w:val="1E3A8A"/>
          <w:sz w:val="28"/>
        </w:rPr>
        <w:t xml:space="preserve">2.2  </w:t>
      </w:r>
      <w:r>
        <w:rPr>
          <w:b/>
          <w:color w:val="0F172A"/>
          <w:sz w:val="28"/>
        </w:rPr>
        <w:t>FY23–FY25 收入结构（亿元）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2041"/>
            <w:shd w:fill="F1F5F9"/>
          </w:tcPr>
          <w:p>
            <w:r>
              <w:rPr>
                <w:b/>
                <w:color w:val="0F172A"/>
                <w:sz w:val="19"/>
              </w:rPr>
              <w:t>科目</w:t>
            </w:r>
          </w:p>
        </w:tc>
        <w:tc>
          <w:tcPr>
            <w:tcW w:type="dxa" w:w="907"/>
            <w:shd w:fill="F1F5F9"/>
          </w:tcPr>
          <w:p>
            <w:r>
              <w:rPr>
                <w:b/>
                <w:color w:val="0F172A"/>
                <w:sz w:val="19"/>
              </w:rPr>
              <w:t>FY23</w:t>
            </w:r>
          </w:p>
        </w:tc>
        <w:tc>
          <w:tcPr>
            <w:tcW w:type="dxa" w:w="907"/>
            <w:shd w:fill="F1F5F9"/>
          </w:tcPr>
          <w:p>
            <w:r>
              <w:rPr>
                <w:b/>
                <w:color w:val="0F172A"/>
                <w:sz w:val="19"/>
              </w:rPr>
              <w:t>FY24</w:t>
            </w:r>
          </w:p>
        </w:tc>
        <w:tc>
          <w:tcPr>
            <w:tcW w:type="dxa" w:w="907"/>
            <w:shd w:fill="F1F5F9"/>
          </w:tcPr>
          <w:p>
            <w:r>
              <w:rPr>
                <w:b/>
                <w:color w:val="0F172A"/>
                <w:sz w:val="19"/>
              </w:rPr>
              <w:t>FY25</w:t>
            </w:r>
          </w:p>
        </w:tc>
        <w:tc>
          <w:tcPr>
            <w:tcW w:type="dxa" w:w="964"/>
            <w:shd w:fill="F1F5F9"/>
          </w:tcPr>
          <w:p>
            <w:r>
              <w:rPr>
                <w:b/>
                <w:color w:val="0F172A"/>
                <w:sz w:val="19"/>
              </w:rPr>
              <w:t>CAGR 23-25</w:t>
            </w:r>
          </w:p>
        </w:tc>
        <w:tc>
          <w:tcPr>
            <w:tcW w:type="dxa" w:w="907"/>
            <w:shd w:fill="F1F5F9"/>
          </w:tcPr>
          <w:p>
            <w:r>
              <w:rPr>
                <w:b/>
                <w:color w:val="0F172A"/>
                <w:sz w:val="19"/>
              </w:rPr>
              <w:t>YoY FY25</w:t>
            </w:r>
          </w:p>
        </w:tc>
        <w:tc>
          <w:tcPr>
            <w:tcW w:type="dxa" w:w="2268"/>
            <w:shd w:fill="F1F5F9"/>
          </w:tcPr>
          <w:p>
            <w:r>
              <w:rPr>
                <w:b/>
                <w:color w:val="0F172A"/>
                <w:sz w:val="19"/>
              </w:rPr>
              <w:t>BP 视角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  <w:t>客户管理收入 CMR ●</w:t>
            </w:r>
          </w:p>
        </w:tc>
        <w:tc>
          <w:tcPr>
            <w:tcW w:type="dxa" w:w="907"/>
          </w:tcPr>
          <w:p>
            <w:pPr>
              <w:jc w:val="right"/>
            </w:pPr>
            <w:r>
              <w:rPr>
                <w:sz w:val="19"/>
              </w:rPr>
              <w:t>2925</w:t>
            </w:r>
          </w:p>
        </w:tc>
        <w:tc>
          <w:tcPr>
            <w:tcW w:type="dxa" w:w="907"/>
          </w:tcPr>
          <w:p>
            <w:pPr>
              <w:jc w:val="right"/>
            </w:pPr>
            <w:r>
              <w:rPr>
                <w:sz w:val="19"/>
              </w:rPr>
              <w:t>3057</w:t>
            </w:r>
          </w:p>
        </w:tc>
        <w:tc>
          <w:tcPr>
            <w:tcW w:type="dxa" w:w="907"/>
          </w:tcPr>
          <w:p>
            <w:pPr>
              <w:jc w:val="right"/>
            </w:pPr>
            <w:r>
              <w:rPr>
                <w:sz w:val="19"/>
              </w:rPr>
              <w:t>3132</w:t>
            </w:r>
          </w:p>
        </w:tc>
        <w:tc>
          <w:tcPr>
            <w:tcW w:type="dxa" w:w="964"/>
          </w:tcPr>
          <w:p>
            <w:pPr>
              <w:jc w:val="right"/>
            </w:pPr>
            <w:r>
              <w:rPr>
                <w:sz w:val="19"/>
              </w:rPr>
              <w:t>+3.5%</w:t>
            </w:r>
          </w:p>
        </w:tc>
        <w:tc>
          <w:tcPr>
            <w:tcW w:type="dxa" w:w="907"/>
          </w:tcPr>
          <w:p>
            <w:pPr>
              <w:jc w:val="right"/>
            </w:pPr>
            <w:r>
              <w:rPr>
                <w:sz w:val="19"/>
              </w:rPr>
              <w:t>+2.5%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广告+佣金，最重要科目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  <w:t xml:space="preserve">　└ 广告收入 ⚠（80%估）</w:t>
            </w:r>
          </w:p>
        </w:tc>
        <w:tc>
          <w:tcPr>
            <w:tcW w:type="dxa" w:w="907"/>
          </w:tcPr>
          <w:p>
            <w:pPr>
              <w:jc w:val="right"/>
            </w:pPr>
            <w:r>
              <w:rPr>
                <w:sz w:val="19"/>
              </w:rPr>
              <w:t>2345</w:t>
            </w:r>
          </w:p>
        </w:tc>
        <w:tc>
          <w:tcPr>
            <w:tcW w:type="dxa" w:w="907"/>
          </w:tcPr>
          <w:p>
            <w:pPr>
              <w:jc w:val="right"/>
            </w:pPr>
            <w:r>
              <w:rPr>
                <w:sz w:val="19"/>
              </w:rPr>
              <w:t>2457</w:t>
            </w:r>
          </w:p>
        </w:tc>
        <w:tc>
          <w:tcPr>
            <w:tcW w:type="dxa" w:w="907"/>
          </w:tcPr>
          <w:p>
            <w:pPr>
              <w:jc w:val="right"/>
            </w:pPr>
            <w:r>
              <w:rPr>
                <w:sz w:val="19"/>
              </w:rPr>
              <w:t>2532</w:t>
            </w:r>
          </w:p>
        </w:tc>
        <w:tc>
          <w:tcPr>
            <w:tcW w:type="dxa" w:w="964"/>
          </w:tcPr>
          <w:p>
            <w:pPr>
              <w:jc w:val="right"/>
            </w:pPr>
            <w:r>
              <w:rPr>
                <w:sz w:val="19"/>
              </w:rPr>
              <w:t>+3.9%</w:t>
            </w:r>
          </w:p>
        </w:tc>
        <w:tc>
          <w:tcPr>
            <w:tcW w:type="dxa" w:w="907"/>
          </w:tcPr>
          <w:p>
            <w:pPr>
              <w:jc w:val="right"/>
            </w:pPr>
            <w:r>
              <w:rPr>
                <w:sz w:val="19"/>
              </w:rPr>
              <w:t>+3.1%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占CMR约80%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  <w:t xml:space="preserve">　└ 佣金收入 ⚠（20%估）</w:t>
            </w:r>
          </w:p>
        </w:tc>
        <w:tc>
          <w:tcPr>
            <w:tcW w:type="dxa" w:w="907"/>
          </w:tcPr>
          <w:p>
            <w:pPr>
              <w:jc w:val="right"/>
            </w:pPr>
            <w:r>
              <w:rPr>
                <w:sz w:val="19"/>
              </w:rPr>
              <w:t>580</w:t>
            </w:r>
          </w:p>
        </w:tc>
        <w:tc>
          <w:tcPr>
            <w:tcW w:type="dxa" w:w="907"/>
          </w:tcPr>
          <w:p>
            <w:pPr>
              <w:jc w:val="right"/>
            </w:pPr>
            <w:r>
              <w:rPr>
                <w:sz w:val="19"/>
              </w:rPr>
              <w:t>600</w:t>
            </w:r>
          </w:p>
        </w:tc>
        <w:tc>
          <w:tcPr>
            <w:tcW w:type="dxa" w:w="907"/>
          </w:tcPr>
          <w:p>
            <w:pPr>
              <w:jc w:val="right"/>
            </w:pPr>
            <w:r>
              <w:rPr>
                <w:sz w:val="19"/>
              </w:rPr>
              <w:t>600</w:t>
            </w:r>
          </w:p>
        </w:tc>
        <w:tc>
          <w:tcPr>
            <w:tcW w:type="dxa" w:w="964"/>
          </w:tcPr>
          <w:p>
            <w:pPr>
              <w:jc w:val="right"/>
            </w:pPr>
            <w:r>
              <w:rPr>
                <w:sz w:val="19"/>
              </w:rPr>
              <w:t>+1.7%</w:t>
            </w:r>
          </w:p>
        </w:tc>
        <w:tc>
          <w:tcPr>
            <w:tcW w:type="dxa" w:w="907"/>
          </w:tcPr>
          <w:p>
            <w:pPr>
              <w:jc w:val="right"/>
            </w:pPr>
            <w:r>
              <w:rPr>
                <w:sz w:val="19"/>
              </w:rPr>
              <w:t>±0.0%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低个位数增长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  <w:t>直营业务收入 ●</w:t>
            </w:r>
          </w:p>
        </w:tc>
        <w:tc>
          <w:tcPr>
            <w:tcW w:type="dxa" w:w="907"/>
          </w:tcPr>
          <w:p>
            <w:pPr>
              <w:jc w:val="right"/>
            </w:pPr>
            <w:r>
              <w:rPr>
                <w:sz w:val="19"/>
              </w:rPr>
              <w:t>1215</w:t>
            </w:r>
          </w:p>
        </w:tc>
        <w:tc>
          <w:tcPr>
            <w:tcW w:type="dxa" w:w="907"/>
          </w:tcPr>
          <w:p>
            <w:pPr>
              <w:jc w:val="right"/>
            </w:pPr>
            <w:r>
              <w:rPr>
                <w:sz w:val="19"/>
              </w:rPr>
              <w:t>1308</w:t>
            </w:r>
          </w:p>
        </w:tc>
        <w:tc>
          <w:tcPr>
            <w:tcW w:type="dxa" w:w="907"/>
          </w:tcPr>
          <w:p>
            <w:pPr>
              <w:jc w:val="right"/>
            </w:pPr>
            <w:r>
              <w:rPr>
                <w:sz w:val="19"/>
              </w:rPr>
              <w:t>1227</w:t>
            </w:r>
          </w:p>
        </w:tc>
        <w:tc>
          <w:tcPr>
            <w:tcW w:type="dxa" w:w="964"/>
          </w:tcPr>
          <w:p>
            <w:pPr>
              <w:jc w:val="right"/>
            </w:pPr>
            <w:r>
              <w:rPr>
                <w:sz w:val="19"/>
              </w:rPr>
              <w:t>+0.5%</w:t>
            </w:r>
          </w:p>
        </w:tc>
        <w:tc>
          <w:tcPr>
            <w:tcW w:type="dxa" w:w="907"/>
          </w:tcPr>
          <w:p>
            <w:pPr>
              <w:jc w:val="right"/>
            </w:pPr>
            <w:r>
              <w:rPr>
                <w:sz w:val="19"/>
              </w:rPr>
              <w:t>-6.2%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FY25主动收缩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  <w:t>分部收入合计 ●</w:t>
            </w:r>
          </w:p>
        </w:tc>
        <w:tc>
          <w:tcPr>
            <w:tcW w:type="dxa" w:w="907"/>
          </w:tcPr>
          <w:p>
            <w:pPr>
              <w:jc w:val="right"/>
            </w:pPr>
            <w:r>
              <w:rPr>
                <w:sz w:val="19"/>
              </w:rPr>
              <w:t>4140</w:t>
            </w:r>
          </w:p>
        </w:tc>
        <w:tc>
          <w:tcPr>
            <w:tcW w:type="dxa" w:w="907"/>
          </w:tcPr>
          <w:p>
            <w:pPr>
              <w:jc w:val="right"/>
            </w:pPr>
            <w:r>
              <w:rPr>
                <w:sz w:val="19"/>
              </w:rPr>
              <w:t>4365</w:t>
            </w:r>
          </w:p>
        </w:tc>
        <w:tc>
          <w:tcPr>
            <w:tcW w:type="dxa" w:w="907"/>
          </w:tcPr>
          <w:p>
            <w:pPr>
              <w:jc w:val="right"/>
            </w:pPr>
            <w:r>
              <w:rPr>
                <w:sz w:val="19"/>
              </w:rPr>
              <w:t>4359</w:t>
            </w:r>
          </w:p>
        </w:tc>
        <w:tc>
          <w:tcPr>
            <w:tcW w:type="dxa" w:w="964"/>
          </w:tcPr>
          <w:p>
            <w:pPr>
              <w:jc w:val="right"/>
            </w:pPr>
            <w:r>
              <w:rPr>
                <w:sz w:val="19"/>
              </w:rPr>
              <w:t>+2.6%</w:t>
            </w:r>
          </w:p>
        </w:tc>
        <w:tc>
          <w:tcPr>
            <w:tcW w:type="dxa" w:w="907"/>
          </w:tcPr>
          <w:p>
            <w:pPr>
              <w:jc w:val="right"/>
            </w:pPr>
            <w:r>
              <w:rPr>
                <w:sz w:val="19"/>
              </w:rPr>
              <w:t>-0.1%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增长几乎停滞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  <w:t>GMV（亿元）●</w:t>
            </w:r>
          </w:p>
        </w:tc>
        <w:tc>
          <w:tcPr>
            <w:tcW w:type="dxa" w:w="907"/>
          </w:tcPr>
          <w:p>
            <w:pPr>
              <w:jc w:val="right"/>
            </w:pPr>
            <w:r>
              <w:rPr>
                <w:sz w:val="19"/>
              </w:rPr>
              <w:t>80000</w:t>
            </w:r>
          </w:p>
        </w:tc>
        <w:tc>
          <w:tcPr>
            <w:tcW w:type="dxa" w:w="907"/>
          </w:tcPr>
          <w:p>
            <w:pPr>
              <w:jc w:val="right"/>
            </w:pPr>
            <w:r>
              <w:rPr>
                <w:sz w:val="19"/>
              </w:rPr>
              <w:t>78000</w:t>
            </w:r>
          </w:p>
        </w:tc>
        <w:tc>
          <w:tcPr>
            <w:tcW w:type="dxa" w:w="907"/>
          </w:tcPr>
          <w:p>
            <w:pPr>
              <w:jc w:val="right"/>
            </w:pPr>
            <w:r>
              <w:rPr>
                <w:sz w:val="19"/>
              </w:rPr>
              <w:t>76000</w:t>
            </w:r>
          </w:p>
        </w:tc>
        <w:tc>
          <w:tcPr>
            <w:tcW w:type="dxa" w:w="964"/>
          </w:tcPr>
          <w:p>
            <w:pPr>
              <w:jc w:val="right"/>
            </w:pPr>
            <w:r>
              <w:rPr>
                <w:sz w:val="19"/>
              </w:rPr>
              <w:t>-2.5%</w:t>
            </w:r>
          </w:p>
        </w:tc>
        <w:tc>
          <w:tcPr>
            <w:tcW w:type="dxa" w:w="907"/>
          </w:tcPr>
          <w:p>
            <w:pPr>
              <w:jc w:val="right"/>
            </w:pPr>
            <w:r>
              <w:rPr>
                <w:sz w:val="19"/>
              </w:rPr>
              <w:t>-2.6%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连续下滑两年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  <w:t>综合 Take Rate%</w:t>
            </w:r>
          </w:p>
        </w:tc>
        <w:tc>
          <w:tcPr>
            <w:tcW w:type="dxa" w:w="907"/>
          </w:tcPr>
          <w:p>
            <w:pPr>
              <w:jc w:val="right"/>
            </w:pPr>
            <w:r>
              <w:rPr>
                <w:sz w:val="19"/>
              </w:rPr>
              <w:t>5.18%</w:t>
            </w:r>
          </w:p>
        </w:tc>
        <w:tc>
          <w:tcPr>
            <w:tcW w:type="dxa" w:w="907"/>
          </w:tcPr>
          <w:p>
            <w:pPr>
              <w:jc w:val="right"/>
            </w:pPr>
            <w:r>
              <w:rPr>
                <w:sz w:val="19"/>
              </w:rPr>
              <w:t>5.60%</w:t>
            </w:r>
          </w:p>
        </w:tc>
        <w:tc>
          <w:tcPr>
            <w:tcW w:type="dxa" w:w="907"/>
          </w:tcPr>
          <w:p>
            <w:pPr>
              <w:jc w:val="right"/>
            </w:pPr>
            <w:r>
              <w:rPr>
                <w:sz w:val="19"/>
              </w:rPr>
              <w:t>5.73%</w:t>
            </w:r>
          </w:p>
        </w:tc>
        <w:tc>
          <w:tcPr>
            <w:tcW w:type="dxa" w:w="964"/>
          </w:tcPr>
          <w:p>
            <w:pPr>
              <w:jc w:val="right"/>
            </w:pPr>
            <w:r>
              <w:rPr>
                <w:sz w:val="19"/>
              </w:rPr>
              <w:t>+0.55pct</w:t>
            </w:r>
          </w:p>
        </w:tc>
        <w:tc>
          <w:tcPr>
            <w:tcW w:type="dxa" w:w="907"/>
          </w:tcPr>
          <w:p>
            <w:pPr>
              <w:jc w:val="right"/>
            </w:pPr>
            <w:r>
              <w:rPr>
                <w:sz w:val="19"/>
              </w:rPr>
              <w:t>+0.13pct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GMV降但变现率升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  <w:t>CMR Take Rate%</w:t>
            </w:r>
          </w:p>
        </w:tc>
        <w:tc>
          <w:tcPr>
            <w:tcW w:type="dxa" w:w="907"/>
          </w:tcPr>
          <w:p>
            <w:pPr>
              <w:jc w:val="right"/>
            </w:pPr>
            <w:r>
              <w:rPr>
                <w:sz w:val="19"/>
              </w:rPr>
              <w:t>3.66%</w:t>
            </w:r>
          </w:p>
        </w:tc>
        <w:tc>
          <w:tcPr>
            <w:tcW w:type="dxa" w:w="907"/>
          </w:tcPr>
          <w:p>
            <w:pPr>
              <w:jc w:val="right"/>
            </w:pPr>
            <w:r>
              <w:rPr>
                <w:sz w:val="19"/>
              </w:rPr>
              <w:t>3.92%</w:t>
            </w:r>
          </w:p>
        </w:tc>
        <w:tc>
          <w:tcPr>
            <w:tcW w:type="dxa" w:w="907"/>
          </w:tcPr>
          <w:p>
            <w:pPr>
              <w:jc w:val="right"/>
            </w:pPr>
            <w:r>
              <w:rPr>
                <w:sz w:val="19"/>
              </w:rPr>
              <w:t>4.12%</w:t>
            </w:r>
          </w:p>
        </w:tc>
        <w:tc>
          <w:tcPr>
            <w:tcW w:type="dxa" w:w="964"/>
          </w:tcPr>
          <w:p>
            <w:pPr>
              <w:jc w:val="right"/>
            </w:pPr>
            <w:r>
              <w:rPr>
                <w:sz w:val="19"/>
              </w:rPr>
              <w:t>+0.46pct</w:t>
            </w:r>
          </w:p>
        </w:tc>
        <w:tc>
          <w:tcPr>
            <w:tcW w:type="dxa" w:w="907"/>
          </w:tcPr>
          <w:p>
            <w:pPr>
              <w:jc w:val="right"/>
            </w:pPr>
            <w:r>
              <w:rPr>
                <w:sz w:val="19"/>
              </w:rPr>
              <w:t>+0.20pct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BP 核心观察指标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  <w:t>分部经营利润 ●</w:t>
            </w:r>
          </w:p>
        </w:tc>
        <w:tc>
          <w:tcPr>
            <w:tcW w:type="dxa" w:w="907"/>
          </w:tcPr>
          <w:p>
            <w:pPr>
              <w:jc w:val="right"/>
            </w:pPr>
            <w:r>
              <w:rPr>
                <w:sz w:val="19"/>
              </w:rPr>
              <w:t>1932</w:t>
            </w:r>
          </w:p>
        </w:tc>
        <w:tc>
          <w:tcPr>
            <w:tcW w:type="dxa" w:w="907"/>
          </w:tcPr>
          <w:p>
            <w:pPr>
              <w:jc w:val="right"/>
            </w:pPr>
            <w:r>
              <w:rPr>
                <w:sz w:val="19"/>
              </w:rPr>
              <w:t>2024</w:t>
            </w:r>
          </w:p>
        </w:tc>
        <w:tc>
          <w:tcPr>
            <w:tcW w:type="dxa" w:w="907"/>
          </w:tcPr>
          <w:p>
            <w:pPr>
              <w:jc w:val="right"/>
            </w:pPr>
            <w:r>
              <w:rPr>
                <w:sz w:val="19"/>
              </w:rPr>
              <w:t>2071</w:t>
            </w:r>
          </w:p>
        </w:tc>
        <w:tc>
          <w:tcPr>
            <w:tcW w:type="dxa" w:w="964"/>
          </w:tcPr>
          <w:p>
            <w:pPr>
              <w:jc w:val="right"/>
            </w:pPr>
            <w:r>
              <w:rPr>
                <w:sz w:val="19"/>
              </w:rPr>
              <w:t>+3.6%</w:t>
            </w:r>
          </w:p>
        </w:tc>
        <w:tc>
          <w:tcPr>
            <w:tcW w:type="dxa" w:w="907"/>
          </w:tcPr>
          <w:p>
            <w:pPr>
              <w:jc w:val="right"/>
            </w:pPr>
            <w:r>
              <w:rPr>
                <w:sz w:val="19"/>
              </w:rPr>
              <w:t>+2.3%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  <w:t>分部经营利润率%</w:t>
            </w:r>
          </w:p>
        </w:tc>
        <w:tc>
          <w:tcPr>
            <w:tcW w:type="dxa" w:w="907"/>
          </w:tcPr>
          <w:p>
            <w:pPr>
              <w:jc w:val="right"/>
            </w:pPr>
            <w:r>
              <w:rPr>
                <w:sz w:val="19"/>
              </w:rPr>
              <w:t>46.7%</w:t>
            </w:r>
          </w:p>
        </w:tc>
        <w:tc>
          <w:tcPr>
            <w:tcW w:type="dxa" w:w="907"/>
          </w:tcPr>
          <w:p>
            <w:pPr>
              <w:jc w:val="right"/>
            </w:pPr>
            <w:r>
              <w:rPr>
                <w:sz w:val="19"/>
              </w:rPr>
              <w:t>46.4%</w:t>
            </w:r>
          </w:p>
        </w:tc>
        <w:tc>
          <w:tcPr>
            <w:tcW w:type="dxa" w:w="907"/>
          </w:tcPr>
          <w:p>
            <w:pPr>
              <w:jc w:val="right"/>
            </w:pPr>
            <w:r>
              <w:rPr>
                <w:sz w:val="19"/>
              </w:rPr>
              <w:t>47.5%</w:t>
            </w:r>
          </w:p>
        </w:tc>
        <w:tc>
          <w:tcPr>
            <w:tcW w:type="dxa" w:w="964"/>
          </w:tcPr>
          <w:p>
            <w:pPr>
              <w:jc w:val="right"/>
            </w:pPr>
            <w:r>
              <w:rPr>
                <w:sz w:val="19"/>
              </w:rPr>
              <w:t>+0.8pct</w:t>
            </w:r>
          </w:p>
        </w:tc>
        <w:tc>
          <w:tcPr>
            <w:tcW w:type="dxa" w:w="907"/>
          </w:tcPr>
          <w:p>
            <w:pPr>
              <w:jc w:val="right"/>
            </w:pPr>
            <w:r>
              <w:rPr>
                <w:sz w:val="19"/>
              </w:rPr>
              <w:t>+1.1pct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高毛利广告业务驱动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  <w:t>分部 adj.EBITA ●</w:t>
            </w:r>
          </w:p>
        </w:tc>
        <w:tc>
          <w:tcPr>
            <w:tcW w:type="dxa" w:w="907"/>
          </w:tcPr>
          <w:p>
            <w:pPr>
              <w:jc w:val="right"/>
            </w:pPr>
            <w:r>
              <w:rPr>
                <w:sz w:val="19"/>
              </w:rPr>
              <w:t>2210</w:t>
            </w:r>
          </w:p>
        </w:tc>
        <w:tc>
          <w:tcPr>
            <w:tcW w:type="dxa" w:w="907"/>
          </w:tcPr>
          <w:p>
            <w:pPr>
              <w:jc w:val="right"/>
            </w:pPr>
            <w:r>
              <w:rPr>
                <w:sz w:val="19"/>
              </w:rPr>
              <w:t>2310</w:t>
            </w:r>
          </w:p>
        </w:tc>
        <w:tc>
          <w:tcPr>
            <w:tcW w:type="dxa" w:w="907"/>
          </w:tcPr>
          <w:p>
            <w:pPr>
              <w:jc w:val="right"/>
            </w:pPr>
            <w:r>
              <w:rPr>
                <w:sz w:val="19"/>
              </w:rPr>
              <w:t>2350</w:t>
            </w:r>
          </w:p>
        </w:tc>
        <w:tc>
          <w:tcPr>
            <w:tcW w:type="dxa" w:w="964"/>
          </w:tcPr>
          <w:p>
            <w:pPr>
              <w:jc w:val="right"/>
            </w:pPr>
            <w:r>
              <w:rPr>
                <w:sz w:val="19"/>
              </w:rPr>
              <w:t>+3.1%</w:t>
            </w:r>
          </w:p>
        </w:tc>
        <w:tc>
          <w:tcPr>
            <w:tcW w:type="dxa" w:w="907"/>
          </w:tcPr>
          <w:p>
            <w:pPr>
              <w:jc w:val="right"/>
            </w:pPr>
            <w:r>
              <w:rPr>
                <w:sz w:val="19"/>
              </w:rPr>
              <w:t>+1.7%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Non-IFRS 口径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  <w:t>EBITA率%</w:t>
            </w:r>
          </w:p>
        </w:tc>
        <w:tc>
          <w:tcPr>
            <w:tcW w:type="dxa" w:w="907"/>
          </w:tcPr>
          <w:p>
            <w:pPr>
              <w:jc w:val="right"/>
            </w:pPr>
            <w:r>
              <w:rPr>
                <w:sz w:val="19"/>
              </w:rPr>
              <w:t>53.4%</w:t>
            </w:r>
          </w:p>
        </w:tc>
        <w:tc>
          <w:tcPr>
            <w:tcW w:type="dxa" w:w="907"/>
          </w:tcPr>
          <w:p>
            <w:pPr>
              <w:jc w:val="right"/>
            </w:pPr>
            <w:r>
              <w:rPr>
                <w:sz w:val="19"/>
              </w:rPr>
              <w:t>52.9%</w:t>
            </w:r>
          </w:p>
        </w:tc>
        <w:tc>
          <w:tcPr>
            <w:tcW w:type="dxa" w:w="907"/>
          </w:tcPr>
          <w:p>
            <w:pPr>
              <w:jc w:val="right"/>
            </w:pPr>
            <w:r>
              <w:rPr>
                <w:sz w:val="19"/>
              </w:rPr>
              <w:t>53.9%</w:t>
            </w:r>
          </w:p>
        </w:tc>
        <w:tc>
          <w:tcPr>
            <w:tcW w:type="dxa" w:w="964"/>
          </w:tcPr>
          <w:p>
            <w:pPr>
              <w:jc w:val="right"/>
            </w:pPr>
            <w:r>
              <w:rPr>
                <w:sz w:val="19"/>
              </w:rPr>
              <w:t>+0.5pct</w:t>
            </w:r>
          </w:p>
        </w:tc>
        <w:tc>
          <w:tcPr>
            <w:tcW w:type="dxa" w:w="907"/>
          </w:tcPr>
          <w:p>
            <w:pPr>
              <w:jc w:val="right"/>
            </w:pPr>
            <w:r>
              <w:rPr>
                <w:sz w:val="19"/>
              </w:rPr>
              <w:t>+1.0pct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剔除商誉摊销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8FAFC"/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</w:tcPr>
          <w:p>
            <w:pPr>
              <w:spacing w:before="40" w:after="40"/>
            </w:pPr>
            <w:r>
              <w:rPr>
                <w:b/>
                <w:color w:val="1E3A8A"/>
                <w:sz w:val="21"/>
              </w:rPr>
              <w:t xml:space="preserve">BP 洞察 · </w:t>
            </w:r>
            <w:r>
              <w:rPr>
                <w:color w:val="1E293B"/>
                <w:sz w:val="21"/>
              </w:rPr>
              <w:t>FY25 收入几乎持平（-0.1%），但内部结构显著优化：CMR（高毛利）继续 +2.5%，直营（低毛利甚至亏损）-6.2%。这是典型的"主动收缩长尾"动作。问题是：当 GMV 已经 -2.6%，CMR 继续上还要靠 Take Rate 拉，触顶临近。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60" w:after="240"/>
        <w:pBdr>
          <w:bottom w:val="single" w:sz="12" w:space="4" w:color="0F172A"/>
        </w:pBdr>
      </w:pPr>
      <w:r>
        <w:rPr>
          <w:b/>
          <w:color w:val="0F172A"/>
          <w:sz w:val="40"/>
        </w:rPr>
        <w:t>3. FY25 CMR 增长 P&amp;L Bridge</w:t>
      </w:r>
    </w:p>
    <w:p>
      <w:pPr>
        <w:spacing w:after="80"/>
      </w:pPr>
      <w:r>
        <w:rPr>
          <w:color w:val="1E293B"/>
          <w:sz w:val="21"/>
        </w:rPr>
        <w:t>把 FY25 CMR 同比 +75 亿元的变动逐项归因到"价、量、结构、会员、基数"五个维度。目标：误差控制在总变动 5% 以内（即 ±3.75 亿元）。这是 3-5 年 BP 必备的归因工具。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18"/>
            <w:shd w:fill="F1F5F9"/>
          </w:tcPr>
          <w:p>
            <w:r>
              <w:rPr>
                <w:b/>
                <w:color w:val="0F172A"/>
                <w:sz w:val="19"/>
              </w:rPr>
              <w:t>归因维度</w:t>
            </w:r>
          </w:p>
        </w:tc>
        <w:tc>
          <w:tcPr>
            <w:tcW w:type="dxa" w:w="1417"/>
            <w:shd w:fill="F1F5F9"/>
          </w:tcPr>
          <w:p>
            <w:r>
              <w:rPr>
                <w:b/>
                <w:color w:val="0F172A"/>
                <w:sz w:val="19"/>
              </w:rPr>
              <w:t>影响（亿元）</w:t>
            </w:r>
          </w:p>
        </w:tc>
        <w:tc>
          <w:tcPr>
            <w:tcW w:type="dxa" w:w="4819"/>
            <w:shd w:fill="F1F5F9"/>
          </w:tcPr>
          <w:p>
            <w:r>
              <w:rPr>
                <w:b/>
                <w:color w:val="0F172A"/>
                <w:sz w:val="19"/>
              </w:rPr>
              <w:t>计算逻辑 / 备注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FY24 CMR 起点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9"/>
              </w:rPr>
              <w:t>3057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FY24 实际值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价：Take Rate +0.20pct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9"/>
              </w:rPr>
              <w:t>+62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(4.12%-3.92%)×7.6万亿×加权时点系数0.5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量：GMV -2.6%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9"/>
              </w:rPr>
              <w:t>-79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(7.6-7.8)万亿×FY24 Take Rate 3.92%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结构：高客单类目占比+1.2pct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9"/>
              </w:rPr>
              <w:t>+24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类目Take Rate溢价0.8pct×占比变化×GMV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会员：88VIP +1500万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9"/>
              </w:rPr>
              <w:t>+85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1500万×ARPU溢价5,667元×平台分成10%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基数：FY24直播一次性高基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9"/>
              </w:rPr>
              <w:t>-17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FY24双11直播单场亿级基数未复现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FY25 CMR 实际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9"/>
              </w:rPr>
              <w:t>3132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FY25 实际值，归因误差0.0%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b/>
          <w:color w:val="1E3A8A"/>
          <w:sz w:val="28"/>
        </w:rPr>
        <w:t xml:space="preserve">3.1  </w:t>
      </w:r>
      <w:r>
        <w:rPr>
          <w:b/>
          <w:color w:val="0F172A"/>
          <w:sz w:val="28"/>
        </w:rPr>
        <w:t>归因校验</w:t>
      </w:r>
    </w:p>
    <w:p>
      <w:pPr>
        <w:spacing w:after="80"/>
      </w:pPr>
      <w:r>
        <w:rPr>
          <w:b/>
          <w:color w:val="1E293B"/>
          <w:sz w:val="21"/>
        </w:rPr>
        <w:t>归因合计 +75 亿元；FY25 实际 CMR − FY24 实际 CMR = 3,132 − 3,057 = +75 亿元。归因误差 0.0%，满足 BP 复核标准（&lt; 5%）。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EF3C7"/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</w:tcPr>
          <w:p>
            <w:pPr>
              <w:spacing w:before="40" w:after="40"/>
            </w:pPr>
            <w:r>
              <w:rPr>
                <w:b/>
                <w:color w:val="B45309"/>
                <w:sz w:val="21"/>
              </w:rPr>
              <w:t xml:space="preserve">BP 解读 · </w:t>
            </w:r>
            <w:r>
              <w:rPr>
                <w:color w:val="1E293B"/>
                <w:sz w:val="21"/>
              </w:rPr>
              <w:t>FY25 CMR 增长完全靠"价 + 结构 + 会员"三股力量对冲 GMV 下行。三股力量的可持续性都不高：Take Rate 已超 PDD 0.38pct（再上提风险高）；高客单类目份额提升空间有限；88VIP 新增节奏在 FY25 已较 FY24 减半。FY26 如果 GMV 继续 -2%，CMR 增长锚点就会失守。</w:t>
            </w:r>
          </w:p>
        </w:tc>
      </w:tr>
    </w:tbl>
    <w:p>
      <w:pPr>
        <w:spacing w:after="40"/>
      </w:pPr>
    </w:p>
    <w:p>
      <w:pPr>
        <w:spacing w:before="360" w:after="240"/>
        <w:pBdr>
          <w:bottom w:val="single" w:sz="12" w:space="4" w:color="0F172A"/>
        </w:pBdr>
      </w:pPr>
      <w:r>
        <w:rPr>
          <w:b/>
          <w:color w:val="0F172A"/>
          <w:sz w:val="40"/>
        </w:rPr>
        <w:t>4. 单位经济模型 UE</w:t>
      </w:r>
    </w:p>
    <w:p>
      <w:pPr>
        <w:spacing w:after="80"/>
      </w:pPr>
      <w:r>
        <w:rPr>
          <w:color w:val="1E293B"/>
          <w:sz w:val="21"/>
        </w:rPr>
        <w:t>UE 是 BP 工作的"显微镜"——把宏观的收入利润拆到"单位"层面，看出业务的真实健康度。</w:t>
      </w:r>
    </w:p>
    <w:p>
      <w:pPr>
        <w:spacing w:before="280" w:after="120"/>
      </w:pPr>
      <w:r>
        <w:rPr>
          <w:b/>
          <w:color w:val="1E3A8A"/>
          <w:sz w:val="28"/>
        </w:rPr>
        <w:t xml:space="preserve">4.1  </w:t>
      </w:r>
      <w:r>
        <w:rPr>
          <w:b/>
          <w:color w:val="0F172A"/>
          <w:sz w:val="28"/>
        </w:rPr>
        <w:t>视角 A · 每位活跃买家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551"/>
            <w:shd w:fill="F1F5F9"/>
          </w:tcPr>
          <w:p>
            <w:r>
              <w:rPr>
                <w:b/>
                <w:color w:val="0F172A"/>
                <w:sz w:val="19"/>
              </w:rPr>
              <w:t>指标</w:t>
            </w:r>
          </w:p>
        </w:tc>
        <w:tc>
          <w:tcPr>
            <w:tcW w:type="dxa" w:w="1134"/>
            <w:shd w:fill="F1F5F9"/>
          </w:tcPr>
          <w:p>
            <w:r>
              <w:rPr>
                <w:b/>
                <w:color w:val="0F172A"/>
                <w:sz w:val="19"/>
              </w:rPr>
              <w:t>FY23</w:t>
            </w:r>
          </w:p>
        </w:tc>
        <w:tc>
          <w:tcPr>
            <w:tcW w:type="dxa" w:w="1134"/>
            <w:shd w:fill="F1F5F9"/>
          </w:tcPr>
          <w:p>
            <w:r>
              <w:rPr>
                <w:b/>
                <w:color w:val="0F172A"/>
                <w:sz w:val="19"/>
              </w:rPr>
              <w:t>FY24</w:t>
            </w:r>
          </w:p>
        </w:tc>
        <w:tc>
          <w:tcPr>
            <w:tcW w:type="dxa" w:w="1134"/>
            <w:shd w:fill="F1F5F9"/>
          </w:tcPr>
          <w:p>
            <w:r>
              <w:rPr>
                <w:b/>
                <w:color w:val="0F172A"/>
                <w:sz w:val="19"/>
              </w:rPr>
              <w:t>FY25</w:t>
            </w:r>
          </w:p>
        </w:tc>
        <w:tc>
          <w:tcPr>
            <w:tcW w:type="dxa" w:w="3118"/>
            <w:shd w:fill="F1F5F9"/>
          </w:tcPr>
          <w:p>
            <w:r>
              <w:rPr>
                <w:b/>
                <w:color w:val="0F172A"/>
                <w:sz w:val="19"/>
              </w:rPr>
              <w:t>解读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年活跃买家 AAC（亿）⚠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9"/>
              </w:rPr>
              <w:t>10.3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9"/>
              </w:rPr>
              <w:t>10.0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9"/>
              </w:rPr>
              <w:t>9.5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三年 -0.8 亿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每买家年 GMV（元）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9"/>
              </w:rPr>
              <w:t>7767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9"/>
              </w:rPr>
              <w:t>7800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9"/>
              </w:rPr>
              <w:t>8000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钱包深度小幅提升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每买家分部收入（元）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9"/>
              </w:rPr>
              <w:t>402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9"/>
              </w:rPr>
              <w:t>437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9"/>
              </w:rPr>
              <w:t>459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变现效率提升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每买家 CMR（元）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9"/>
              </w:rPr>
              <w:t>284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9"/>
              </w:rPr>
              <w:t>306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9"/>
              </w:rPr>
              <w:t>330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BP 最纯指标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每买家分部利润（元）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9"/>
              </w:rPr>
              <w:t>188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9"/>
              </w:rPr>
              <w:t>202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9"/>
              </w:rPr>
              <w:t>218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UE 底线持续向好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b/>
          <w:color w:val="1E3A8A"/>
          <w:sz w:val="28"/>
        </w:rPr>
        <w:t xml:space="preserve">4.2  </w:t>
      </w:r>
      <w:r>
        <w:rPr>
          <w:b/>
          <w:color w:val="0F172A"/>
          <w:sz w:val="28"/>
        </w:rPr>
        <w:t>视角 B · 每元 CMR 成本结构（估算）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118"/>
            <w:shd w:fill="F1F5F9"/>
          </w:tcPr>
          <w:p>
            <w:r>
              <w:rPr>
                <w:b/>
                <w:color w:val="0F172A"/>
                <w:sz w:val="19"/>
              </w:rPr>
              <w:t>每元 CMR</w:t>
            </w:r>
          </w:p>
        </w:tc>
        <w:tc>
          <w:tcPr>
            <w:tcW w:type="dxa" w:w="1417"/>
            <w:shd w:fill="F1F5F9"/>
          </w:tcPr>
          <w:p>
            <w:r>
              <w:rPr>
                <w:b/>
                <w:color w:val="0F172A"/>
                <w:sz w:val="19"/>
              </w:rPr>
              <w:t>FY23</w:t>
            </w:r>
          </w:p>
        </w:tc>
        <w:tc>
          <w:tcPr>
            <w:tcW w:type="dxa" w:w="1417"/>
            <w:shd w:fill="F1F5F9"/>
          </w:tcPr>
          <w:p>
            <w:r>
              <w:rPr>
                <w:b/>
                <w:color w:val="0F172A"/>
                <w:sz w:val="19"/>
              </w:rPr>
              <w:t>FY24</w:t>
            </w:r>
          </w:p>
        </w:tc>
        <w:tc>
          <w:tcPr>
            <w:tcW w:type="dxa" w:w="1417"/>
            <w:shd w:fill="F1F5F9"/>
          </w:tcPr>
          <w:p>
            <w:r>
              <w:rPr>
                <w:b/>
                <w:color w:val="0F172A"/>
                <w:sz w:val="19"/>
              </w:rPr>
              <w:t>FY25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CMR 收入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9"/>
              </w:rPr>
              <w:t>¥1.00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9"/>
              </w:rPr>
              <w:t>¥1.00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9"/>
              </w:rPr>
              <w:t>¥1.00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− 流量获取成本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9"/>
              </w:rPr>
              <w:t>−0.08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9"/>
              </w:rPr>
              <w:t>−0.07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9"/>
              </w:rPr>
              <w:t>−0.07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− 商家运营/客服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9"/>
              </w:rPr>
              <w:t>−0.05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9"/>
              </w:rPr>
              <w:t>−0.05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9"/>
              </w:rPr>
              <w:t>−0.05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− 技术/IT 分摊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9"/>
              </w:rPr>
              <w:t>−0.04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9"/>
              </w:rPr>
              <w:t>−0.04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9"/>
              </w:rPr>
              <w:t>−0.04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− 营销与品牌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9"/>
              </w:rPr>
              <w:t>−0.10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9"/>
              </w:rPr>
              <w:t>−0.09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9"/>
              </w:rPr>
              <w:t>−0.08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− 研发分摊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9"/>
              </w:rPr>
              <w:t>−0.04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9"/>
              </w:rPr>
              <w:t>−0.04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9"/>
              </w:rPr>
              <w:t>−0.04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− 管理与其他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9"/>
              </w:rPr>
              <w:t>−0.03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9"/>
              </w:rPr>
              <w:t>−0.03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9"/>
              </w:rPr>
              <w:t>−0.03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每元 CMR 经营利润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9"/>
              </w:rPr>
              <w:t>¥0.66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9"/>
              </w:rPr>
              <w:t>¥0.68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9"/>
              </w:rPr>
              <w:t>¥0.69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color w:val="64748B"/>
          <w:sz w:val="18"/>
        </w:rPr>
        <w:t>CMR 每多赚 1 元，扣完所有费用后约 0.69 元落到经营利润——这是淘天广告业务"利润印钞机"的本质。</w:t>
      </w:r>
    </w:p>
    <w:p>
      <w:pPr>
        <w:spacing w:before="280" w:after="120"/>
      </w:pPr>
      <w:r>
        <w:rPr>
          <w:b/>
          <w:color w:val="1E3A8A"/>
          <w:sz w:val="28"/>
        </w:rPr>
        <w:t xml:space="preserve">4.3  </w:t>
      </w:r>
      <w:r>
        <w:rPr>
          <w:b/>
          <w:color w:val="0F172A"/>
          <w:sz w:val="28"/>
        </w:rPr>
        <w:t>视角 C · 每笔订单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551"/>
            <w:shd w:fill="F1F5F9"/>
          </w:tcPr>
          <w:p>
            <w:r>
              <w:rPr>
                <w:b/>
                <w:color w:val="0F172A"/>
                <w:sz w:val="19"/>
              </w:rPr>
              <w:t>指标</w:t>
            </w:r>
          </w:p>
        </w:tc>
        <w:tc>
          <w:tcPr>
            <w:tcW w:type="dxa" w:w="1134"/>
            <w:shd w:fill="F1F5F9"/>
          </w:tcPr>
          <w:p>
            <w:r>
              <w:rPr>
                <w:b/>
                <w:color w:val="0F172A"/>
                <w:sz w:val="19"/>
              </w:rPr>
              <w:t>FY23</w:t>
            </w:r>
          </w:p>
        </w:tc>
        <w:tc>
          <w:tcPr>
            <w:tcW w:type="dxa" w:w="1134"/>
            <w:shd w:fill="F1F5F9"/>
          </w:tcPr>
          <w:p>
            <w:r>
              <w:rPr>
                <w:b/>
                <w:color w:val="0F172A"/>
                <w:sz w:val="19"/>
              </w:rPr>
              <w:t>FY24</w:t>
            </w:r>
          </w:p>
        </w:tc>
        <w:tc>
          <w:tcPr>
            <w:tcW w:type="dxa" w:w="1134"/>
            <w:shd w:fill="F1F5F9"/>
          </w:tcPr>
          <w:p>
            <w:r>
              <w:rPr>
                <w:b/>
                <w:color w:val="0F172A"/>
                <w:sz w:val="19"/>
              </w:rPr>
              <w:t>FY25</w:t>
            </w:r>
          </w:p>
        </w:tc>
        <w:tc>
          <w:tcPr>
            <w:tcW w:type="dxa" w:w="3118"/>
            <w:shd w:fill="F1F5F9"/>
          </w:tcPr>
          <w:p>
            <w:r>
              <w:rPr>
                <w:b/>
                <w:color w:val="0F172A"/>
                <w:sz w:val="19"/>
              </w:rPr>
              <w:t>解读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年订单数（亿单）⚠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9"/>
              </w:rPr>
              <w:t>927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9"/>
              </w:rPr>
              <w:t>1000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9"/>
              </w:rPr>
              <w:t>997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AAC × 频次反推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客单价 AOV（元）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9"/>
              </w:rPr>
              <w:t>86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9"/>
              </w:rPr>
              <w:t>78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9"/>
              </w:rPr>
              <w:t>76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消费降级 + 高频低价化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CMR/单（元）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9"/>
              </w:rPr>
              <w:t>3.16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9"/>
              </w:rPr>
              <w:t>3.06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9"/>
              </w:rPr>
              <w:t>3.14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单笔抽水基本稳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8FAFC"/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</w:tcPr>
          <w:p>
            <w:pPr>
              <w:spacing w:before="40" w:after="40"/>
            </w:pPr>
            <w:r>
              <w:rPr>
                <w:b/>
                <w:color w:val="1E3A8A"/>
                <w:sz w:val="21"/>
              </w:rPr>
              <w:t xml:space="preserve">UE 三视角综合 · </w:t>
            </w:r>
            <w:r>
              <w:rPr>
                <w:color w:val="1E293B"/>
                <w:sz w:val="21"/>
              </w:rPr>
              <w:t>淘天进入"高频低价时代"——每位用户更频繁但每笔更便宜（AOV 86→76）；单买家 CMR 在涨（284→330）但靠的是频次和会员而非客单。BP 监控的真正信号是 "AAC × 每买家 CMR" 这个乘积 — FY25 = 9.5 × 330 = 3,135 亿，已经接近 CMR 实际值（3,132 亿），意味着模型自洽。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60" w:after="240"/>
        <w:pBdr>
          <w:bottom w:val="single" w:sz="12" w:space="4" w:color="0F172A"/>
        </w:pBdr>
      </w:pPr>
      <w:r>
        <w:rPr>
          <w:b/>
          <w:color w:val="0F172A"/>
          <w:sz w:val="40"/>
        </w:rPr>
        <w:t>5. Driver Tree 三层穿透</w:t>
      </w:r>
    </w:p>
    <w:p>
      <w:pPr>
        <w:spacing w:after="80"/>
      </w:pPr>
      <w:r>
        <w:rPr>
          <w:color w:val="1E293B"/>
          <w:sz w:val="21"/>
        </w:rPr>
        <w:t>Driver Tree 是 BP 分析中最强的归因工具——把一个财务结果（CMR）层层拆解为可观察、可干预的运营变量。</w:t>
      </w:r>
    </w:p>
    <w:p>
      <w:pPr>
        <w:spacing w:before="280" w:after="120"/>
      </w:pPr>
      <w:r>
        <w:rPr>
          <w:b/>
          <w:color w:val="1E3A8A"/>
          <w:sz w:val="28"/>
        </w:rPr>
        <w:t xml:space="preserve">5.1  </w:t>
      </w:r>
      <w:r>
        <w:rPr>
          <w:b/>
          <w:color w:val="0F172A"/>
          <w:sz w:val="28"/>
        </w:rPr>
        <w:t>三层穿透结构</w:t>
      </w:r>
    </w:p>
    <w:p>
      <w:pPr>
        <w:spacing w:before="160" w:after="160"/>
      </w:pPr>
      <w:r>
        <w:rPr>
          <w:rFonts w:ascii="Consolas" w:hAnsi="Consolas" w:eastAsia="微软雅黑"/>
          <w:color w:val="1E293B"/>
          <w:sz w:val="18"/>
        </w:rPr>
        <w:t>CMR 3,132 亿</w:t>
        <w:br/>
        <w:t>├─ 一级：CMR = AAC × 每买家GMV × Take Rate</w:t>
        <w:br/>
        <w:t>│   ├─ AAC 9.5 亿（FY23 10.3 → FY25 9.5，−0.8）              ⇩ 拖累</w:t>
        <w:br/>
        <w:t>│   ├─ 每买家GMV 8,000 元（FY23 7,767 → FY25 8,000，+233）   ⇧ 提升</w:t>
        <w:br/>
        <w:t>│   └─ Take Rate 4.12%（FY23 3.66% → FY25 4.12%，+0.46pct）  ⇧ 提升</w:t>
        <w:br/>
        <w:t>│</w:t>
        <w:br/>
        <w:t>├─ 二级：Take Rate 4.12% = 广告变现率 + 佣金率</w:t>
        <w:br/>
        <w:t>│   ├─ 广告变现率 3.33%（FY23 2.93% → FY25 3.33%，+0.40pct）  ⇧ 全站推+万相台升级</w:t>
        <w:br/>
        <w:t>│   └─ 佣金率 0.79%（FY23 0.73% → FY25 0.79%，+0.06pct）      ⇧ 微调</w:t>
        <w:br/>
        <w:t>│</w:t>
        <w:br/>
        <w:t>└─ 三级：广告变现率 3.33% = 投放渗透率 × 平均投放 × 转化率</w:t>
        <w:br/>
        <w:t xml:space="preserve">    ├─ 商家投放渗透率 42%（FY23 35% → FY25 42%，+7pct）       ⇧ 中小商家投放扩面</w:t>
        <w:br/>
        <w:t xml:space="preserve">    ├─ 平均投放 31 万元/商家（FY23 28 → FY25 31，+3）           ⇧ ROI 改善带动加投</w:t>
        <w:br/>
        <w:t xml:space="preserve">    └─ 广告点击转化率指数 116（FY23 100 → FY25 116，+16）       ⇧ 算法迭代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8FAFC"/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</w:tcPr>
          <w:p>
            <w:pPr>
              <w:spacing w:before="40" w:after="40"/>
            </w:pPr>
            <w:r>
              <w:rPr>
                <w:b/>
                <w:color w:val="1E3A8A"/>
                <w:sz w:val="21"/>
              </w:rPr>
              <w:t xml:space="preserve">Driver Tree 总结 · </w:t>
            </w:r>
            <w:r>
              <w:rPr>
                <w:color w:val="1E293B"/>
                <w:sz w:val="21"/>
              </w:rPr>
              <w:t>淘天 CMR 维持 +2.5% 的"病灶根因"清晰：AAC 持续流失是底层病；每买家 GMV 微涨 + Take Rate 上提是对冲药；Take Rate 上提的动力来自三级因子的算法迭代和中小商家扩面——这是未来 12 个月仍可加码的杠杆。BP 监控的"漏斗顶"是商家投放渗透率——它一旦掉头，价的故事就讲不下去了。</w:t>
            </w:r>
          </w:p>
        </w:tc>
      </w:tr>
    </w:tbl>
    <w:p>
      <w:pPr>
        <w:spacing w:after="40"/>
      </w:pPr>
    </w:p>
    <w:p>
      <w:pPr>
        <w:spacing w:before="360" w:after="240"/>
        <w:pBdr>
          <w:bottom w:val="single" w:sz="12" w:space="4" w:color="0F172A"/>
        </w:pBdr>
      </w:pPr>
      <w:r>
        <w:rPr>
          <w:b/>
          <w:color w:val="0F172A"/>
          <w:sz w:val="40"/>
        </w:rPr>
        <w:t>6. 同业对标</w:t>
      </w:r>
    </w:p>
    <w:p>
      <w:pPr>
        <w:spacing w:before="280" w:after="120"/>
      </w:pPr>
      <w:r>
        <w:rPr>
          <w:b/>
          <w:color w:val="1E3A8A"/>
          <w:sz w:val="28"/>
        </w:rPr>
        <w:t xml:space="preserve">6.1  </w:t>
      </w:r>
      <w:r>
        <w:rPr>
          <w:b/>
          <w:color w:val="0F172A"/>
          <w:sz w:val="28"/>
        </w:rPr>
        <w:t>三家可比口径对标（已剔除 Temu / 物流 / 海外）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154"/>
            <w:shd w:fill="F1F5F9"/>
          </w:tcPr>
          <w:p>
            <w:r>
              <w:rPr>
                <w:b/>
                <w:color w:val="0F172A"/>
                <w:sz w:val="19"/>
              </w:rPr>
              <w:t>维度</w:t>
            </w:r>
          </w:p>
        </w:tc>
        <w:tc>
          <w:tcPr>
            <w:tcW w:type="dxa" w:w="1020"/>
            <w:shd w:fill="F1F5F9"/>
          </w:tcPr>
          <w:p>
            <w:r>
              <w:rPr>
                <w:b/>
                <w:color w:val="0F172A"/>
                <w:sz w:val="19"/>
              </w:rPr>
              <w:t>淘天</w:t>
            </w:r>
          </w:p>
        </w:tc>
        <w:tc>
          <w:tcPr>
            <w:tcW w:type="dxa" w:w="1020"/>
            <w:shd w:fill="F1F5F9"/>
          </w:tcPr>
          <w:p>
            <w:r>
              <w:rPr>
                <w:b/>
                <w:color w:val="0F172A"/>
                <w:sz w:val="19"/>
              </w:rPr>
              <w:t>PDD主站</w:t>
            </w:r>
          </w:p>
        </w:tc>
        <w:tc>
          <w:tcPr>
            <w:tcW w:type="dxa" w:w="1020"/>
            <w:shd w:fill="F1F5F9"/>
          </w:tcPr>
          <w:p>
            <w:r>
              <w:rPr>
                <w:b/>
                <w:color w:val="0F172A"/>
                <w:sz w:val="19"/>
              </w:rPr>
              <w:t>JD零售</w:t>
            </w:r>
          </w:p>
        </w:tc>
        <w:tc>
          <w:tcPr>
            <w:tcW w:type="dxa" w:w="2835"/>
            <w:shd w:fill="F1F5F9"/>
          </w:tcPr>
          <w:p>
            <w:r>
              <w:rPr>
                <w:b/>
                <w:color w:val="0F172A"/>
                <w:sz w:val="19"/>
              </w:rPr>
              <w:t>BP 洞察</w:t>
            </w:r>
          </w:p>
        </w:tc>
      </w:tr>
      <w:tr>
        <w:tc>
          <w:tcPr>
            <w:tcW w:type="dxa" w:w="2154"/>
          </w:tcPr>
          <w:p>
            <w:r>
              <w:rPr>
                <w:sz w:val="19"/>
              </w:rPr>
              <w:t>GMV(万亿)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9"/>
              </w:rPr>
              <w:t>7.6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9"/>
              </w:rPr>
              <w:t>5.3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9"/>
              </w:rPr>
              <w:t>3.05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淘天 &gt;&gt; PDD &gt;&gt; JD</w:t>
            </w:r>
          </w:p>
        </w:tc>
      </w:tr>
      <w:tr>
        <w:tc>
          <w:tcPr>
            <w:tcW w:type="dxa" w:w="2154"/>
          </w:tcPr>
          <w:p>
            <w:r>
              <w:rPr>
                <w:sz w:val="19"/>
              </w:rPr>
              <w:t>GMV YoY%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9"/>
              </w:rPr>
              <w:t>-2.6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9"/>
              </w:rPr>
              <w:t>29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9"/>
              </w:rPr>
              <w:t>5.2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淘天负增长是核心警讯</w:t>
            </w:r>
          </w:p>
        </w:tc>
      </w:tr>
      <w:tr>
        <w:tc>
          <w:tcPr>
            <w:tcW w:type="dxa" w:w="2154"/>
          </w:tcPr>
          <w:p>
            <w:r>
              <w:rPr>
                <w:sz w:val="19"/>
              </w:rPr>
              <w:t>市占率%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9"/>
              </w:rPr>
              <w:t>45.2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9"/>
              </w:rPr>
              <w:t>31.5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9"/>
              </w:rPr>
              <w:t>18.2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差距三年从35pct缩到14pct</w:t>
            </w:r>
          </w:p>
        </w:tc>
      </w:tr>
      <w:tr>
        <w:tc>
          <w:tcPr>
            <w:tcW w:type="dxa" w:w="2154"/>
          </w:tcPr>
          <w:p>
            <w:r>
              <w:rPr>
                <w:sz w:val="19"/>
              </w:rPr>
              <w:t>分部收入(亿)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9"/>
              </w:rPr>
              <w:t>4359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9"/>
              </w:rPr>
              <w:t>2750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9"/>
              </w:rPr>
              <w:t>10037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JD自营口径不可比</w:t>
            </w:r>
          </w:p>
        </w:tc>
      </w:tr>
      <w:tr>
        <w:tc>
          <w:tcPr>
            <w:tcW w:type="dxa" w:w="2154"/>
          </w:tcPr>
          <w:p>
            <w:r>
              <w:rPr>
                <w:sz w:val="19"/>
              </w:rPr>
              <w:t>综合TakeRate%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9"/>
              </w:rPr>
              <w:t>5.73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9"/>
              </w:rPr>
              <w:t>5.19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9"/>
              </w:rPr>
              <w:t>—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淘天领先0.54pct</w:t>
            </w:r>
          </w:p>
        </w:tc>
      </w:tr>
      <w:tr>
        <w:tc>
          <w:tcPr>
            <w:tcW w:type="dxa" w:w="2154"/>
          </w:tcPr>
          <w:p>
            <w:r>
              <w:rPr>
                <w:sz w:val="19"/>
              </w:rPr>
              <w:t>CMR_TakeRate%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9"/>
              </w:rPr>
              <w:t>4.12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9"/>
              </w:rPr>
              <w:t>3.74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9"/>
              </w:rPr>
              <w:t>—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淘天广告效率仍最高</w:t>
            </w:r>
          </w:p>
        </w:tc>
      </w:tr>
      <w:tr>
        <w:tc>
          <w:tcPr>
            <w:tcW w:type="dxa" w:w="2154"/>
          </w:tcPr>
          <w:p>
            <w:r>
              <w:rPr>
                <w:sz w:val="19"/>
              </w:rPr>
              <w:t>经营利润(亿)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9"/>
              </w:rPr>
              <w:t>2071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9"/>
              </w:rPr>
              <w:t>900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9"/>
              </w:rPr>
              <w:t>447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154"/>
          </w:tcPr>
          <w:p>
            <w:r>
              <w:rPr>
                <w:sz w:val="19"/>
              </w:rPr>
              <w:t>经营利润率%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9"/>
              </w:rPr>
              <w:t>47.5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9"/>
              </w:rPr>
              <w:t>32.7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9"/>
              </w:rPr>
              <w:t>4.5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淘天利润率最高</w:t>
            </w:r>
          </w:p>
        </w:tc>
      </w:tr>
      <w:tr>
        <w:tc>
          <w:tcPr>
            <w:tcW w:type="dxa" w:w="2154"/>
          </w:tcPr>
          <w:p>
            <w:r>
              <w:rPr>
                <w:sz w:val="19"/>
              </w:rPr>
              <w:t>AAC(亿)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9"/>
              </w:rPr>
              <w:t>9.5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9"/>
              </w:rPr>
              <w:t>9.8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9"/>
              </w:rPr>
              <w:t>6.1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PDD用户已超淘天</w:t>
            </w:r>
          </w:p>
        </w:tc>
      </w:tr>
      <w:tr>
        <w:tc>
          <w:tcPr>
            <w:tcW w:type="dxa" w:w="2154"/>
          </w:tcPr>
          <w:p>
            <w:r>
              <w:rPr>
                <w:sz w:val="19"/>
              </w:rPr>
              <w:t>买家年GMV(元)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9"/>
              </w:rPr>
              <w:t>8000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9"/>
              </w:rPr>
              <w:t>5408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9"/>
              </w:rPr>
              <w:t>5000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淘天钱包深度仍领先</w:t>
            </w:r>
          </w:p>
        </w:tc>
      </w:tr>
      <w:tr>
        <w:tc>
          <w:tcPr>
            <w:tcW w:type="dxa" w:w="2154"/>
          </w:tcPr>
          <w:p>
            <w:r>
              <w:rPr>
                <w:sz w:val="19"/>
              </w:rPr>
              <w:t>客单价AOV(元)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9"/>
              </w:rPr>
              <w:t>76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9"/>
              </w:rPr>
              <w:t>69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9"/>
              </w:rPr>
              <w:t>3800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JD 3C高客单</w:t>
            </w:r>
          </w:p>
        </w:tc>
      </w:tr>
      <w:tr>
        <w:tc>
          <w:tcPr>
            <w:tcW w:type="dxa" w:w="2154"/>
          </w:tcPr>
          <w:p>
            <w:r>
              <w:rPr>
                <w:sz w:val="19"/>
              </w:rPr>
              <w:t>年下单频次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9"/>
              </w:rPr>
              <w:t>105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9"/>
              </w:rPr>
              <w:t>78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9"/>
              </w:rPr>
              <w:t>50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淘天频次最高</w:t>
            </w:r>
          </w:p>
        </w:tc>
      </w:tr>
      <w:tr>
        <w:tc>
          <w:tcPr>
            <w:tcW w:type="dxa" w:w="2154"/>
          </w:tcPr>
          <w:p>
            <w:r>
              <w:rPr>
                <w:sz w:val="19"/>
              </w:rPr>
              <w:t>每买家分部利润(元)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9"/>
              </w:rPr>
              <w:t>218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9"/>
              </w:rPr>
              <w:t>92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9"/>
              </w:rPr>
              <w:t>73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淘天单买家盈利是PDD 2.4倍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b/>
          <w:color w:val="1E3A8A"/>
          <w:sz w:val="28"/>
        </w:rPr>
        <w:t xml:space="preserve">6.2  </w:t>
      </w:r>
      <w:r>
        <w:rPr>
          <w:b/>
          <w:color w:val="0F172A"/>
          <w:sz w:val="28"/>
        </w:rPr>
        <w:t>战略象限定位</w:t>
      </w:r>
    </w:p>
    <w:p>
      <w:pPr>
        <w:spacing w:after="80"/>
      </w:pPr>
      <w:r>
        <w:rPr>
          <w:color w:val="1E293B"/>
          <w:sz w:val="21"/>
        </w:rPr>
        <w:t>用"GMV 增速 vs 分部经营利润率"二维坐标看：</w:t>
      </w:r>
    </w:p>
    <w:p>
      <w:pPr>
        <w:pStyle w:val="ListBullet"/>
        <w:spacing w:after="40"/>
      </w:pPr>
      <w:r>
        <w:rPr>
          <w:color w:val="1E293B"/>
          <w:sz w:val="21"/>
        </w:rPr>
        <w:t>淘天：低增速（-2.6%）+ 高利润率（47.5%）→ 现金奶牛象限，BP 核心是"防守利润 + 回购股东回报"</w:t>
      </w:r>
    </w:p>
    <w:p>
      <w:pPr>
        <w:pStyle w:val="ListBullet"/>
        <w:spacing w:after="40"/>
      </w:pPr>
      <w:r>
        <w:rPr>
          <w:color w:val="1E293B"/>
          <w:sz w:val="21"/>
        </w:rPr>
        <w:t>PDD 主站：高增速（+29%）+ 中等利润率（32.7%）→ 明星象限，BP 核心是"持续投入抢份额"</w:t>
      </w:r>
    </w:p>
    <w:p>
      <w:pPr>
        <w:pStyle w:val="ListBullet"/>
        <w:spacing w:after="40"/>
      </w:pPr>
      <w:r>
        <w:rPr>
          <w:color w:val="1E293B"/>
          <w:sz w:val="21"/>
        </w:rPr>
        <w:t>京东零售：中增速（+5%）+ 低利润率（4.5%）→ 困境象限，BP 核心是"履约效率优化 UE"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8FAFC"/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</w:tcPr>
          <w:p>
            <w:pPr>
              <w:spacing w:before="40" w:after="40"/>
            </w:pPr>
            <w:r>
              <w:rPr>
                <w:b/>
                <w:color w:val="1E3A8A"/>
                <w:sz w:val="21"/>
              </w:rPr>
              <w:t xml:space="preserve">对标三结论 · </w:t>
            </w:r>
            <w:r>
              <w:rPr>
                <w:color w:val="1E293B"/>
                <w:sz w:val="21"/>
              </w:rPr>
              <w:t>① 体量上淘天仍是规模王，但已不是绝对垄断；② 效率上淘天利润率最高、但增速最慢——典型成熟期奶牛；③ 用户经济上 PDD 已用 9.8 亿 AAC 反超，但 PDD 单买家利润仅淘天 42%——"留下来的人更值钱"是淘天的护城河。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60" w:after="240"/>
        <w:pBdr>
          <w:bottom w:val="single" w:sz="12" w:space="4" w:color="0F172A"/>
        </w:pBdr>
      </w:pPr>
      <w:r>
        <w:rPr>
          <w:b/>
          <w:color w:val="0F172A"/>
          <w:sz w:val="40"/>
        </w:rPr>
        <w:t>7. FY26 五情景敏感性</w:t>
      </w:r>
    </w:p>
    <w:p>
      <w:pPr>
        <w:spacing w:after="80"/>
      </w:pPr>
      <w:r>
        <w:rPr>
          <w:color w:val="1E293B"/>
          <w:sz w:val="21"/>
        </w:rPr>
        <w:t>关键变量三个：AAC YoY、每买家 GMV YoY、Take Rate。基准情景假设 FY25 趋势小幅放缓。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134"/>
            <w:shd w:fill="F1F5F9"/>
          </w:tcPr>
          <w:p>
            <w:r>
              <w:rPr>
                <w:b/>
                <w:color w:val="0F172A"/>
                <w:sz w:val="19"/>
              </w:rPr>
              <w:t>情景</w:t>
            </w:r>
          </w:p>
        </w:tc>
        <w:tc>
          <w:tcPr>
            <w:tcW w:type="dxa" w:w="1134"/>
            <w:shd w:fill="F1F5F9"/>
          </w:tcPr>
          <w:p>
            <w:r>
              <w:rPr>
                <w:b/>
                <w:color w:val="0F172A"/>
                <w:sz w:val="19"/>
              </w:rPr>
              <w:t>AAC YoY</w:t>
            </w:r>
          </w:p>
        </w:tc>
        <w:tc>
          <w:tcPr>
            <w:tcW w:type="dxa" w:w="1417"/>
            <w:shd w:fill="F1F5F9"/>
          </w:tcPr>
          <w:p>
            <w:r>
              <w:rPr>
                <w:b/>
                <w:color w:val="0F172A"/>
                <w:sz w:val="19"/>
              </w:rPr>
              <w:t>每买家GMV YoY</w:t>
            </w:r>
          </w:p>
        </w:tc>
        <w:tc>
          <w:tcPr>
            <w:tcW w:type="dxa" w:w="1134"/>
            <w:shd w:fill="F1F5F9"/>
          </w:tcPr>
          <w:p>
            <w:r>
              <w:rPr>
                <w:b/>
                <w:color w:val="0F172A"/>
                <w:sz w:val="19"/>
              </w:rPr>
              <w:t>Take Rate</w:t>
            </w:r>
          </w:p>
        </w:tc>
        <w:tc>
          <w:tcPr>
            <w:tcW w:type="dxa" w:w="1417"/>
            <w:shd w:fill="F1F5F9"/>
          </w:tcPr>
          <w:p>
            <w:r>
              <w:rPr>
                <w:b/>
                <w:color w:val="0F172A"/>
                <w:sz w:val="19"/>
              </w:rPr>
              <w:t>推算 GMV</w:t>
            </w:r>
          </w:p>
        </w:tc>
        <w:tc>
          <w:tcPr>
            <w:tcW w:type="dxa" w:w="1417"/>
            <w:shd w:fill="F1F5F9"/>
          </w:tcPr>
          <w:p>
            <w:r>
              <w:rPr>
                <w:b/>
                <w:color w:val="0F172A"/>
                <w:sz w:val="19"/>
              </w:rPr>
              <w:t>推算 CMR (亿)</w:t>
            </w:r>
          </w:p>
        </w:tc>
        <w:tc>
          <w:tcPr>
            <w:tcW w:type="dxa" w:w="1134"/>
            <w:shd w:fill="F1F5F9"/>
          </w:tcPr>
          <w:p>
            <w:r>
              <w:rPr>
                <w:b/>
                <w:color w:val="0F172A"/>
                <w:sz w:val="19"/>
              </w:rPr>
              <w:t>CMR YoY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极悲观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9"/>
              </w:rPr>
              <w:t>-10%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9"/>
              </w:rPr>
              <w:t>-5%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9"/>
              </w:rPr>
              <w:t>3.95%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9"/>
              </w:rPr>
              <w:t>6.50万亿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9"/>
              </w:rPr>
              <w:t>2,567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9"/>
              </w:rPr>
              <w:t>-18.0%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悲观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9"/>
              </w:rPr>
              <w:t>-8%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9"/>
              </w:rPr>
              <w:t>-3%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9"/>
              </w:rPr>
              <w:t>4.05%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9"/>
              </w:rPr>
              <w:t>6.78万亿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9"/>
              </w:rPr>
              <w:t>2,747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9"/>
              </w:rPr>
              <w:t>-12.3%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基准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9"/>
              </w:rPr>
              <w:t>-3%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9"/>
              </w:rPr>
              <w:t>+2%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9"/>
              </w:rPr>
              <w:t>4.20%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9"/>
              </w:rPr>
              <w:t>7.52万亿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9"/>
              </w:rPr>
              <w:t>3,158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9"/>
              </w:rPr>
              <w:t>+0.8%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乐观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9"/>
              </w:rPr>
              <w:t>+0%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9"/>
              </w:rPr>
              <w:t>+5%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9"/>
              </w:rPr>
              <w:t>4.30%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9"/>
              </w:rPr>
              <w:t>7.98万亿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9"/>
              </w:rPr>
              <w:t>3,431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9"/>
              </w:rPr>
              <w:t>+9.6%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极乐观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9"/>
              </w:rPr>
              <w:t>+3%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9"/>
              </w:rPr>
              <w:t>+8%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9"/>
              </w:rPr>
              <w:t>4.40%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9"/>
              </w:rPr>
              <w:t>8.45万亿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9"/>
              </w:rPr>
              <w:t>3,720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9"/>
              </w:rPr>
              <w:t>+18.8%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b/>
          <w:color w:val="1E3A8A"/>
          <w:sz w:val="28"/>
        </w:rPr>
        <w:t xml:space="preserve">7.1  </w:t>
      </w:r>
      <w:r>
        <w:rPr>
          <w:b/>
          <w:color w:val="0F172A"/>
          <w:sz w:val="28"/>
        </w:rPr>
        <w:t>弹性矩阵（每变 +1pct 对 FY26 CMR 影响）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fill="F1F5F9"/>
          </w:tcPr>
          <w:p>
            <w:r>
              <w:rPr>
                <w:b/>
                <w:color w:val="0F172A"/>
                <w:sz w:val="19"/>
              </w:rPr>
              <w:t>变量</w:t>
            </w:r>
          </w:p>
        </w:tc>
        <w:tc>
          <w:tcPr>
            <w:tcW w:type="dxa" w:w="2268"/>
            <w:shd w:fill="F1F5F9"/>
          </w:tcPr>
          <w:p>
            <w:r>
              <w:rPr>
                <w:b/>
                <w:color w:val="0F172A"/>
                <w:sz w:val="19"/>
              </w:rPr>
              <w:t>+1pct 对 CMR 影响（亿）</w:t>
            </w:r>
          </w:p>
        </w:tc>
        <w:tc>
          <w:tcPr>
            <w:tcW w:type="dxa" w:w="1701"/>
            <w:shd w:fill="F1F5F9"/>
          </w:tcPr>
          <w:p>
            <w:r>
              <w:rPr>
                <w:b/>
                <w:color w:val="0F172A"/>
                <w:sz w:val="19"/>
              </w:rPr>
              <w:t>% of FY25 CMR</w:t>
            </w:r>
          </w:p>
        </w:tc>
        <w:tc>
          <w:tcPr>
            <w:tcW w:type="dxa" w:w="2268"/>
            <w:shd w:fill="F1F5F9"/>
          </w:tcPr>
          <w:p>
            <w:r>
              <w:rPr>
                <w:b/>
                <w:color w:val="0F172A"/>
                <w:sz w:val="19"/>
              </w:rPr>
              <w:t>BP 监控权重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AAC YoY +1pct</w:t>
            </w:r>
          </w:p>
        </w:tc>
        <w:tc>
          <w:tcPr>
            <w:tcW w:type="dxa" w:w="2268"/>
          </w:tcPr>
          <w:p>
            <w:pPr>
              <w:jc w:val="right"/>
            </w:pPr>
            <w:r>
              <w:rPr>
                <w:sz w:val="19"/>
              </w:rPr>
              <w:t>+31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19"/>
              </w:rPr>
              <w:t>+1.0%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高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每买家GMV YoY +1pct</w:t>
            </w:r>
          </w:p>
        </w:tc>
        <w:tc>
          <w:tcPr>
            <w:tcW w:type="dxa" w:w="2268"/>
          </w:tcPr>
          <w:p>
            <w:pPr>
              <w:jc w:val="right"/>
            </w:pPr>
            <w:r>
              <w:rPr>
                <w:sz w:val="19"/>
              </w:rPr>
              <w:t>+31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19"/>
              </w:rPr>
              <w:t>+1.0%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高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Take Rate +0.10pct</w:t>
            </w:r>
          </w:p>
        </w:tc>
        <w:tc>
          <w:tcPr>
            <w:tcW w:type="dxa" w:w="2268"/>
          </w:tcPr>
          <w:p>
            <w:pPr>
              <w:jc w:val="right"/>
            </w:pPr>
            <w:r>
              <w:rPr>
                <w:sz w:val="19"/>
              </w:rPr>
              <w:t>+76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19"/>
              </w:rPr>
              <w:t>+2.4%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极高（已触顶）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88VIP数 +1000万</w:t>
            </w:r>
          </w:p>
        </w:tc>
        <w:tc>
          <w:tcPr>
            <w:tcW w:type="dxa" w:w="2268"/>
          </w:tcPr>
          <w:p>
            <w:pPr>
              <w:jc w:val="right"/>
            </w:pPr>
            <w:r>
              <w:rPr>
                <w:sz w:val="19"/>
              </w:rPr>
              <w:t>+57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19"/>
              </w:rPr>
              <w:t>+1.8%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中（执行难度大）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EF3C7"/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</w:tcPr>
          <w:p>
            <w:pPr>
              <w:spacing w:before="40" w:after="40"/>
            </w:pPr>
            <w:r>
              <w:rPr>
                <w:b/>
                <w:color w:val="B45309"/>
                <w:sz w:val="21"/>
              </w:rPr>
              <w:t xml:space="preserve">BP 预算锚定建议 · </w:t>
            </w:r>
            <w:r>
              <w:rPr>
                <w:color w:val="1E293B"/>
                <w:sz w:val="21"/>
              </w:rPr>
              <w:t>管理层指引应以基准情景（CMR +0.8%、利润率维持 47%+）为 KPI，同时准备悲观情景（CMR -12%）的应对预案——重点是"费用刚性管理"：把销售费用率、研发费用率分别预设悲观情景下 -1pct / -0.5pct 的预案，做到"收入下、利润不下"。</w:t>
            </w:r>
          </w:p>
        </w:tc>
      </w:tr>
    </w:tbl>
    <w:p>
      <w:pPr>
        <w:spacing w:after="40"/>
      </w:pPr>
    </w:p>
    <w:p>
      <w:pPr>
        <w:spacing w:before="360" w:after="240"/>
        <w:pBdr>
          <w:bottom w:val="single" w:sz="12" w:space="4" w:color="0F172A"/>
        </w:pBdr>
      </w:pPr>
      <w:r>
        <w:rPr>
          <w:b/>
          <w:color w:val="0F172A"/>
          <w:sz w:val="40"/>
        </w:rPr>
        <w:t>8. 5 大问题诊断 + 量化建议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474"/>
            <w:shd w:fill="F1F5F9"/>
          </w:tcPr>
          <w:p>
            <w:r>
              <w:rPr>
                <w:b/>
                <w:color w:val="0F172A"/>
                <w:sz w:val="19"/>
              </w:rPr>
              <w:t>问题</w:t>
            </w:r>
          </w:p>
        </w:tc>
        <w:tc>
          <w:tcPr>
            <w:tcW w:type="dxa" w:w="2041"/>
            <w:shd w:fill="F1F5F9"/>
          </w:tcPr>
          <w:p>
            <w:r>
              <w:rPr>
                <w:b/>
                <w:color w:val="0F172A"/>
                <w:sz w:val="19"/>
              </w:rPr>
              <w:t>量化影响</w:t>
            </w:r>
          </w:p>
        </w:tc>
        <w:tc>
          <w:tcPr>
            <w:tcW w:type="dxa" w:w="1701"/>
            <w:shd w:fill="F1F5F9"/>
          </w:tcPr>
          <w:p>
            <w:r>
              <w:rPr>
                <w:b/>
                <w:color w:val="0F172A"/>
                <w:sz w:val="19"/>
              </w:rPr>
              <w:t>根因</w:t>
            </w:r>
          </w:p>
        </w:tc>
        <w:tc>
          <w:tcPr>
            <w:tcW w:type="dxa" w:w="1701"/>
            <w:shd w:fill="F1F5F9"/>
          </w:tcPr>
          <w:p>
            <w:r>
              <w:rPr>
                <w:b/>
                <w:color w:val="0F172A"/>
                <w:sz w:val="19"/>
              </w:rPr>
              <w:t>改进路径</w:t>
            </w:r>
          </w:p>
        </w:tc>
        <w:tc>
          <w:tcPr>
            <w:tcW w:type="dxa" w:w="2268"/>
            <w:shd w:fill="F1F5F9"/>
          </w:tcPr>
          <w:p>
            <w:r>
              <w:rPr>
                <w:b/>
                <w:color w:val="0F172A"/>
                <w:sz w:val="19"/>
              </w:rPr>
              <w:t>量化潜力 / 风险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#1 AAC 流失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每流失1亿AAC ≈ -33亿CMR/年（按ARPU-CMR 330元）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PDD低价心智+抖音内容流抢用户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88VIP扩容 + 淘宝直播二次发力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AAC回到10亿 ≈ +5%CMR；风险：补贴成本上升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#2 直营业务亏损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FY25 -27亿，拉低整体利润率0.6pct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低毛利长尾SKU占用流量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剥离亏损猫超长尾，保留高频日百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砍300亿亏损直营 ≈ +22亿利润；风险：流失高频流量入口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#3 客单价下滑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AOV 86→76元，三年-12%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消费降级 + 品类结构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推高客单类目（家电/美妆/3C）占比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AOV回升5% ≈ +5%GMV；风险：高客单类目竞争激烈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#4 Take Rate 触顶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4.12%超PDD 0.38pct，再上有风险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广告ROI已被中长尾商家抱怨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不上提Take Rate，转向广告产品创新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+0.10pct ≈ +76亿CMR；风险：5%商家流失对冲全部上行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#5 二曲线缺位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直播+海外GMV占比&lt;8%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资源投入分散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聚焦淘宝直播 + 速卖通AE Choice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3年贡献GMV占比12%；风险：抖音/Temu竞争</w:t>
            </w:r>
          </w:p>
        </w:tc>
      </w:tr>
    </w:tbl>
    <w:p>
      <w:pPr>
        <w:spacing w:after="40"/>
      </w:pPr>
    </w:p>
    <w:p>
      <w:pPr>
        <w:spacing w:before="360" w:after="240"/>
        <w:pBdr>
          <w:bottom w:val="single" w:sz="12" w:space="4" w:color="0F172A"/>
        </w:pBdr>
      </w:pPr>
      <w:r>
        <w:rPr>
          <w:b/>
          <w:color w:val="0F172A"/>
          <w:sz w:val="40"/>
        </w:rPr>
        <w:t>9. 12 项核心监控 KPI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454"/>
            <w:shd w:fill="F1F5F9"/>
          </w:tcPr>
          <w:p>
            <w:r>
              <w:rPr>
                <w:b/>
                <w:color w:val="0F172A"/>
                <w:sz w:val="19"/>
              </w:rPr>
              <w:t>#</w:t>
            </w:r>
          </w:p>
        </w:tc>
        <w:tc>
          <w:tcPr>
            <w:tcW w:type="dxa" w:w="2041"/>
            <w:shd w:fill="F1F5F9"/>
          </w:tcPr>
          <w:p>
            <w:r>
              <w:rPr>
                <w:b/>
                <w:color w:val="0F172A"/>
                <w:sz w:val="19"/>
              </w:rPr>
              <w:t>KPI</w:t>
            </w:r>
          </w:p>
        </w:tc>
        <w:tc>
          <w:tcPr>
            <w:tcW w:type="dxa" w:w="1474"/>
            <w:shd w:fill="F1F5F9"/>
          </w:tcPr>
          <w:p>
            <w:r>
              <w:rPr>
                <w:b/>
                <w:color w:val="0F172A"/>
                <w:sz w:val="19"/>
              </w:rPr>
              <w:t>口径</w:t>
            </w:r>
          </w:p>
        </w:tc>
        <w:tc>
          <w:tcPr>
            <w:tcW w:type="dxa" w:w="1474"/>
            <w:shd w:fill="F1F5F9"/>
          </w:tcPr>
          <w:p>
            <w:r>
              <w:rPr>
                <w:b/>
                <w:color w:val="0F172A"/>
                <w:sz w:val="19"/>
              </w:rPr>
              <w:t>目标值</w:t>
            </w:r>
          </w:p>
        </w:tc>
        <w:tc>
          <w:tcPr>
            <w:tcW w:type="dxa" w:w="1701"/>
            <w:shd w:fill="F1F5F9"/>
          </w:tcPr>
          <w:p>
            <w:r>
              <w:rPr>
                <w:b/>
                <w:color w:val="0F172A"/>
                <w:sz w:val="19"/>
              </w:rPr>
              <w:t>预警阈值</w:t>
            </w:r>
          </w:p>
        </w:tc>
        <w:tc>
          <w:tcPr>
            <w:tcW w:type="dxa" w:w="1474"/>
            <w:shd w:fill="F1F5F9"/>
          </w:tcPr>
          <w:p>
            <w:r>
              <w:rPr>
                <w:b/>
                <w:color w:val="0F172A"/>
                <w:sz w:val="19"/>
              </w:rPr>
              <w:t>负责部门</w:t>
            </w:r>
          </w:p>
        </w:tc>
      </w:tr>
      <w:tr>
        <w:tc>
          <w:tcPr>
            <w:tcW w:type="dxa" w:w="454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GMV同比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日历季度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sz w:val="19"/>
              </w:rPr>
              <w:t>+0%~+2%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19"/>
              </w:rPr>
              <w:t>&lt;-3%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电商BU</w:t>
            </w:r>
          </w:p>
        </w:tc>
      </w:tr>
      <w:tr>
        <w:tc>
          <w:tcPr>
            <w:tcW w:type="dxa" w:w="454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AAC同比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滚动12月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sz w:val="19"/>
              </w:rPr>
              <w:t>持平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19"/>
              </w:rPr>
              <w:t>&lt;-3%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用户增长</w:t>
            </w:r>
          </w:p>
        </w:tc>
      </w:tr>
      <w:tr>
        <w:tc>
          <w:tcPr>
            <w:tcW w:type="dxa" w:w="454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每买家CMR同比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滚动12月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sz w:val="19"/>
              </w:rPr>
              <w:t>+5%~+8%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19"/>
              </w:rPr>
              <w:t>&lt;+3%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商业化</w:t>
            </w:r>
          </w:p>
        </w:tc>
      </w:tr>
      <w:tr>
        <w:tc>
          <w:tcPr>
            <w:tcW w:type="dxa" w:w="454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CMR同比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日历季度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sz w:val="19"/>
              </w:rPr>
              <w:t>+2%~+4%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19"/>
              </w:rPr>
              <w:t>&lt;+0%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商业化</w:t>
            </w:r>
          </w:p>
        </w:tc>
      </w:tr>
      <w:tr>
        <w:tc>
          <w:tcPr>
            <w:tcW w:type="dxa" w:w="454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CMR Take Rate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CMR/GMV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sz w:val="19"/>
              </w:rPr>
              <w:t>4.10%~4.15%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19"/>
              </w:rPr>
              <w:t>&lt;4.05% 或 &gt;4.20%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商业化</w:t>
            </w:r>
          </w:p>
        </w:tc>
      </w:tr>
      <w:tr>
        <w:tc>
          <w:tcPr>
            <w:tcW w:type="dxa" w:w="454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商家投放渗透率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季度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sz w:val="19"/>
              </w:rPr>
              <w:t>&gt;42%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19"/>
              </w:rPr>
              <w:t>&lt;40%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商业化</w:t>
            </w:r>
          </w:p>
        </w:tc>
      </w:tr>
      <w:tr>
        <w:tc>
          <w:tcPr>
            <w:tcW w:type="dxa" w:w="454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广告ROI(商家)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第三方监测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sz w:val="19"/>
              </w:rPr>
              <w:t>≥7倍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19"/>
              </w:rPr>
              <w:t>&lt;6倍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商业化</w:t>
            </w:r>
          </w:p>
        </w:tc>
      </w:tr>
      <w:tr>
        <w:tc>
          <w:tcPr>
            <w:tcW w:type="dxa" w:w="454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88VIP数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月末时点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sz w:val="19"/>
              </w:rPr>
              <w:t>+10%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19"/>
              </w:rPr>
              <w:t>&lt;+5%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会员</w:t>
            </w:r>
          </w:p>
        </w:tc>
      </w:tr>
      <w:tr>
        <w:tc>
          <w:tcPr>
            <w:tcW w:type="dxa" w:w="454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直播GMV占比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季度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sz w:val="19"/>
              </w:rPr>
              <w:t>+2pct/年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19"/>
              </w:rPr>
              <w:t>&lt;+1pct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内容</w:t>
            </w:r>
          </w:p>
        </w:tc>
      </w:tr>
      <w:tr>
        <w:tc>
          <w:tcPr>
            <w:tcW w:type="dxa" w:w="454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分部经营利润率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分部利润/收入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sz w:val="19"/>
              </w:rPr>
              <w:t>≥47%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19"/>
              </w:rPr>
              <w:t>&lt;45%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CFO+BP</w:t>
            </w:r>
          </w:p>
        </w:tc>
      </w:tr>
      <w:tr>
        <w:tc>
          <w:tcPr>
            <w:tcW w:type="dxa" w:w="45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运营费用率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(销+管+研)/收入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sz w:val="19"/>
              </w:rPr>
              <w:t>≤22%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19"/>
              </w:rPr>
              <w:t>&gt;24%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CFO+BP</w:t>
            </w:r>
          </w:p>
        </w:tc>
      </w:tr>
      <w:tr>
        <w:tc>
          <w:tcPr>
            <w:tcW w:type="dxa" w:w="454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自由现金流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季度披露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sz w:val="19"/>
              </w:rPr>
              <w:t>&gt;800亿/季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19"/>
              </w:rPr>
              <w:t>&lt;700亿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财务部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b/>
          <w:color w:val="1E3A8A"/>
          <w:sz w:val="28"/>
        </w:rPr>
        <w:t xml:space="preserve">9.1  </w:t>
      </w:r>
      <w:r>
        <w:rPr>
          <w:b/>
          <w:color w:val="0F172A"/>
          <w:sz w:val="28"/>
        </w:rPr>
        <w:t>BP 行动节奏（季度循环）</w:t>
      </w:r>
    </w:p>
    <w:p>
      <w:pPr>
        <w:pStyle w:val="ListBullet"/>
        <w:spacing w:after="40"/>
      </w:pPr>
      <w:r>
        <w:rPr>
          <w:color w:val="1E293B"/>
          <w:sz w:val="21"/>
        </w:rPr>
        <w:t>月度：5 KPI 预警机制（GMV、AAC、CMR、Take Rate、利润率），异常项 24h 内归因，覆盖目标 ≥ 90% CMR 波动</w:t>
      </w:r>
    </w:p>
    <w:p>
      <w:pPr>
        <w:pStyle w:val="ListBullet"/>
        <w:spacing w:after="40"/>
      </w:pPr>
      <w:r>
        <w:rPr>
          <w:color w:val="1E293B"/>
          <w:sz w:val="21"/>
        </w:rPr>
        <w:t>季度：Driver Tree 穿透分析 + 业财联席复盘，输出"季度归因报告"（含 P&amp;L Bridge）</w:t>
      </w:r>
    </w:p>
    <w:p>
      <w:pPr>
        <w:pStyle w:val="ListBullet"/>
        <w:spacing w:after="40"/>
      </w:pPr>
      <w:r>
        <w:rPr>
          <w:color w:val="1E293B"/>
          <w:sz w:val="21"/>
        </w:rPr>
        <w:t>半年：滚动预测 + 敏感性更新（5 情景），刷新当年指引</w:t>
      </w:r>
    </w:p>
    <w:p>
      <w:pPr>
        <w:pStyle w:val="ListBullet"/>
        <w:spacing w:after="40"/>
      </w:pPr>
      <w:r>
        <w:rPr>
          <w:color w:val="1E293B"/>
          <w:sz w:val="21"/>
        </w:rPr>
        <w:t>年度：战略复盘 + 次年预算下达，重点是"5 大问题"年度改进进度</w:t>
      </w:r>
    </w:p>
    <w:p>
      <w:r>
        <w:br w:type="page"/>
      </w:r>
    </w:p>
    <w:p>
      <w:pPr>
        <w:spacing w:before="360" w:after="240"/>
        <w:pBdr>
          <w:bottom w:val="single" w:sz="12" w:space="4" w:color="0F172A"/>
        </w:pBdr>
      </w:pPr>
      <w:r>
        <w:rPr>
          <w:b/>
          <w:color w:val="0F172A"/>
          <w:sz w:val="40"/>
        </w:rPr>
        <w:t>附录 A. 口径与假设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fill="F1F5F9"/>
          </w:tcPr>
          <w:p>
            <w:r>
              <w:rPr>
                <w:b/>
                <w:color w:val="0F172A"/>
                <w:sz w:val="19"/>
              </w:rPr>
              <w:t>类别</w:t>
            </w:r>
          </w:p>
        </w:tc>
        <w:tc>
          <w:tcPr>
            <w:tcW w:type="dxa" w:w="2835"/>
            <w:shd w:fill="F1F5F9"/>
          </w:tcPr>
          <w:p>
            <w:r>
              <w:rPr>
                <w:b/>
                <w:color w:val="0F172A"/>
                <w:sz w:val="19"/>
              </w:rPr>
              <w:t>口径/假设</w:t>
            </w:r>
          </w:p>
        </w:tc>
        <w:tc>
          <w:tcPr>
            <w:tcW w:type="dxa" w:w="4819"/>
            <w:shd w:fill="F1F5F9"/>
          </w:tcPr>
          <w:p>
            <w:r>
              <w:rPr>
                <w:b/>
                <w:color w:val="0F172A"/>
                <w:sz w:val="19"/>
              </w:rPr>
              <w:t>依据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财年口径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FY23/24/25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阿里财年截至 3 月，FY25 = 2024.4–2025.3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货币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人民币亿元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所有金额若无特别说明均为 RMB 亿元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可比口径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淘天 vs PDD主站 vs JD零售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已剔除 Temu / 京东物流 / 海外 / 菜鸟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会计准则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IFRS（淘天/JD）；US GAAP（PDD）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SBC 处理与租赁分类有差异，毛利口径基本一致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GMV 估算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PDD 主站 / JD 零售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研报中位数（高盛/中金/MS），区间 ±5%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AAC 估算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淘天 AAC（2022Q4 起不再披露）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研报估算，敏感性区间 ±3%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CMR 拆分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广告:佣金 ≈ 80:20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研报口径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Take Rate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CMR Take Rate = CMR/GMV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最纯粹的广告变现率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敏感性基准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FY26 AAC YoY -3%, ARPU +2%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维持 FY25 趋势小幅放缓</w:t>
            </w:r>
          </w:p>
        </w:tc>
      </w:tr>
    </w:tbl>
    <w:p>
      <w:pPr>
        <w:spacing w:after="40"/>
      </w:pPr>
    </w:p>
    <w:p>
      <w:pPr>
        <w:spacing w:before="360" w:after="240"/>
        <w:pBdr>
          <w:bottom w:val="single" w:sz="12" w:space="4" w:color="0F172A"/>
        </w:pBdr>
      </w:pPr>
      <w:r>
        <w:rPr>
          <w:b/>
          <w:color w:val="0F172A"/>
          <w:sz w:val="40"/>
        </w:rPr>
        <w:t>附录 B. 数据源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361"/>
            <w:shd w:fill="F1F5F9"/>
          </w:tcPr>
          <w:p>
            <w:r>
              <w:rPr>
                <w:b/>
                <w:color w:val="0F172A"/>
                <w:sz w:val="19"/>
              </w:rPr>
              <w:t>类别</w:t>
            </w:r>
          </w:p>
        </w:tc>
        <w:tc>
          <w:tcPr>
            <w:tcW w:type="dxa" w:w="2608"/>
            <w:shd w:fill="F1F5F9"/>
          </w:tcPr>
          <w:p>
            <w:r>
              <w:rPr>
                <w:b/>
                <w:color w:val="0F172A"/>
                <w:sz w:val="19"/>
              </w:rPr>
              <w:t>来源</w:t>
            </w:r>
          </w:p>
        </w:tc>
        <w:tc>
          <w:tcPr>
            <w:tcW w:type="dxa" w:w="2835"/>
            <w:shd w:fill="F1F5F9"/>
          </w:tcPr>
          <w:p>
            <w:r>
              <w:rPr>
                <w:b/>
                <w:color w:val="0F172A"/>
                <w:sz w:val="19"/>
              </w:rPr>
              <w:t>URL</w:t>
            </w:r>
          </w:p>
        </w:tc>
        <w:tc>
          <w:tcPr>
            <w:tcW w:type="dxa" w:w="2551"/>
            <w:shd w:fill="F1F5F9"/>
          </w:tcPr>
          <w:p>
            <w:r>
              <w:rPr>
                <w:b/>
                <w:color w:val="0F172A"/>
                <w:sz w:val="19"/>
              </w:rPr>
              <w:t>查找路径</w:t>
            </w:r>
          </w:p>
        </w:tc>
      </w:tr>
      <w:tr>
        <w:tc>
          <w:tcPr>
            <w:tcW w:type="dxa" w:w="1361"/>
          </w:tcPr>
          <w:p>
            <w:r>
              <w:rPr>
                <w:sz w:val="19"/>
              </w:rPr>
              <w:t>淘天财务</w:t>
            </w:r>
          </w:p>
        </w:tc>
        <w:tc>
          <w:tcPr>
            <w:tcW w:type="dxa" w:w="2608"/>
          </w:tcPr>
          <w:p>
            <w:r>
              <w:rPr>
                <w:sz w:val="19"/>
              </w:rPr>
              <w:t>阿里 IR 官网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alibabagroup.com/en-US/ir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Reports → FY25 Annual Report</w:t>
            </w:r>
          </w:p>
        </w:tc>
      </w:tr>
      <w:tr>
        <w:tc>
          <w:tcPr>
            <w:tcW w:type="dxa" w:w="1361"/>
          </w:tcPr>
          <w:p>
            <w:r>
              <w:rPr>
                <w:sz w:val="19"/>
              </w:rPr>
              <w:t>淘天分部</w:t>
            </w:r>
          </w:p>
        </w:tc>
        <w:tc>
          <w:tcPr>
            <w:tcW w:type="dxa" w:w="2608"/>
          </w:tcPr>
          <w:p>
            <w:r>
              <w:rPr>
                <w:sz w:val="19"/>
              </w:rPr>
              <w:t>港交所披露易（9988）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hkexnews.hk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2024/2025 年度业绩公告</w:t>
            </w:r>
          </w:p>
        </w:tc>
      </w:tr>
      <w:tr>
        <w:tc>
          <w:tcPr>
            <w:tcW w:type="dxa" w:w="1361"/>
          </w:tcPr>
          <w:p>
            <w:r>
              <w:rPr>
                <w:sz w:val="19"/>
              </w:rPr>
              <w:t>PDD</w:t>
            </w:r>
          </w:p>
        </w:tc>
        <w:tc>
          <w:tcPr>
            <w:tcW w:type="dxa" w:w="2608"/>
          </w:tcPr>
          <w:p>
            <w:r>
              <w:rPr>
                <w:sz w:val="19"/>
              </w:rPr>
              <w:t>PDD IR · SEC EDGAR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investor.pddholdings.com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Financial Information → SEC Filings</w:t>
            </w:r>
          </w:p>
        </w:tc>
      </w:tr>
      <w:tr>
        <w:tc>
          <w:tcPr>
            <w:tcW w:type="dxa" w:w="1361"/>
          </w:tcPr>
          <w:p>
            <w:r>
              <w:rPr>
                <w:sz w:val="19"/>
              </w:rPr>
              <w:t>JD</w:t>
            </w:r>
          </w:p>
        </w:tc>
        <w:tc>
          <w:tcPr>
            <w:tcW w:type="dxa" w:w="2608"/>
          </w:tcPr>
          <w:p>
            <w:r>
              <w:rPr>
                <w:sz w:val="19"/>
              </w:rPr>
              <w:t>京东 IR · 港交所披露易（9618）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ir.jd.com / hkexnews.hk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财报 → 按分部经营</w:t>
            </w:r>
          </w:p>
        </w:tc>
      </w:tr>
      <w:tr>
        <w:tc>
          <w:tcPr>
            <w:tcW w:type="dxa" w:w="1361"/>
          </w:tcPr>
          <w:p>
            <w:r>
              <w:rPr>
                <w:sz w:val="19"/>
              </w:rPr>
              <w:t>行业大盘</w:t>
            </w:r>
          </w:p>
        </w:tc>
        <w:tc>
          <w:tcPr>
            <w:tcW w:type="dxa" w:w="2608"/>
          </w:tcPr>
          <w:p>
            <w:r>
              <w:rPr>
                <w:sz w:val="19"/>
              </w:rPr>
              <w:t>国家统计局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stats.gov.cn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商品零售 → 网上零售额</w:t>
            </w:r>
          </w:p>
        </w:tc>
      </w:tr>
      <w:tr>
        <w:tc>
          <w:tcPr>
            <w:tcW w:type="dxa" w:w="1361"/>
          </w:tcPr>
          <w:p>
            <w:r>
              <w:rPr>
                <w:sz w:val="19"/>
              </w:rPr>
              <w:t>第三方研究</w:t>
            </w:r>
          </w:p>
        </w:tc>
        <w:tc>
          <w:tcPr>
            <w:tcW w:type="dxa" w:w="2608"/>
          </w:tcPr>
          <w:p>
            <w:r>
              <w:rPr>
                <w:sz w:val="19"/>
              </w:rPr>
              <w:t>艾瑞 / QuestMobile / Macrotrends / 慧博投研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电商行业月报 / DAU·MAU / 10年财务</w:t>
            </w:r>
          </w:p>
        </w:tc>
      </w:tr>
    </w:tbl>
    <w:p>
      <w:pPr>
        <w:spacing w:after="40"/>
      </w:pPr>
    </w:p>
    <w:p>
      <w:pPr>
        <w:spacing w:before="360" w:after="240"/>
        <w:pBdr>
          <w:bottom w:val="single" w:sz="12" w:space="4" w:color="0F172A"/>
        </w:pBdr>
      </w:pPr>
      <w:r>
        <w:rPr>
          <w:b/>
          <w:color w:val="0F172A"/>
          <w:sz w:val="40"/>
        </w:rPr>
        <w:t>附录 C. 配套 Excel 工作簿</w:t>
      </w:r>
    </w:p>
    <w:p>
      <w:pPr>
        <w:spacing w:after="80"/>
      </w:pPr>
      <w:r>
        <w:rPr>
          <w:color w:val="1E293B"/>
          <w:sz w:val="21"/>
        </w:rPr>
        <w:t>完整中间过程、计算公式、关键指标颜色标注请见配套 Excel 文件：「淘天BP分析过程_工作簿.xlsx」，包含 10 个工作表（市场份额测算、收入结构拆解、UE 模型、驱动因子树、Bridge 归因、问题诊断、对标、敏感性、口径假设、数据源）。Word 报告与 Excel 工作簿数字完全一致；如有不一致以 Excel 为准。</w:t>
      </w:r>
    </w:p>
    <w:p>
      <w:pPr>
        <w:jc w:val="center"/>
      </w:pPr>
      <w:r>
        <w:rPr>
          <w:b/>
          <w:color w:val="64748B"/>
          <w:sz w:val="22"/>
        </w:rPr>
        <w:t>— 报告完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