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40"/>
          <w:szCs w:val="40"/>
          <w:u w:val="single"/>
        </w:rPr>
      </w:pPr>
      <w:r w:rsidDel="00000000" w:rsidR="00000000" w:rsidRPr="00000000">
        <w:rPr>
          <w:rtl w:val="0"/>
        </w:rPr>
        <w:t xml:space="preserve"> </w:t>
      </w:r>
      <w:r w:rsidDel="00000000" w:rsidR="00000000" w:rsidRPr="00000000">
        <w:rPr>
          <w:sz w:val="40"/>
          <w:szCs w:val="40"/>
          <w:u w:val="single"/>
          <w:rtl w:val="0"/>
        </w:rPr>
        <w:t xml:space="preserve">Project 3 - Data Engineering Track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Credit Score Classification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Some topics, ideas and questions that we’ll explore based on our credit score classification dataset that will help with Project 3 - Data Engineering Track, factors influencing credit scores like financial features, occupation, age, and loan payment behaviour and other risk assessments affecting credit scores. Data extractions, SQL,  ELT, HTML, CSS and JavaScript will be used for the data analysis.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Klood Azam - Question no. 1</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Deniza Robinson -  Question no. 5 &amp; HTML visiualisation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Jennifer Mancheno - Question no.4 Pandas DataFrame, 6</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Sukhwinder Singh - Question no. 3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u w:val="single"/>
          <w:rtl w:val="0"/>
        </w:rPr>
        <w:t xml:space="preserve">Source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https://www.kaggle.com/datasets/parisrohan/credit-score-classification/data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