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120" w:line="276" w:lineRule="auto"/>
        <w:jc w:val="center"/>
      </w:pPr>
      <w:r>
        <w:rPr>
          <w:rFonts w:ascii="Arial" w:hAnsi="Arial"/>
          <w:b/>
          <w:i w:val="0"/>
          <w:color w:val="003366"/>
          <w:sz w:val="44"/>
        </w:rPr>
        <w:t>ESPECIFICACIÓN DE REQUISITOS, ARQUITECTURA Y PLANEACIÓN TÉCNICA</w:t>
      </w:r>
    </w:p>
    <w:p>
      <w:pPr>
        <w:spacing w:before="0" w:after="480" w:line="276" w:lineRule="auto"/>
        <w:jc w:val="center"/>
      </w:pPr>
      <w:r>
        <w:rPr>
          <w:rFonts w:ascii="Arial" w:hAnsi="Arial"/>
          <w:b w:val="0"/>
          <w:i/>
          <w:color w:val="006699"/>
          <w:sz w:val="28"/>
        </w:rPr>
        <w:t>Ecosistema Digital Multiplataforma Inteligente: DentalSync Connect</w:t>
      </w:r>
    </w:p>
    <w:p>
      <w:pPr>
        <w:spacing w:before="0" w:after="120" w:line="276" w:lineRule="auto"/>
        <w:jc w:val="center"/>
      </w:pPr>
      <w:r>
        <w:rPr>
          <w:rFonts w:ascii="Arial" w:hAnsi="Arial"/>
          <w:b w:val="0"/>
          <w:i w:val="0"/>
          <w:color w:val="555555"/>
          <w:sz w:val="22"/>
        </w:rPr>
        <w:t>Materia: Desarrollo para Dispositivos Inteligentes</w:t>
        <w:br/>
        <w:t>Presenta: T.S.U. Julián David Sierra &amp; T.S.U. Jennifer Muñoz Mendoza</w:t>
        <w:br/>
        <w:t>Profesor de Asignatura: Ing. Daniel Martínez Trejo</w:t>
        <w:br/>
        <w:t>Unidad Académica Jalpan - Junio de 2026</w:t>
      </w:r>
    </w:p>
    <w:p>
      <w:r>
        <w:br w:type="page"/>
      </w:r>
    </w:p>
    <w:p>
      <w:pPr>
        <w:keepNext/>
        <w:spacing w:before="360" w:after="160" w:line="276" w:lineRule="auto"/>
        <w:jc w:val="left"/>
      </w:pPr>
      <w:r>
        <w:rPr>
          <w:rFonts w:ascii="Arial" w:hAnsi="Arial"/>
          <w:b/>
          <w:i w:val="0"/>
          <w:color w:val="003366"/>
          <w:sz w:val="36"/>
        </w:rPr>
        <w:t>1. INTRODUCCIÓN Y MARCO INICIAL</w:t>
      </w:r>
    </w:p>
    <w:p>
      <w:pPr>
        <w:keepNext/>
        <w:spacing w:before="240" w:after="120" w:line="276" w:lineRule="auto"/>
        <w:jc w:val="left"/>
      </w:pPr>
      <w:r>
        <w:rPr>
          <w:rFonts w:ascii="Arial" w:hAnsi="Arial"/>
          <w:b/>
          <w:i w:val="0"/>
          <w:color w:val="006699"/>
          <w:sz w:val="28"/>
        </w:rPr>
        <w:t>1.1 Propósito</w:t>
      </w:r>
    </w:p>
    <w:p>
      <w:pPr>
        <w:spacing w:before="0" w:after="120" w:line="276" w:lineRule="auto"/>
        <w:jc w:val="left"/>
      </w:pPr>
      <w:r>
        <w:rPr>
          <w:rFonts w:ascii="Arial" w:hAnsi="Arial"/>
          <w:b w:val="0"/>
          <w:i w:val="0"/>
          <w:color w:val="333333"/>
          <w:sz w:val="22"/>
        </w:rPr>
        <w:t>El propósito de este módulo técnico es estructurar de manera formal y rigurosa la especificación de requisitos funcionales y no funcionales, el diseño arquitectónico definitivo y la planeación temporal del ecosistema digital DentalSync Connect. Este documento actúa como el plano de ingeniería y directriz contractual para asegurar la consistencia del desarrollo multiplataforma.</w:t>
      </w:r>
    </w:p>
    <w:p>
      <w:pPr>
        <w:keepNext/>
        <w:spacing w:before="240" w:after="120" w:line="276" w:lineRule="auto"/>
        <w:jc w:val="left"/>
      </w:pPr>
      <w:r>
        <w:rPr>
          <w:rFonts w:ascii="Arial" w:hAnsi="Arial"/>
          <w:b/>
          <w:i w:val="0"/>
          <w:color w:val="006699"/>
          <w:sz w:val="28"/>
        </w:rPr>
        <w:t>1.2 Alcance del Proyecto</w:t>
      </w:r>
    </w:p>
    <w:p>
      <w:pPr>
        <w:spacing w:before="0" w:after="120" w:line="276" w:lineRule="auto"/>
        <w:jc w:val="left"/>
      </w:pPr>
      <w:r>
        <w:rPr>
          <w:rFonts w:ascii="Arial" w:hAnsi="Arial"/>
          <w:b w:val="0"/>
          <w:i w:val="0"/>
          <w:color w:val="333333"/>
          <w:sz w:val="22"/>
        </w:rPr>
        <w:t>El alcance del proyecto comprende la construcción de una base de código unificada mediante el framework Flutter, la cual compilará de forma nativa para tres factores de forma principales que interactúan sincrónicamente:</w:t>
      </w:r>
    </w:p>
    <w:p>
      <w:pPr>
        <w:pStyle w:val="ListBullet"/>
        <w:spacing w:before="0" w:after="80" w:line="276" w:lineRule="auto"/>
      </w:pPr>
      <w:r>
        <w:rPr>
          <w:rFonts w:ascii="Arial" w:hAnsi="Arial"/>
          <w:b/>
          <w:color w:val="333333"/>
          <w:sz w:val="22"/>
        </w:rPr>
        <w:t>Tablets (Android / iPadOS):</w:t>
      </w:r>
      <w:r>
        <w:rPr>
          <w:rFonts w:ascii="Arial" w:hAnsi="Arial"/>
          <w:color w:val="333333"/>
          <w:sz w:val="22"/>
        </w:rPr>
        <w:t xml:space="preserve"> Consola central con dashboard denso para control de filas, visualización de analíticas y administración clínica en tiempo real.</w:t>
      </w:r>
    </w:p>
    <w:p>
      <w:pPr>
        <w:pStyle w:val="ListBullet"/>
        <w:spacing w:before="0" w:after="80" w:line="276" w:lineRule="auto"/>
      </w:pPr>
      <w:r>
        <w:rPr>
          <w:rFonts w:ascii="Arial" w:hAnsi="Arial"/>
          <w:b/>
          <w:color w:val="333333"/>
          <w:sz w:val="22"/>
        </w:rPr>
        <w:t>Teléfonos Móviles (Android / iOS):</w:t>
      </w:r>
      <w:r>
        <w:rPr>
          <w:rFonts w:ascii="Arial" w:hAnsi="Arial"/>
          <w:color w:val="333333"/>
          <w:sz w:val="22"/>
        </w:rPr>
        <w:t xml:space="preserve"> Interfaz fluida orientada al consumidor final para agendamiento remoto, check-in seguro, gestión de historial y configuraciones biométricas.</w:t>
      </w:r>
    </w:p>
    <w:p>
      <w:pPr>
        <w:pStyle w:val="ListBullet"/>
        <w:spacing w:before="0" w:after="80" w:line="276" w:lineRule="auto"/>
      </w:pPr>
      <w:r>
        <w:rPr>
          <w:rFonts w:ascii="Arial" w:hAnsi="Arial"/>
          <w:b/>
          <w:color w:val="333333"/>
          <w:sz w:val="22"/>
        </w:rPr>
        <w:t>Smartwatches (Wear OS / watchOS):</w:t>
      </w:r>
      <w:r>
        <w:rPr>
          <w:rFonts w:ascii="Arial" w:hAnsi="Arial"/>
          <w:color w:val="333333"/>
          <w:sz w:val="22"/>
        </w:rPr>
        <w:t xml:space="preserve"> Interfaz compacta de accesibilidad inmediata dedicada a recibir alertas hápticas prioritarias de turnos y confirmaciones en la muñeca.</w:t>
      </w:r>
    </w:p>
    <w:p>
      <w:pPr>
        <w:spacing w:before="0" w:after="120" w:line="276" w:lineRule="auto"/>
        <w:jc w:val="left"/>
      </w:pPr>
      <w:r>
        <w:rPr>
          <w:rFonts w:ascii="Arial" w:hAnsi="Arial"/>
          <w:b w:val="0"/>
          <w:i w:val="0"/>
          <w:color w:val="333333"/>
          <w:sz w:val="22"/>
        </w:rPr>
        <w:t>Se excluye del alcance ejecutable directo de esta fase la interfaz estática para pantallas de televisión inteligentes, delegando su visualización pasiva al consumo directo de eventos de la base de datos.</w:t>
      </w:r>
    </w:p>
    <w:p>
      <w:pPr>
        <w:keepNext/>
        <w:spacing w:before="360" w:after="160" w:line="276" w:lineRule="auto"/>
        <w:jc w:val="left"/>
      </w:pPr>
      <w:r>
        <w:rPr>
          <w:rFonts w:ascii="Arial" w:hAnsi="Arial"/>
          <w:b/>
          <w:i w:val="0"/>
          <w:color w:val="003366"/>
          <w:sz w:val="36"/>
        </w:rPr>
        <w:t>2. CONFIGURACIÓN DE REQUISITOS DEL SISTEMA</w:t>
      </w:r>
    </w:p>
    <w:p>
      <w:pPr>
        <w:keepNext/>
        <w:spacing w:before="240" w:after="120" w:line="276" w:lineRule="auto"/>
        <w:jc w:val="left"/>
      </w:pPr>
      <w:r>
        <w:rPr>
          <w:rFonts w:ascii="Arial" w:hAnsi="Arial"/>
          <w:b/>
          <w:i w:val="0"/>
          <w:color w:val="006699"/>
          <w:sz w:val="28"/>
        </w:rPr>
        <w:t>2.1 Requisitos Funcionales (RF)</w:t>
      </w:r>
    </w:p>
    <w:p>
      <w:pPr>
        <w:keepNext/>
        <w:spacing w:before="120" w:after="80" w:line="276" w:lineRule="auto"/>
        <w:jc w:val="left"/>
      </w:pPr>
      <w:r>
        <w:rPr>
          <w:rFonts w:ascii="Arial" w:hAnsi="Arial"/>
          <w:b/>
          <w:i/>
          <w:color w:val="444444"/>
          <w:sz w:val="24"/>
        </w:rPr>
        <w:t>Módulo B2B &amp; Onboarding Empresarial</w:t>
      </w:r>
    </w:p>
    <w:p>
      <w:pPr>
        <w:pStyle w:val="ListBullet"/>
        <w:spacing w:before="0" w:after="80" w:line="276" w:lineRule="auto"/>
      </w:pPr>
      <w:r>
        <w:rPr>
          <w:rFonts w:ascii="Arial" w:hAnsi="Arial"/>
          <w:b/>
          <w:color w:val="333333"/>
          <w:sz w:val="22"/>
        </w:rPr>
        <w:t>RF-01 (Registro y Validación Legal):</w:t>
      </w:r>
      <w:r>
        <w:rPr>
          <w:rFonts w:ascii="Arial" w:hAnsi="Arial"/>
          <w:color w:val="333333"/>
          <w:sz w:val="22"/>
        </w:rPr>
        <w:t>El sistema debe proveer una interfaz corporativa que obligue a las clínicas a cargar sus licencias sanitarias y cédulas profesionales vigentes antes de activar su espacio operativo.</w:t>
      </w:r>
    </w:p>
    <w:p>
      <w:pPr>
        <w:pStyle w:val="ListBullet"/>
        <w:spacing w:before="0" w:after="80" w:line="276" w:lineRule="auto"/>
      </w:pPr>
      <w:r>
        <w:rPr>
          <w:rFonts w:ascii="Arial" w:hAnsi="Arial"/>
          <w:b/>
          <w:color w:val="333333"/>
          <w:sz w:val="22"/>
        </w:rPr>
        <w:t>RF-02 (Asignación de Sello de Confianza):</w:t>
      </w:r>
      <w:r>
        <w:rPr>
          <w:rFonts w:ascii="Arial" w:hAnsi="Arial"/>
          <w:color w:val="333333"/>
          <w:sz w:val="22"/>
        </w:rPr>
        <w:t>Tras la validación de las credenciales legales, el sistema generará y asociará de forma inmutable un Sello de Confianza Digital verificado criptográficamente.</w:t>
      </w:r>
    </w:p>
    <w:p>
      <w:pPr>
        <w:keepNext/>
        <w:spacing w:before="120" w:after="80" w:line="276" w:lineRule="auto"/>
        <w:jc w:val="left"/>
      </w:pPr>
      <w:r>
        <w:rPr>
          <w:rFonts w:ascii="Arial" w:hAnsi="Arial"/>
          <w:b/>
          <w:i/>
          <w:color w:val="444444"/>
          <w:sz w:val="24"/>
        </w:rPr>
        <w:t>Módulo de Vinculación y Seguridad de Pacientes</w:t>
      </w:r>
    </w:p>
    <w:p>
      <w:pPr>
        <w:pStyle w:val="ListBullet"/>
        <w:spacing w:before="0" w:after="80" w:line="276" w:lineRule="auto"/>
      </w:pPr>
      <w:r>
        <w:rPr>
          <w:rFonts w:ascii="Arial" w:hAnsi="Arial"/>
          <w:b/>
          <w:color w:val="333333"/>
          <w:sz w:val="22"/>
        </w:rPr>
        <w:t>RF-03 (Vinculación por ID Cifrado):</w:t>
      </w:r>
      <w:r>
        <w:rPr>
          <w:rFonts w:ascii="Arial" w:hAnsi="Arial"/>
          <w:color w:val="333333"/>
          <w:sz w:val="22"/>
        </w:rPr>
        <w:t>El sistema debe permitir enlazar la app móvil del paciente con una clínica mediante un ID alfanumérico único cifrado de invitación, despachado de forma segura por SMS o Email corporativo.</w:t>
      </w:r>
    </w:p>
    <w:p>
      <w:pPr>
        <w:pStyle w:val="ListBullet"/>
        <w:spacing w:before="0" w:after="80" w:line="276" w:lineRule="auto"/>
      </w:pPr>
      <w:r>
        <w:rPr>
          <w:rFonts w:ascii="Arial" w:hAnsi="Arial"/>
          <w:b/>
          <w:color w:val="333333"/>
          <w:sz w:val="22"/>
        </w:rPr>
        <w:t>RF-04 (Vinculación por QR Dinámico Presencial):</w:t>
      </w:r>
      <w:r>
        <w:rPr>
          <w:rFonts w:ascii="Arial" w:hAnsi="Arial"/>
          <w:color w:val="333333"/>
          <w:sz w:val="22"/>
        </w:rPr>
        <w:t>La aplicación de teléfono móvil debe permitir la lectura de códigos QR dinámicos generados exclusivamente en las terminales físicas de recepción.</w:t>
      </w:r>
    </w:p>
    <w:p>
      <w:pPr>
        <w:pStyle w:val="ListBullet"/>
        <w:spacing w:before="0" w:after="80" w:line="276" w:lineRule="auto"/>
      </w:pPr>
      <w:r>
        <w:rPr>
          <w:rFonts w:ascii="Arial" w:hAnsi="Arial"/>
          <w:b/>
          <w:color w:val="333333"/>
          <w:sz w:val="22"/>
        </w:rPr>
        <w:t>RF-05 (Validación por Geocercas - Geofencing):</w:t>
      </w:r>
      <w:r>
        <w:rPr>
          <w:rFonts w:ascii="Arial" w:hAnsi="Arial"/>
          <w:color w:val="333333"/>
          <w:sz w:val="22"/>
        </w:rPr>
        <w:t>Al escanear el QR, la app debe interrogar al API de geolocalización del hardware para certificar que el paciente se encuentra dentro del rango de metros (geocerca) establecido oficialmente por la clínica.</w:t>
      </w:r>
    </w:p>
    <w:p>
      <w:pPr>
        <w:keepNext/>
        <w:spacing w:before="120" w:after="80" w:line="276" w:lineRule="auto"/>
        <w:jc w:val="left"/>
      </w:pPr>
      <w:r>
        <w:rPr>
          <w:rFonts w:ascii="Arial" w:hAnsi="Arial"/>
          <w:b/>
          <w:i/>
          <w:color w:val="444444"/>
          <w:sz w:val="24"/>
        </w:rPr>
        <w:t>Módulo de Agendamiento y Control del Flujo Clínico</w:t>
      </w:r>
    </w:p>
    <w:p>
      <w:pPr>
        <w:pStyle w:val="ListBullet"/>
        <w:spacing w:before="0" w:after="80" w:line="276" w:lineRule="auto"/>
      </w:pPr>
      <w:r>
        <w:rPr>
          <w:rFonts w:ascii="Arial" w:hAnsi="Arial"/>
          <w:b/>
          <w:color w:val="333333"/>
          <w:sz w:val="22"/>
        </w:rPr>
        <w:t>RF-06 (Flujo de Agendamiento en 3 Pasos):</w:t>
      </w:r>
      <w:r>
        <w:rPr>
          <w:rFonts w:ascii="Arial" w:hAnsi="Arial"/>
          <w:color w:val="333333"/>
          <w:sz w:val="22"/>
        </w:rPr>
        <w:t>El smartphone debe guiar al paciente en una secuencia de tres pasos: 1) Selección de tratamiento con desglose de precios; 2) Elección de especialista y bloque horario sobre un almanaque mensual dinámico; 3) Confirmación e inserción inicial en estado 'Upcoming'.</w:t>
      </w:r>
    </w:p>
    <w:p>
      <w:pPr>
        <w:pStyle w:val="ListBullet"/>
        <w:spacing w:before="0" w:after="80" w:line="276" w:lineRule="auto"/>
      </w:pPr>
      <w:r>
        <w:rPr>
          <w:rFonts w:ascii="Arial" w:hAnsi="Arial"/>
          <w:b/>
          <w:color w:val="333333"/>
          <w:sz w:val="22"/>
        </w:rPr>
        <w:t>RF-07 (Pipeline de Estados Síncronos):</w:t>
      </w:r>
      <w:r>
        <w:rPr>
          <w:rFonts w:ascii="Arial" w:hAnsi="Arial"/>
          <w:color w:val="333333"/>
          <w:sz w:val="22"/>
        </w:rPr>
        <w:t>El core del backend debe administrar y propagar el ciclo de vida de la cita a través de los estados consecutivos fijos: Upcoming -&gt; In Lobby -&gt; In Treatment -&gt; Completed.</w:t>
      </w:r>
    </w:p>
    <w:p>
      <w:pPr>
        <w:pStyle w:val="ListBullet"/>
        <w:spacing w:before="0" w:after="80" w:line="276" w:lineRule="auto"/>
      </w:pPr>
      <w:r>
        <w:rPr>
          <w:rFonts w:ascii="Arial" w:hAnsi="Arial"/>
          <w:b/>
          <w:color w:val="333333"/>
          <w:sz w:val="22"/>
        </w:rPr>
        <w:t>RF-08 (Consola de Gestión y Analíticas en Tablet):</w:t>
      </w:r>
      <w:r>
        <w:rPr>
          <w:rFonts w:ascii="Arial" w:hAnsi="Arial"/>
          <w:color w:val="333333"/>
          <w:sz w:val="22"/>
        </w:rPr>
        <w:t>La tablet de gestión debe permitir a la recepción u odontólogo visualizar analíticas (esperas promedio, check-ins del día), reordenar la fila táctilmente y detonar las acciones concurrentes 'Call Next Patient' o 'Skip'.</w:t>
      </w:r>
    </w:p>
    <w:p>
      <w:pPr>
        <w:pStyle w:val="ListBullet"/>
        <w:spacing w:before="0" w:after="80" w:line="276" w:lineRule="auto"/>
      </w:pPr>
      <w:r>
        <w:rPr>
          <w:rFonts w:ascii="Arial" w:hAnsi="Arial"/>
          <w:b/>
          <w:color w:val="333333"/>
          <w:sz w:val="22"/>
        </w:rPr>
        <w:t>RF-09 (Alerta Háptica en Smartwatch):</w:t>
      </w:r>
      <w:r>
        <w:rPr>
          <w:rFonts w:ascii="Arial" w:hAnsi="Arial"/>
          <w:color w:val="333333"/>
          <w:sz w:val="22"/>
        </w:rPr>
        <w:t>Al presionar 'Call Next Patient' en la tablet, el backend debe despachar un payload de alta prioridad hacia el smartwatch vinculado para transicionar la pantalla e iniciar una alerta vibratoria persistente.</w:t>
      </w:r>
    </w:p>
    <w:p>
      <w:pPr>
        <w:keepNext/>
        <w:spacing w:before="240" w:after="120" w:line="276" w:lineRule="auto"/>
        <w:jc w:val="left"/>
      </w:pPr>
      <w:r>
        <w:rPr>
          <w:rFonts w:ascii="Arial" w:hAnsi="Arial"/>
          <w:b/>
          <w:i w:val="0"/>
          <w:color w:val="006699"/>
          <w:sz w:val="28"/>
        </w:rPr>
        <w:t>2.2 Requisitos No Funcionales (RNF)</w:t>
      </w:r>
    </w:p>
    <w:p>
      <w:pPr>
        <w:pStyle w:val="ListBullet"/>
        <w:spacing w:before="0" w:after="80" w:line="276" w:lineRule="auto"/>
      </w:pPr>
      <w:r>
        <w:rPr>
          <w:rFonts w:ascii="Arial" w:hAnsi="Arial"/>
          <w:b/>
          <w:color w:val="333333"/>
          <w:sz w:val="22"/>
        </w:rPr>
        <w:t>RNF-01 (Latencia en Tiempo Real):</w:t>
      </w:r>
      <w:r>
        <w:rPr>
          <w:rFonts w:ascii="Arial" w:hAnsi="Arial"/>
          <w:color w:val="333333"/>
          <w:sz w:val="22"/>
        </w:rPr>
        <w:t>La propagación de cambios de la cola de espera desde un dispositivo hacia el dashboard de la tablet debe completarse en un tiempo inferior a 1.5 segundos mediante canales síncronos persistentes.</w:t>
      </w:r>
    </w:p>
    <w:p>
      <w:pPr>
        <w:pStyle w:val="ListBullet"/>
        <w:spacing w:before="0" w:after="80" w:line="276" w:lineRule="auto"/>
      </w:pPr>
      <w:r>
        <w:rPr>
          <w:rFonts w:ascii="Arial" w:hAnsi="Arial"/>
          <w:b/>
          <w:color w:val="333333"/>
          <w:sz w:val="22"/>
        </w:rPr>
        <w:t>RNF-02 (Seguridad Multi-tenancy Estricta):</w:t>
      </w:r>
      <w:r>
        <w:rPr>
          <w:rFonts w:ascii="Arial" w:hAnsi="Arial"/>
          <w:color w:val="333333"/>
          <w:sz w:val="22"/>
        </w:rPr>
        <w:t>El aislamiento lógico de la base de datos debe ser absoluto. Se debe forzar el uso de políticas de Row Level Security (RLS) en Postgres de modo que ningún inquilino (clínica) pueda interceptar, modificar o listar información ajena.</w:t>
      </w:r>
    </w:p>
    <w:p>
      <w:pPr>
        <w:pStyle w:val="ListBullet"/>
        <w:spacing w:before="0" w:after="80" w:line="276" w:lineRule="auto"/>
      </w:pPr>
      <w:r>
        <w:rPr>
          <w:rFonts w:ascii="Arial" w:hAnsi="Arial"/>
          <w:b/>
          <w:color w:val="333333"/>
          <w:sz w:val="22"/>
        </w:rPr>
        <w:t>RNF-03 (Escalabilidad y Concurrencia):</w:t>
      </w:r>
      <w:r>
        <w:rPr>
          <w:rFonts w:ascii="Arial" w:hAnsi="Arial"/>
          <w:color w:val="333333"/>
          <w:sz w:val="22"/>
        </w:rPr>
        <w:t>El backend y los canales de WebSockets de Supabase deben configurarse de manera elástica para soportar altas solicitudes concurrentes distribuidas sin degradación del throughput.</w:t>
      </w:r>
    </w:p>
    <w:p>
      <w:pPr>
        <w:pStyle w:val="ListBullet"/>
        <w:spacing w:before="0" w:after="80" w:line="276" w:lineRule="auto"/>
      </w:pPr>
      <w:r>
        <w:rPr>
          <w:rFonts w:ascii="Arial" w:hAnsi="Arial"/>
          <w:b/>
          <w:color w:val="333333"/>
          <w:sz w:val="22"/>
        </w:rPr>
        <w:t>RNF-04 (Eficiencia Energética Vestible):</w:t>
      </w:r>
      <w:r>
        <w:rPr>
          <w:rFonts w:ascii="Arial" w:hAnsi="Arial"/>
          <w:color w:val="333333"/>
          <w:sz w:val="22"/>
        </w:rPr>
        <w:t>La interfaz del reloj inteligente debe utilizar obligatoriamente un tema oscuro puro (background #000000) para aminorar drásticamente el consumo energético en pantallas AMOLED/OLED durante el modo de espera pasiva.</w:t>
      </w:r>
    </w:p>
    <w:p>
      <w:pPr>
        <w:keepNext/>
        <w:spacing w:before="360" w:after="160" w:line="276" w:lineRule="auto"/>
        <w:jc w:val="left"/>
      </w:pPr>
      <w:r>
        <w:rPr>
          <w:rFonts w:ascii="Arial" w:hAnsi="Arial"/>
          <w:b/>
          <w:i w:val="0"/>
          <w:color w:val="003366"/>
          <w:sz w:val="36"/>
        </w:rPr>
        <w:t>3. ARQUITECTURA, INTERFACES Y STACK TECNOLÓGICO</w:t>
      </w:r>
    </w:p>
    <w:p>
      <w:pPr>
        <w:keepNext/>
        <w:spacing w:before="240" w:after="120" w:line="276" w:lineRule="auto"/>
        <w:jc w:val="left"/>
      </w:pPr>
      <w:r>
        <w:rPr>
          <w:rFonts w:ascii="Arial" w:hAnsi="Arial"/>
          <w:b/>
          <w:i w:val="0"/>
          <w:color w:val="006699"/>
          <w:sz w:val="28"/>
        </w:rPr>
        <w:t>3.1 Stack Tecnológico Unificado</w:t>
      </w:r>
    </w:p>
    <w:p>
      <w:pPr>
        <w:spacing w:before="0" w:after="120" w:line="276" w:lineRule="auto"/>
        <w:jc w:val="left"/>
      </w:pPr>
      <w:r>
        <w:rPr>
          <w:rFonts w:ascii="Arial" w:hAnsi="Arial"/>
          <w:b w:val="0"/>
          <w:i w:val="0"/>
          <w:color w:val="333333"/>
          <w:sz w:val="22"/>
        </w:rPr>
        <w:t>Para materializar la filosofía de una sola aplicación multi-dispositivo sin ramificar el desarrollo en múltiples repositorios separados, se determina el siguiente stack tecnológico:</w:t>
      </w:r>
    </w:p>
    <w:p>
      <w:pPr>
        <w:pStyle w:val="ListBullet"/>
        <w:spacing w:before="0" w:after="80" w:line="276" w:lineRule="auto"/>
      </w:pPr>
      <w:r>
        <w:rPr>
          <w:rFonts w:ascii="Arial" w:hAnsi="Arial"/>
          <w:b/>
          <w:color w:val="333333"/>
          <w:sz w:val="22"/>
        </w:rPr>
        <w:t>Framework de UI Extensible:</w:t>
      </w:r>
      <w:r>
        <w:rPr>
          <w:rFonts w:ascii="Arial" w:hAnsi="Arial"/>
          <w:color w:val="333333"/>
          <w:sz w:val="22"/>
        </w:rPr>
        <w:t xml:space="preserve"> Lenguaje Dart. Control adaptativo de layouts mediante LayoutBuilder, MediaQuery y abstracción de componentes responsivos.</w:t>
      </w:r>
    </w:p>
    <w:p>
      <w:pPr>
        <w:pStyle w:val="ListBullet"/>
        <w:spacing w:before="0" w:after="80" w:line="276" w:lineRule="auto"/>
      </w:pPr>
      <w:r>
        <w:rPr>
          <w:rFonts w:ascii="Arial" w:hAnsi="Arial"/>
          <w:b/>
          <w:color w:val="333333"/>
          <w:sz w:val="22"/>
        </w:rPr>
        <w:t>Backend de Datos Serverless:</w:t>
      </w:r>
      <w:r>
        <w:rPr>
          <w:rFonts w:ascii="Arial" w:hAnsi="Arial"/>
          <w:color w:val="333333"/>
          <w:sz w:val="22"/>
        </w:rPr>
        <w:t xml:space="preserve"> PostgreSQL relacional gestionado a través de Supabase, proveyendo un motor integrado de WebSockets de alto rendimiento para sincronización pasiva y activa.</w:t>
      </w:r>
    </w:p>
    <w:p>
      <w:pPr>
        <w:pStyle w:val="ListBullet"/>
        <w:spacing w:before="0" w:after="80" w:line="276" w:lineRule="auto"/>
      </w:pPr>
      <w:r>
        <w:rPr>
          <w:rFonts w:ascii="Arial" w:hAnsi="Arial"/>
          <w:b/>
          <w:color w:val="333333"/>
          <w:sz w:val="22"/>
        </w:rPr>
        <w:t>Capa de Seguridad de Datos:</w:t>
      </w:r>
      <w:r>
        <w:rPr>
          <w:rFonts w:ascii="Arial" w:hAnsi="Arial"/>
          <w:color w:val="333333"/>
          <w:sz w:val="22"/>
        </w:rPr>
        <w:t xml:space="preserve"> Implementación implícita de políticas Row Level Security (RLS) vinculadas a los JWT de autenticación de Supabase Auth.</w:t>
      </w:r>
    </w:p>
    <w:p>
      <w:pPr>
        <w:pStyle w:val="ListBullet"/>
        <w:spacing w:before="0" w:after="80" w:line="276" w:lineRule="auto"/>
      </w:pPr>
      <w:r>
        <w:rPr>
          <w:rFonts w:ascii="Arial" w:hAnsi="Arial"/>
          <w:b/>
          <w:color w:val="333333"/>
          <w:sz w:val="22"/>
        </w:rPr>
        <w:t>Módulo de Ubicación:</w:t>
      </w:r>
      <w:r>
        <w:rPr>
          <w:rFonts w:ascii="Arial" w:hAnsi="Arial"/>
          <w:color w:val="333333"/>
          <w:sz w:val="22"/>
        </w:rPr>
        <w:t xml:space="preserve"> Integración nativa de la librería 'geolocator' de Flutter para cálculos matemáticos espaciales utilizando la fórmula de Haversine de manera local.</w:t>
      </w:r>
    </w:p>
    <w:p>
      <w:pPr>
        <w:keepNext/>
        <w:spacing w:before="240" w:after="120" w:line="276" w:lineRule="auto"/>
        <w:jc w:val="left"/>
      </w:pPr>
      <w:r>
        <w:rPr>
          <w:rFonts w:ascii="Arial" w:hAnsi="Arial"/>
          <w:b/>
          <w:i w:val="0"/>
          <w:color w:val="006699"/>
          <w:sz w:val="28"/>
        </w:rPr>
        <w:t>3.2 Estrategia de Diseño de Interfaces por Tipo de Dispositivo</w:t>
      </w:r>
    </w:p>
    <w:p>
      <w:pPr>
        <w:spacing w:before="0" w:after="120" w:line="276" w:lineRule="auto"/>
        <w:jc w:val="left"/>
      </w:pPr>
      <w:r>
        <w:rPr>
          <w:rFonts w:ascii="Arial" w:hAnsi="Arial"/>
          <w:b w:val="0"/>
          <w:i w:val="0"/>
          <w:color w:val="333333"/>
          <w:sz w:val="22"/>
        </w:rPr>
        <w:t>El proyecto aborda tres paradigmas de diseño de interfaz de usuario diferenciados dentro del mismo compilado:</w:t>
      </w:r>
    </w:p>
    <w:p>
      <w:pPr>
        <w:spacing w:before="0" w:after="120" w:line="276" w:lineRule="auto"/>
        <w:jc w:val="left"/>
      </w:pPr>
      <w:r>
        <w:rPr>
          <w:rFonts w:ascii="Arial" w:hAnsi="Arial"/>
          <w:b w:val="0"/>
          <w:i w:val="0"/>
          <w:color w:val="333333"/>
          <w:sz w:val="22"/>
        </w:rPr>
        <w:t>1. Interfaz de Tablet (Gestión Avanzada): Layout estructurado en un panel maestro-detalle. El lado izquierdo reserva un menú lateral compacto de navegación global. El área principal despliega grids y tablas de información densa con fuentes nítidas. Los botones de acción crítica poseen dimensiones expandidas (área de contacto &gt; 64dp) para garantizar precisión al ser operados bajo guantes clínicos de látex o nitrilo.</w:t>
      </w:r>
    </w:p>
    <w:p>
      <w:pPr>
        <w:spacing w:before="0" w:after="120" w:line="276" w:lineRule="auto"/>
        <w:jc w:val="left"/>
      </w:pPr>
      <w:r>
        <w:rPr>
          <w:rFonts w:ascii="Arial" w:hAnsi="Arial"/>
          <w:b w:val="0"/>
          <w:i w:val="0"/>
          <w:color w:val="333333"/>
          <w:sz w:val="22"/>
        </w:rPr>
        <w:t>2. Interfaz de Teléfono Móvil (Flujo del Consumidor): Layout lineal vertical y centrado para manipulación fluida con una sola mano. Utiliza navegación por tabs inferiores institucionales y un patrón de diseño basado en tarjetas redondeadas. El flujo de citas incluye validación visual y deshabilitación táctil inmediata para bloques de horarios saturados o días expirados.</w:t>
      </w:r>
    </w:p>
    <w:p>
      <w:pPr>
        <w:spacing w:before="0" w:after="120" w:line="276" w:lineRule="auto"/>
        <w:jc w:val="left"/>
      </w:pPr>
      <w:r>
        <w:rPr>
          <w:rFonts w:ascii="Arial" w:hAnsi="Arial"/>
          <w:b w:val="0"/>
          <w:i w:val="0"/>
          <w:color w:val="333333"/>
          <w:sz w:val="22"/>
        </w:rPr>
        <w:t>3. Interfaz de Smartwatch (Micro-Interacciones): Diseño ultra-simplificado para pantallas circulares o cuadradas. Se elimina todo texto denso y se reemplaza por indicadores cromáticos redundantes (Negro para espera, Verde para acción de llamada). Los botones de confirmación cubren un mínimo del 40% del área útil para mitigar errores de interacción.</w:t>
      </w:r>
    </w:p>
    <w:p>
      <w:pPr>
        <w:keepNext/>
        <w:spacing w:before="360" w:after="160" w:line="276" w:lineRule="auto"/>
        <w:jc w:val="left"/>
      </w:pPr>
      <w:r>
        <w:rPr>
          <w:rFonts w:ascii="Arial" w:hAnsi="Arial"/>
          <w:b/>
          <w:i w:val="0"/>
          <w:color w:val="003366"/>
          <w:sz w:val="36"/>
        </w:rPr>
        <w:t>4. CASOS DE USO Y DIAGRAMA DE ACTIVIDADES</w:t>
      </w:r>
    </w:p>
    <w:p>
      <w:pPr>
        <w:keepNext/>
        <w:spacing w:before="240" w:after="120" w:line="276" w:lineRule="auto"/>
        <w:jc w:val="left"/>
      </w:pPr>
      <w:r>
        <w:rPr>
          <w:rFonts w:ascii="Arial" w:hAnsi="Arial"/>
          <w:b/>
          <w:i w:val="0"/>
          <w:color w:val="006699"/>
          <w:sz w:val="28"/>
        </w:rPr>
        <w:t>4.1 Estructura del Diagrama de Casos de Uso</w:t>
      </w:r>
    </w:p>
    <w:p>
      <w:pPr>
        <w:spacing w:before="0" w:after="120" w:line="276" w:lineRule="auto"/>
        <w:jc w:val="left"/>
      </w:pPr>
      <w:r>
        <w:rPr>
          <w:rFonts w:ascii="Arial" w:hAnsi="Arial"/>
          <w:b w:val="0"/>
          <w:i w:val="0"/>
          <w:color w:val="333333"/>
          <w:sz w:val="22"/>
        </w:rPr>
        <w:t>El sistema orquesta la interacción de tres agentes sustanciales:</w:t>
      </w:r>
    </w:p>
    <w:p>
      <w:pPr>
        <w:pStyle w:val="ListBullet"/>
        <w:spacing w:before="0" w:after="80" w:line="276" w:lineRule="auto"/>
      </w:pPr>
      <w:r>
        <w:rPr>
          <w:rFonts w:ascii="Arial" w:hAnsi="Arial"/>
          <w:b/>
          <w:color w:val="333333"/>
          <w:sz w:val="22"/>
        </w:rPr>
        <w:t>Actor Administrador / Clínico:</w:t>
      </w:r>
      <w:r>
        <w:rPr>
          <w:rFonts w:ascii="Arial" w:hAnsi="Arial"/>
          <w:color w:val="333333"/>
          <w:sz w:val="22"/>
        </w:rPr>
        <w:t xml:space="preserve"> Realizar registro B2B, validar credenciales sanitarias, visualizar dashboard analítico de productividad, reordenar cola y ejecutar llamada de paciente.</w:t>
      </w:r>
    </w:p>
    <w:p>
      <w:pPr>
        <w:pStyle w:val="ListBullet"/>
        <w:spacing w:before="0" w:after="80" w:line="276" w:lineRule="auto"/>
      </w:pPr>
      <w:r>
        <w:rPr>
          <w:rFonts w:ascii="Arial" w:hAnsi="Arial"/>
          <w:b/>
          <w:color w:val="333333"/>
          <w:sz w:val="22"/>
        </w:rPr>
        <w:t>Actor Paciente:</w:t>
      </w:r>
      <w:r>
        <w:rPr>
          <w:rFonts w:ascii="Arial" w:hAnsi="Arial"/>
          <w:color w:val="333333"/>
          <w:sz w:val="22"/>
        </w:rPr>
        <w:t xml:space="preserve"> Autenticarse biométricamente, enlazar clínica vía ID/QR, agendar citas en tres pasos, efectuar autoregistro en geocerca y confirmar recepción de turnos.</w:t>
      </w:r>
    </w:p>
    <w:p>
      <w:pPr>
        <w:pStyle w:val="ListBullet"/>
        <w:spacing w:before="0" w:after="80" w:line="276" w:lineRule="auto"/>
      </w:pPr>
      <w:r>
        <w:rPr>
          <w:rFonts w:ascii="Arial" w:hAnsi="Arial"/>
          <w:b/>
          <w:color w:val="333333"/>
          <w:sz w:val="22"/>
        </w:rPr>
        <w:t>Actor Sistema / Backend:</w:t>
      </w:r>
      <w:r>
        <w:rPr>
          <w:rFonts w:ascii="Arial" w:hAnsi="Arial"/>
          <w:color w:val="333333"/>
          <w:sz w:val="22"/>
        </w:rPr>
        <w:t xml:space="preserve"> Auditar autenticidad legal, inyectar contextos RLS de aislamiento multi-tenant, calcular intersección GPS y despachar cargas útiles por push-notifications síncronas.</w:t>
      </w:r>
    </w:p>
    <w:p>
      <w:pPr>
        <w:keepNext/>
        <w:spacing w:before="240" w:after="120" w:line="276" w:lineRule="auto"/>
        <w:jc w:val="left"/>
      </w:pPr>
      <w:r>
        <w:rPr>
          <w:rFonts w:ascii="Arial" w:hAnsi="Arial"/>
          <w:b/>
          <w:i w:val="0"/>
          <w:color w:val="006699"/>
          <w:sz w:val="28"/>
        </w:rPr>
        <w:t>4.2 Diagrama de Actividades de Flujo de Turno</w:t>
      </w:r>
    </w:p>
    <w:p>
      <w:pPr>
        <w:spacing w:before="0" w:after="120" w:line="276" w:lineRule="auto"/>
        <w:jc w:val="left"/>
      </w:pPr>
      <w:r>
        <w:rPr>
          <w:rFonts w:ascii="Arial" w:hAnsi="Arial"/>
          <w:b w:val="0"/>
          <w:i w:val="0"/>
          <w:color w:val="333333"/>
          <w:sz w:val="22"/>
        </w:rPr>
        <w:t>[Representación Estructurada del Flujo Integral]</w:t>
      </w:r>
    </w:p>
    <w:p>
      <w:pPr>
        <w:spacing w:before="0" w:after="120" w:line="276" w:lineRule="auto"/>
        <w:jc w:val="left"/>
      </w:pPr>
      <w:r>
        <w:rPr>
          <w:rFonts w:ascii="Arial" w:hAnsi="Arial"/>
          <w:b w:val="0"/>
          <w:i w:val="0"/>
          <w:color w:val="333333"/>
          <w:sz w:val="22"/>
        </w:rPr>
        <w:t>1. El Paciente agenda de manera remota desde su Smartphone (La cita entra a la base de datos en estado 'Upcoming').</w:t>
      </w:r>
    </w:p>
    <w:p>
      <w:pPr>
        <w:spacing w:before="0" w:after="120" w:line="276" w:lineRule="auto"/>
        <w:jc w:val="left"/>
      </w:pPr>
      <w:r>
        <w:rPr>
          <w:rFonts w:ascii="Arial" w:hAnsi="Arial"/>
          <w:b w:val="0"/>
          <w:i w:val="0"/>
          <w:color w:val="333333"/>
          <w:sz w:val="22"/>
        </w:rPr>
        <w:t>2. El día de la cita, el Paciente arriba al consultorio y escanea el QR dinámico de la recepción.</w:t>
      </w:r>
    </w:p>
    <w:p>
      <w:pPr>
        <w:spacing w:before="0" w:after="120" w:line="276" w:lineRule="auto"/>
        <w:jc w:val="left"/>
      </w:pPr>
      <w:r>
        <w:rPr>
          <w:rFonts w:ascii="Arial" w:hAnsi="Arial"/>
          <w:b w:val="0"/>
          <w:i w:val="0"/>
          <w:color w:val="333333"/>
          <w:sz w:val="22"/>
        </w:rPr>
        <w:t>3. El Sistema interroga la localización GPS: Si el dispositivo está fuera del perímetro, bloquea la acción; si está dentro, transiciona el estado de la cita a 'In Lobby / En Sala de Espera'.</w:t>
      </w:r>
    </w:p>
    <w:p>
      <w:pPr>
        <w:spacing w:before="0" w:after="120" w:line="276" w:lineRule="auto"/>
        <w:jc w:val="left"/>
      </w:pPr>
      <w:r>
        <w:rPr>
          <w:rFonts w:ascii="Arial" w:hAnsi="Arial"/>
          <w:b w:val="0"/>
          <w:i w:val="0"/>
          <w:color w:val="333333"/>
          <w:sz w:val="22"/>
        </w:rPr>
        <w:t>4. Supabase Realtime propaga inmediatamente el evento por WebSockets; la Tablet del dentista se actualiza visualmente en milisegundos reordenando la cola activa.</w:t>
      </w:r>
    </w:p>
    <w:p>
      <w:pPr>
        <w:spacing w:before="0" w:after="120" w:line="276" w:lineRule="auto"/>
        <w:jc w:val="left"/>
      </w:pPr>
      <w:r>
        <w:rPr>
          <w:rFonts w:ascii="Arial" w:hAnsi="Arial"/>
          <w:b w:val="0"/>
          <w:i w:val="0"/>
          <w:color w:val="333333"/>
          <w:sz w:val="22"/>
        </w:rPr>
        <w:t>5. El Odontólogo concluye una sesión y presiona el botón principal 'Call Next Patient' en su Tablet.</w:t>
      </w:r>
    </w:p>
    <w:p>
      <w:pPr>
        <w:spacing w:before="0" w:after="120" w:line="276" w:lineRule="auto"/>
        <w:jc w:val="left"/>
      </w:pPr>
      <w:r>
        <w:rPr>
          <w:rFonts w:ascii="Arial" w:hAnsi="Arial"/>
          <w:b w:val="0"/>
          <w:i w:val="0"/>
          <w:color w:val="333333"/>
          <w:sz w:val="22"/>
        </w:rPr>
        <w:t>6. El Backend recibe la solicitud, muta el estado del registro a 'In Treatment' y dispara un webhook síncrono al servicio de notificaciones push.</w:t>
      </w:r>
    </w:p>
    <w:p>
      <w:pPr>
        <w:spacing w:before="0" w:after="120" w:line="276" w:lineRule="auto"/>
        <w:jc w:val="left"/>
      </w:pPr>
      <w:r>
        <w:rPr>
          <w:rFonts w:ascii="Arial" w:hAnsi="Arial"/>
          <w:b w:val="0"/>
          <w:i w:val="0"/>
          <w:color w:val="333333"/>
          <w:sz w:val="22"/>
        </w:rPr>
        <w:t>7. El Smartwatch del paciente vibra de manera háptica intensa y despliega la UI verde de llamada obligando a presionar 'CONFIRMAR'.</w:t>
      </w:r>
    </w:p>
    <w:p>
      <w:r>
        <w:br w:type="page"/>
      </w:r>
    </w:p>
    <w:p>
      <w:pPr>
        <w:keepNext/>
        <w:spacing w:before="360" w:after="160" w:line="276" w:lineRule="auto"/>
        <w:jc w:val="left"/>
      </w:pPr>
      <w:r>
        <w:rPr>
          <w:rFonts w:ascii="Arial" w:hAnsi="Arial"/>
          <w:b/>
          <w:i w:val="0"/>
          <w:color w:val="003366"/>
          <w:sz w:val="36"/>
        </w:rPr>
        <w:t>5. ASPECTOS LEGALES Y RESTRICCIONES DEL SOFTWARE</w:t>
      </w:r>
    </w:p>
    <w:p>
      <w:pPr>
        <w:keepNext/>
        <w:spacing w:before="240" w:after="120" w:line="276" w:lineRule="auto"/>
        <w:jc w:val="left"/>
      </w:pPr>
      <w:r>
        <w:rPr>
          <w:rFonts w:ascii="Arial" w:hAnsi="Arial"/>
          <w:b/>
          <w:i w:val="0"/>
          <w:color w:val="006699"/>
          <w:sz w:val="28"/>
        </w:rPr>
        <w:t>5.1 Aspectos Legal (Normas y Leyes de Datos y Salud)</w:t>
      </w:r>
    </w:p>
    <w:p>
      <w:pPr>
        <w:spacing w:before="0" w:after="120" w:line="276" w:lineRule="auto"/>
        <w:jc w:val="left"/>
      </w:pPr>
      <w:r>
        <w:rPr>
          <w:rFonts w:ascii="Arial" w:hAnsi="Arial"/>
          <w:b w:val="0"/>
          <w:i w:val="0"/>
          <w:color w:val="333333"/>
          <w:sz w:val="22"/>
        </w:rPr>
        <w:t>El procesamiento de expedientes, notas de tratamientos y datos de geolocalización en una arquitectura multi-tenant de salud exige la alineación obligatoria con marcos legales de la República Mexicana:</w:t>
      </w:r>
    </w:p>
    <w:p>
      <w:pPr>
        <w:spacing w:before="0" w:after="120" w:line="276" w:lineRule="auto"/>
        <w:jc w:val="left"/>
      </w:pPr>
      <w:r>
        <w:rPr>
          <w:rFonts w:ascii="Arial" w:hAnsi="Arial"/>
          <w:b w:val="0"/>
          <w:i w:val="0"/>
          <w:color w:val="333333"/>
          <w:sz w:val="22"/>
        </w:rPr>
        <w:t>• Ley Federal de Protección de Datos Personales en Posesión de los Particulares (LFPDPPP): Clasifica las notas médicas como Datos Personales Sensibles. El sistema cifra la información crítica en reposo, restringe el acceso de terceros e implementa pantallas explícitas de aceptación de Avisos de Privacidad diferenciados antes del onboarding.</w:t>
      </w:r>
    </w:p>
    <w:p>
      <w:pPr>
        <w:spacing w:before="0" w:after="120" w:line="276" w:lineRule="auto"/>
        <w:jc w:val="left"/>
      </w:pPr>
      <w:r>
        <w:rPr>
          <w:rFonts w:ascii="Arial" w:hAnsi="Arial"/>
          <w:b w:val="0"/>
          <w:i w:val="0"/>
          <w:color w:val="333333"/>
          <w:sz w:val="22"/>
        </w:rPr>
        <w:t>• NOM-004-SSA3-2012 (Del Expediente Clínico): Dictamina los criterios tecnológicos mínimos para la integración de datos médicos. Las anotaciones consolidadas en el campo 'medical_notes' son inalterables una vez guardadas, incorporando logs de auditoría cronológica y un compromiso de respaldo garantizado en la nube por un ciclo mínimo de 5 años.</w:t>
      </w:r>
    </w:p>
    <w:p>
      <w:pPr>
        <w:spacing w:before="0" w:after="120" w:line="276" w:lineRule="auto"/>
        <w:jc w:val="left"/>
      </w:pPr>
      <w:r>
        <w:rPr>
          <w:rFonts w:ascii="Arial" w:hAnsi="Arial"/>
          <w:b w:val="0"/>
          <w:i w:val="0"/>
          <w:color w:val="333333"/>
          <w:sz w:val="22"/>
        </w:rPr>
        <w:t>• NOM-024-SSA3-2012 (Sistemas de Información de Registro Electrónico para la Salud): Obliga a implementar autenticaciones robustas, trazabilidad estricta y mechanisms técnicos orientados a preservar la confidencialidad, integridad y disponibilidad de la información de salud.</w:t>
      </w:r>
    </w:p>
    <w:p>
      <w:pPr>
        <w:keepNext/>
        <w:spacing w:before="240" w:after="120" w:line="276" w:lineRule="auto"/>
        <w:jc w:val="left"/>
      </w:pPr>
      <w:r>
        <w:rPr>
          <w:rFonts w:ascii="Arial" w:hAnsi="Arial"/>
          <w:b/>
          <w:i w:val="0"/>
          <w:color w:val="006699"/>
          <w:sz w:val="28"/>
        </w:rPr>
        <w:t>5.2 Restricciones Técnicas del Software</w:t>
      </w:r>
    </w:p>
    <w:p>
      <w:pPr>
        <w:pStyle w:val="ListBullet"/>
        <w:spacing w:before="0" w:after="80" w:line="276" w:lineRule="auto"/>
      </w:pPr>
      <w:r>
        <w:rPr>
          <w:rFonts w:ascii="Arial" w:hAnsi="Arial"/>
          <w:b/>
          <w:color w:val="333333"/>
          <w:sz w:val="22"/>
        </w:rPr>
        <w:t>Restricción de Monorrepisitorio Adaptativo:</w:t>
      </w:r>
      <w:r>
        <w:rPr>
          <w:rFonts w:ascii="Arial" w:hAnsi="Arial"/>
          <w:color w:val="333333"/>
          <w:sz w:val="22"/>
        </w:rPr>
        <w:t>El código fuente del reloj, smartphone y tablet debe convivir e interactuar dentro de la misma estructura de proyecto Flutter. Está estrictamente prohibido bifurcar el desarrollo en submódulos de código independientes.</w:t>
      </w:r>
    </w:p>
    <w:p>
      <w:pPr>
        <w:pStyle w:val="ListBullet"/>
        <w:spacing w:before="0" w:after="80" w:line="276" w:lineRule="auto"/>
      </w:pPr>
      <w:r>
        <w:rPr>
          <w:rFonts w:ascii="Arial" w:hAnsi="Arial"/>
          <w:b/>
          <w:color w:val="333333"/>
          <w:sz w:val="22"/>
        </w:rPr>
        <w:t>Restricción de Hardware Geofencing:</w:t>
      </w:r>
      <w:r>
        <w:rPr>
          <w:rFonts w:ascii="Arial" w:hAnsi="Arial"/>
          <w:color w:val="333333"/>
          <w:sz w:val="22"/>
        </w:rPr>
        <w:t>El algoritmo móvil de check-in debe invalidar el proceso si el cálculo local de distancia vectorial supera el radio en metros de la geocerca configurada en la tabla CLINICS, aunando fraudes o suplantaciones de fila remota.</w:t>
      </w:r>
    </w:p>
    <w:p>
      <w:pPr>
        <w:pStyle w:val="ListBullet"/>
        <w:spacing w:before="0" w:after="80" w:line="276" w:lineRule="auto"/>
      </w:pPr>
      <w:r>
        <w:rPr>
          <w:rFonts w:ascii="Arial" w:hAnsi="Arial"/>
          <w:b/>
          <w:color w:val="333333"/>
          <w:sz w:val="22"/>
        </w:rPr>
        <w:t>Restricción de Delegación Arquitectónica Serverless:</w:t>
      </w:r>
      <w:r>
        <w:rPr>
          <w:rFonts w:ascii="Arial" w:hAnsi="Arial"/>
          <w:color w:val="333333"/>
          <w:sz w:val="22"/>
        </w:rPr>
        <w:t>Toda regla de negocio asociada con el filtrado por clínica y la defensa ante filtraciones debe ser implementada nativamente mediante políticas RLS en PostgreSQL, prohibiendo que el frontend asuma el rol de filtro principal.</w:t>
      </w:r>
    </w:p>
    <w:p>
      <w:pPr>
        <w:keepNext/>
        <w:spacing w:before="360" w:after="160" w:line="276" w:lineRule="auto"/>
        <w:jc w:val="left"/>
      </w:pPr>
      <w:r>
        <w:rPr>
          <w:rFonts w:ascii="Arial" w:hAnsi="Arial"/>
          <w:b/>
          <w:i w:val="0"/>
          <w:color w:val="003366"/>
          <w:sz w:val="36"/>
        </w:rPr>
        <w:t>6. METODOLOGÍA Y CRONOGRAMA DE ACTIVIDADES</w:t>
      </w:r>
    </w:p>
    <w:p>
      <w:pPr>
        <w:keepNext/>
        <w:spacing w:before="240" w:after="120" w:line="276" w:lineRule="auto"/>
        <w:jc w:val="left"/>
      </w:pPr>
      <w:r>
        <w:rPr>
          <w:rFonts w:ascii="Arial" w:hAnsi="Arial"/>
          <w:b/>
          <w:i w:val="0"/>
          <w:color w:val="006699"/>
          <w:sz w:val="28"/>
        </w:rPr>
        <w:t>6.1 Metodología de Desarrollo Ágil</w:t>
      </w:r>
    </w:p>
    <w:p>
      <w:pPr>
        <w:spacing w:before="0" w:after="120" w:line="276" w:lineRule="auto"/>
        <w:jc w:val="left"/>
      </w:pPr>
      <w:r>
        <w:rPr>
          <w:rFonts w:ascii="Arial" w:hAnsi="Arial"/>
          <w:b w:val="0"/>
          <w:i w:val="0"/>
          <w:color w:val="333333"/>
          <w:sz w:val="22"/>
        </w:rPr>
        <w:t>Se adopta formalmente la metodología Scrum estructurada en Sprints fijos de 2 semanas (14 días corridos). Este ciclo iterativo corto es indispensable para realizar despliegues de QA concurrentes sobre los tres dispositivos de hardware reales, mitigando fallas tempranas de responsividad y sincronización de WebSockets.</w:t>
      </w:r>
    </w:p>
    <w:p>
      <w:pPr>
        <w:keepNext/>
        <w:spacing w:before="240" w:after="120" w:line="276" w:lineRule="auto"/>
        <w:jc w:val="left"/>
      </w:pPr>
      <w:r>
        <w:rPr>
          <w:rFonts w:ascii="Arial" w:hAnsi="Arial"/>
          <w:b/>
          <w:i w:val="0"/>
          <w:color w:val="006699"/>
          <w:sz w:val="28"/>
        </w:rPr>
        <w:t>6.2 Cronograma Técnico Gantt (Desglose por Sprints)</w:t>
      </w:r>
    </w:p>
    <w:tbl>
      <w:tblPr>
        <w:tblW w:type="auto" w:w="0"/>
        <w:jc w:val="center"/>
        <w:tblLook w:firstColumn="1" w:firstRow="1" w:lastColumn="0" w:lastRow="0" w:noHBand="0" w:noVBand="1" w:val="04A0"/>
      </w:tblPr>
      <w:tblGrid>
        <w:gridCol w:w="2257"/>
        <w:gridCol w:w="2257"/>
        <w:gridCol w:w="2257"/>
        <w:gridCol w:w="2257"/>
      </w:tblGrid>
      <w:tr>
        <w:tc>
          <w:tcPr>
            <w:tcW w:type="dxa" w:w="2257"/>
            <w:shd w:fill="003366"/>
            <w:tcMar>
              <w:top w:w="120" w:type="dxa"/>
              <w:bottom w:w="120" w:type="dxa"/>
              <w:left w:w="150" w:type="dxa"/>
              <w:right w:w="150" w:type="dxa"/>
            </w:tcMar>
          </w:tcPr>
          <w:p>
            <w:pPr>
              <w:spacing w:before="0" w:after="120" w:line="276" w:lineRule="auto"/>
              <w:jc w:val="left"/>
            </w:pPr>
            <w:r>
              <w:rPr>
                <w:rFonts w:ascii="Arial" w:hAnsi="Arial"/>
                <w:b/>
                <w:i w:val="0"/>
                <w:color w:val="FFFFFF"/>
                <w:sz w:val="20"/>
              </w:rPr>
              <w:t>Fase / Sprint</w:t>
            </w:r>
          </w:p>
        </w:tc>
        <w:tc>
          <w:tcPr>
            <w:tcW w:type="dxa" w:w="2257"/>
            <w:shd w:fill="003366"/>
            <w:tcMar>
              <w:top w:w="120" w:type="dxa"/>
              <w:bottom w:w="120" w:type="dxa"/>
              <w:left w:w="150" w:type="dxa"/>
              <w:right w:w="150" w:type="dxa"/>
            </w:tcMar>
          </w:tcPr>
          <w:p>
            <w:pPr>
              <w:spacing w:before="0" w:after="120" w:line="276" w:lineRule="auto"/>
              <w:jc w:val="left"/>
            </w:pPr>
            <w:r>
              <w:rPr>
                <w:rFonts w:ascii="Arial" w:hAnsi="Arial"/>
                <w:b/>
                <w:i w:val="0"/>
                <w:color w:val="FFFFFF"/>
                <w:sz w:val="20"/>
              </w:rPr>
              <w:t>Duración</w:t>
            </w:r>
          </w:p>
        </w:tc>
        <w:tc>
          <w:tcPr>
            <w:tcW w:type="dxa" w:w="2257"/>
            <w:shd w:fill="003366"/>
            <w:tcMar>
              <w:top w:w="120" w:type="dxa"/>
              <w:bottom w:w="120" w:type="dxa"/>
              <w:left w:w="150" w:type="dxa"/>
              <w:right w:w="150" w:type="dxa"/>
            </w:tcMar>
          </w:tcPr>
          <w:p>
            <w:pPr>
              <w:spacing w:before="0" w:after="120" w:line="276" w:lineRule="auto"/>
              <w:jc w:val="left"/>
            </w:pPr>
            <w:r>
              <w:rPr>
                <w:rFonts w:ascii="Arial" w:hAnsi="Arial"/>
                <w:b/>
                <w:i w:val="0"/>
                <w:color w:val="FFFFFF"/>
                <w:sz w:val="20"/>
              </w:rPr>
              <w:t>Actividades Técnicas Principales</w:t>
            </w:r>
          </w:p>
        </w:tc>
        <w:tc>
          <w:tcPr>
            <w:tcW w:type="dxa" w:w="2257"/>
            <w:shd w:fill="003366"/>
            <w:tcMar>
              <w:top w:w="120" w:type="dxa"/>
              <w:bottom w:w="120" w:type="dxa"/>
              <w:left w:w="150" w:type="dxa"/>
              <w:right w:w="150" w:type="dxa"/>
            </w:tcMar>
          </w:tcPr>
          <w:p>
            <w:pPr>
              <w:spacing w:before="0" w:after="120" w:line="276" w:lineRule="auto"/>
              <w:jc w:val="left"/>
            </w:pPr>
            <w:r>
              <w:rPr>
                <w:rFonts w:ascii="Arial" w:hAnsi="Arial"/>
                <w:b/>
                <w:i w:val="0"/>
                <w:color w:val="FFFFFF"/>
                <w:sz w:val="20"/>
              </w:rPr>
              <w:t>Entregables Clave</w:t>
            </w:r>
          </w:p>
        </w:tc>
      </w:tr>
      <w:tr>
        <w:tc>
          <w:tcPr>
            <w:tcW w:type="dxa" w:w="2257"/>
            <w:shd w:fill="FFFFFF"/>
            <w:tcMar>
              <w:top w:w="100" w:type="dxa"/>
              <w:bottom w:w="100" w:type="dxa"/>
              <w:left w:w="120" w:type="dxa"/>
              <w:right w:w="120" w:type="dxa"/>
            </w:tcMar>
          </w:tcPr>
          <w:p>
            <w:pPr>
              <w:spacing w:before="0" w:after="120" w:line="276" w:lineRule="auto"/>
              <w:jc w:val="left"/>
            </w:pPr>
            <w:r>
              <w:rPr>
                <w:rFonts w:ascii="Arial" w:hAnsi="Arial"/>
                <w:b/>
                <w:i w:val="0"/>
                <w:color w:val="333333"/>
                <w:sz w:val="19"/>
              </w:rPr>
              <w:t>Sprint 1:</w:t>
              <w:br/>
              <w:t>Base &amp; Tenant</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i w:val="0"/>
                <w:color w:val="333333"/>
                <w:sz w:val="19"/>
              </w:rPr>
              <w:t>Semanas</w:t>
              <w:br/>
              <w:t>1-2</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val="0"/>
                <w:i w:val="0"/>
                <w:color w:val="333333"/>
                <w:sz w:val="19"/>
              </w:rPr>
              <w:t>Configuración de entorno adaptativo en Flutter. Diseño e implementación de base relacional Supabase con políticas Row Level Security (RLS) activas.</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val="0"/>
                <w:i w:val="0"/>
                <w:color w:val="333333"/>
                <w:sz w:val="19"/>
              </w:rPr>
              <w:t>Estructura Multi-tenant funcional y repositorio conectado.</w:t>
            </w:r>
          </w:p>
        </w:tc>
      </w:tr>
      <w:tr>
        <w:tc>
          <w:tcPr>
            <w:tcW w:type="dxa" w:w="2257"/>
            <w:shd w:fill="F4F6F9"/>
            <w:tcMar>
              <w:top w:w="100" w:type="dxa"/>
              <w:bottom w:w="100" w:type="dxa"/>
              <w:left w:w="120" w:type="dxa"/>
              <w:right w:w="120" w:type="dxa"/>
            </w:tcMar>
          </w:tcPr>
          <w:p>
            <w:pPr>
              <w:spacing w:before="0" w:after="120" w:line="276" w:lineRule="auto"/>
              <w:jc w:val="left"/>
            </w:pPr>
            <w:r>
              <w:rPr>
                <w:rFonts w:ascii="Arial" w:hAnsi="Arial"/>
                <w:b/>
                <w:i w:val="0"/>
                <w:color w:val="333333"/>
                <w:sz w:val="19"/>
              </w:rPr>
              <w:t>Sprint 2:</w:t>
              <w:br/>
              <w:t>B2B &amp; Auth</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i w:val="0"/>
                <w:color w:val="333333"/>
                <w:sz w:val="19"/>
              </w:rPr>
              <w:t>Semanas</w:t>
              <w:br/>
              <w:t>3-4</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val="0"/>
                <w:i w:val="0"/>
                <w:color w:val="333333"/>
                <w:sz w:val="19"/>
              </w:rPr>
              <w:t>Desarrollo del flujo Onboarding B2B corporativo en Tablet. Carga de licencias, firmas criptográficas del Sello de Confianza y login biométrico.</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val="0"/>
                <w:i w:val="0"/>
                <w:color w:val="333333"/>
                <w:sz w:val="19"/>
              </w:rPr>
              <w:t>Módulo B2B y autenticación multiplataforma.</w:t>
            </w:r>
          </w:p>
        </w:tc>
      </w:tr>
      <w:tr>
        <w:tc>
          <w:tcPr>
            <w:tcW w:type="dxa" w:w="2257"/>
            <w:shd w:fill="FFFFFF"/>
            <w:tcMar>
              <w:top w:w="100" w:type="dxa"/>
              <w:bottom w:w="100" w:type="dxa"/>
              <w:left w:w="120" w:type="dxa"/>
              <w:right w:w="120" w:type="dxa"/>
            </w:tcMar>
          </w:tcPr>
          <w:p>
            <w:pPr>
              <w:spacing w:before="0" w:after="120" w:line="276" w:lineRule="auto"/>
              <w:jc w:val="left"/>
            </w:pPr>
            <w:r>
              <w:rPr>
                <w:rFonts w:ascii="Arial" w:hAnsi="Arial"/>
                <w:b/>
                <w:i w:val="0"/>
                <w:color w:val="333333"/>
                <w:sz w:val="19"/>
              </w:rPr>
              <w:t>Sprint 3:</w:t>
              <w:br/>
              <w:t>Enlaces &amp; Citas</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i w:val="0"/>
                <w:color w:val="333333"/>
                <w:sz w:val="19"/>
              </w:rPr>
              <w:t>Semanas</w:t>
              <w:br/>
              <w:t>5-6</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val="0"/>
                <w:i w:val="0"/>
                <w:color w:val="333333"/>
                <w:sz w:val="19"/>
              </w:rPr>
              <w:t>Construcción de métodos de vinculación segura (ID cifrado de invitación y QR dinámico). Desarrollo de flujo de agenda móvil de 3 pasos.</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val="0"/>
                <w:i w:val="0"/>
                <w:color w:val="333333"/>
                <w:sz w:val="19"/>
              </w:rPr>
              <w:t>Mecanismos de enlace paciente-clínica y reserva de citas.</w:t>
            </w:r>
          </w:p>
        </w:tc>
      </w:tr>
      <w:tr>
        <w:tc>
          <w:tcPr>
            <w:tcW w:type="dxa" w:w="2257"/>
            <w:shd w:fill="F4F6F9"/>
            <w:tcMar>
              <w:top w:w="100" w:type="dxa"/>
              <w:bottom w:w="100" w:type="dxa"/>
              <w:left w:w="120" w:type="dxa"/>
              <w:right w:w="120" w:type="dxa"/>
            </w:tcMar>
          </w:tcPr>
          <w:p>
            <w:pPr>
              <w:spacing w:before="0" w:after="120" w:line="276" w:lineRule="auto"/>
              <w:jc w:val="left"/>
            </w:pPr>
            <w:r>
              <w:rPr>
                <w:rFonts w:ascii="Arial" w:hAnsi="Arial"/>
                <w:b/>
                <w:i w:val="0"/>
                <w:color w:val="333333"/>
                <w:sz w:val="19"/>
              </w:rPr>
              <w:t>Sprint 4:</w:t>
              <w:br/>
              <w:t>Geolocalización</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i w:val="0"/>
                <w:color w:val="333333"/>
                <w:sz w:val="19"/>
              </w:rPr>
              <w:t>Semanas</w:t>
              <w:br/>
              <w:t>7-8</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val="0"/>
                <w:i w:val="0"/>
                <w:color w:val="333333"/>
                <w:sz w:val="19"/>
              </w:rPr>
              <w:t>Integración de API de localización. Desarrollo del algoritmo de Geofencing para check-in automático y actualización síncrona al estado 'En Sala'.</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val="0"/>
                <w:i w:val="0"/>
                <w:color w:val="333333"/>
                <w:sz w:val="19"/>
              </w:rPr>
              <w:t>Check-in condicionado por GPS y sincronización activa a Tablet.</w:t>
            </w:r>
          </w:p>
        </w:tc>
      </w:tr>
      <w:tr>
        <w:tc>
          <w:tcPr>
            <w:tcW w:type="dxa" w:w="2257"/>
            <w:shd w:fill="FFFFFF"/>
            <w:tcMar>
              <w:top w:w="100" w:type="dxa"/>
              <w:bottom w:w="100" w:type="dxa"/>
              <w:left w:w="120" w:type="dxa"/>
              <w:right w:w="120" w:type="dxa"/>
            </w:tcMar>
          </w:tcPr>
          <w:p>
            <w:pPr>
              <w:spacing w:before="0" w:after="120" w:line="276" w:lineRule="auto"/>
              <w:jc w:val="left"/>
            </w:pPr>
            <w:r>
              <w:rPr>
                <w:rFonts w:ascii="Arial" w:hAnsi="Arial"/>
                <w:b/>
                <w:i w:val="0"/>
                <w:color w:val="333333"/>
                <w:sz w:val="19"/>
              </w:rPr>
              <w:t>Sprint 5:</w:t>
              <w:br/>
              <w:t>Reloj &amp; Push</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i w:val="0"/>
                <w:color w:val="333333"/>
                <w:sz w:val="19"/>
              </w:rPr>
              <w:t>Semanas</w:t>
              <w:br/>
              <w:t>9-10</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val="0"/>
                <w:i w:val="0"/>
                <w:color w:val="333333"/>
                <w:sz w:val="19"/>
              </w:rPr>
              <w:t>Configuración de servicios push de alta prioridad. Diseño de interfaz circular/cuadrada para Smartwatch y enlace con el motor háptico de vibración.</w:t>
            </w:r>
          </w:p>
        </w:tc>
        <w:tc>
          <w:tcPr>
            <w:tcW w:type="dxa" w:w="2257"/>
            <w:shd w:fill="FFFFFF"/>
            <w:tcMar>
              <w:top w:w="100" w:type="dxa"/>
              <w:bottom w:w="100" w:type="dxa"/>
              <w:left w:w="120" w:type="dxa"/>
              <w:right w:w="120" w:type="dxa"/>
            </w:tcMar>
          </w:tcPr>
          <w:p>
            <w:pPr>
              <w:spacing w:before="0" w:after="120" w:line="276" w:lineRule="auto"/>
              <w:jc w:val="left"/>
            </w:pPr>
            <w:r>
              <w:rPr>
                <w:rFonts w:ascii="Arial" w:hAnsi="Arial"/>
                <w:b w:val="0"/>
                <w:i w:val="0"/>
                <w:color w:val="333333"/>
                <w:sz w:val="19"/>
              </w:rPr>
              <w:t>App de Smartwatch operativa y alertas hápticas de turnos.</w:t>
            </w:r>
          </w:p>
        </w:tc>
      </w:tr>
      <w:tr>
        <w:tc>
          <w:tcPr>
            <w:tcW w:type="dxa" w:w="2257"/>
            <w:shd w:fill="F4F6F9"/>
            <w:tcMar>
              <w:top w:w="100" w:type="dxa"/>
              <w:bottom w:w="100" w:type="dxa"/>
              <w:left w:w="120" w:type="dxa"/>
              <w:right w:w="120" w:type="dxa"/>
            </w:tcMar>
          </w:tcPr>
          <w:p>
            <w:pPr>
              <w:spacing w:before="0" w:after="120" w:line="276" w:lineRule="auto"/>
              <w:jc w:val="left"/>
            </w:pPr>
            <w:r>
              <w:rPr>
                <w:rFonts w:ascii="Arial" w:hAnsi="Arial"/>
                <w:b/>
                <w:i w:val="0"/>
                <w:color w:val="333333"/>
                <w:sz w:val="19"/>
              </w:rPr>
              <w:t>Sprint 6:</w:t>
              <w:br/>
              <w:t>QA &amp; Ajustes</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i w:val="0"/>
                <w:color w:val="333333"/>
                <w:sz w:val="19"/>
              </w:rPr>
              <w:t>Semanas</w:t>
              <w:br/>
              <w:t>11-12</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val="0"/>
                <w:i w:val="0"/>
                <w:color w:val="333333"/>
                <w:sz w:val="19"/>
              </w:rPr>
              <w:t>Pruebas concurrentes en laboratorio con dispositivos reales y guantes de látex. Evaluación de Heurísticas de Nielsen y criterios de accesibilidad visual.</w:t>
            </w:r>
          </w:p>
        </w:tc>
        <w:tc>
          <w:tcPr>
            <w:tcW w:type="dxa" w:w="2257"/>
            <w:shd w:fill="F4F6F9"/>
            <w:tcMar>
              <w:top w:w="100" w:type="dxa"/>
              <w:bottom w:w="100" w:type="dxa"/>
              <w:left w:w="120" w:type="dxa"/>
              <w:right w:w="120" w:type="dxa"/>
            </w:tcMar>
          </w:tcPr>
          <w:p>
            <w:pPr>
              <w:spacing w:before="0" w:after="120" w:line="276" w:lineRule="auto"/>
              <w:jc w:val="left"/>
            </w:pPr>
            <w:r>
              <w:rPr>
                <w:rFonts w:ascii="Arial" w:hAnsi="Arial"/>
                <w:b w:val="0"/>
                <w:i w:val="0"/>
                <w:color w:val="333333"/>
                <w:sz w:val="19"/>
              </w:rPr>
              <w:t>Ecosistema DentalSync Connect certificado para producción.</w:t>
            </w:r>
          </w:p>
        </w:tc>
      </w:tr>
    </w:tbl>
    <w:p>
      <w:pPr>
        <w:spacing w:before="120" w:after="120" w:line="276" w:lineRule="auto"/>
        <w:jc w:val="left"/>
      </w:pPr>
    </w:p>
    <w:p>
      <w:pPr>
        <w:keepNext/>
        <w:spacing w:before="360" w:after="160" w:line="276" w:lineRule="auto"/>
        <w:jc w:val="left"/>
      </w:pPr>
      <w:r>
        <w:rPr>
          <w:rFonts w:ascii="Arial" w:hAnsi="Arial"/>
          <w:b/>
          <w:i w:val="0"/>
          <w:color w:val="003366"/>
          <w:sz w:val="36"/>
        </w:rPr>
        <w:t>7. ANEXOS</w:t>
      </w:r>
    </w:p>
    <w:p>
      <w:pPr>
        <w:keepNext/>
        <w:spacing w:before="240" w:after="120" w:line="276" w:lineRule="auto"/>
        <w:jc w:val="left"/>
      </w:pPr>
      <w:r>
        <w:rPr>
          <w:rFonts w:ascii="Arial" w:hAnsi="Arial"/>
          <w:b/>
          <w:i w:val="0"/>
          <w:color w:val="006699"/>
          <w:sz w:val="28"/>
        </w:rPr>
        <w:t>Anexo A: Matriz de Transición del Ciclo de Vida de Citas</w:t>
      </w:r>
    </w:p>
    <w:p>
      <w:pPr>
        <w:spacing w:before="0" w:after="120" w:line="276" w:lineRule="auto"/>
        <w:jc w:val="left"/>
      </w:pPr>
      <w:r>
        <w:rPr>
          <w:rFonts w:ascii="Arial" w:hAnsi="Arial"/>
          <w:b w:val="0"/>
          <w:i w:val="0"/>
          <w:color w:val="333333"/>
          <w:sz w:val="22"/>
        </w:rPr>
        <w:t>Para asegurar la integridad analítica y prevenir colisiones de datos en el canal síncrono WebSockets, se detalla el comportamiento estricto que gobierna el campo appointment_status en el backend:</w:t>
      </w:r>
    </w:p>
    <w:p>
      <w:pPr>
        <w:pStyle w:val="ListBullet"/>
        <w:spacing w:before="0" w:after="80" w:line="276" w:lineRule="auto"/>
      </w:pPr>
      <w:r>
        <w:rPr>
          <w:rFonts w:ascii="Arial" w:hAnsi="Arial"/>
          <w:b/>
          <w:color w:val="333333"/>
          <w:sz w:val="22"/>
        </w:rPr>
        <w:t>1. Upcoming:</w:t>
      </w:r>
      <w:r>
        <w:rPr>
          <w:rFonts w:ascii="Arial" w:hAnsi="Arial"/>
          <w:color w:val="333333"/>
          <w:sz w:val="22"/>
        </w:rPr>
        <w:t xml:space="preserve"> Cita insertada por el paciente remotamente en la app móvil. No impacta la cola activa de la tablet de la sucursal, pero se lista en la agenda cronológica global de la clínica.</w:t>
      </w:r>
    </w:p>
    <w:p>
      <w:pPr>
        <w:pStyle w:val="ListBullet"/>
        <w:spacing w:before="0" w:after="80" w:line="276" w:lineRule="auto"/>
      </w:pPr>
      <w:r>
        <w:rPr>
          <w:rFonts w:ascii="Arial" w:hAnsi="Arial"/>
          <w:b/>
          <w:color w:val="333333"/>
          <w:sz w:val="22"/>
        </w:rPr>
        <w:t>2. In Lobby / En Sala de Espera:</w:t>
      </w:r>
      <w:r>
        <w:rPr>
          <w:rFonts w:ascii="Arial" w:hAnsi="Arial"/>
          <w:color w:val="333333"/>
          <w:sz w:val="22"/>
        </w:rPr>
        <w:t xml:space="preserve"> Activado de manera inmediata tras el escaneo correcto del QR en recepción física y superada la validación de la geocerca GPS. El registro se indexa síncronamente en el listado visual de la tablet de sala de espera en tiempo real.</w:t>
      </w:r>
    </w:p>
    <w:p>
      <w:pPr>
        <w:pStyle w:val="ListBullet"/>
        <w:spacing w:before="0" w:after="80" w:line="276" w:lineRule="auto"/>
      </w:pPr>
      <w:r>
        <w:rPr>
          <w:rFonts w:ascii="Arial" w:hAnsi="Arial"/>
          <w:b/>
          <w:color w:val="333333"/>
          <w:sz w:val="22"/>
        </w:rPr>
        <w:t>3. In Treatment:</w:t>
      </w:r>
      <w:r>
        <w:rPr>
          <w:rFonts w:ascii="Arial" w:hAnsi="Arial"/>
          <w:color w:val="333333"/>
          <w:sz w:val="22"/>
        </w:rPr>
        <w:t xml:space="preserve"> Detonado en el backend cuando el odontólogo o recepcionista presiona la acción táctil 'Call Next Patient' en la consola central. Despacha una notificación push síncrona que despierta la UI del Smartwatch, activando la vibración háptica intensa.</w:t>
      </w:r>
    </w:p>
    <w:p>
      <w:pPr>
        <w:pStyle w:val="ListBullet"/>
        <w:spacing w:before="0" w:after="80" w:line="276" w:lineRule="auto"/>
      </w:pPr>
      <w:r>
        <w:rPr>
          <w:rFonts w:ascii="Arial" w:hAnsi="Arial"/>
          <w:b/>
          <w:color w:val="333333"/>
          <w:sz w:val="22"/>
        </w:rPr>
        <w:t>4. Completed:</w:t>
      </w:r>
      <w:r>
        <w:rPr>
          <w:rFonts w:ascii="Arial" w:hAnsi="Arial"/>
          <w:color w:val="333333"/>
          <w:sz w:val="22"/>
        </w:rPr>
        <w:t xml:space="preserve"> Determinado por el profesional de la salud al dar por concluido el procedimiento dental en el consultorio. Remueve al paciente de las colas e inyecta de forma segura e inmutable el campo medical_notes en el historial clínico definitivo.</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