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color w:val="8A6D4B"/>
          <w:sz w:val="40"/>
        </w:rPr>
        <w:t>JENNY WU  巫婧怡</w:t>
      </w:r>
    </w:p>
    <w:p>
      <w:pPr>
        <w:spacing w:after="40" w:before="0"/>
        <w:jc w:val="center"/>
      </w:pPr>
      <w:r>
        <w:rPr>
          <w:b/>
          <w:color w:val="333333"/>
          <w:sz w:val="23"/>
        </w:rPr>
        <w:t>Social Media &amp; Brand Marketing Manager — Global DTC Brands</w:t>
      </w:r>
    </w:p>
    <w:p>
      <w:pPr>
        <w:spacing w:after="40" w:before="0"/>
        <w:jc w:val="center"/>
      </w:pPr>
      <w:r>
        <w:rPr>
          <w:b w:val="0"/>
          <w:color w:val="333333"/>
          <w:sz w:val="20"/>
        </w:rPr>
        <w:t>Shenzhen, China  |  [Phone]  |  [Email]  |  [LinkedIn / Portfolio]</w:t>
      </w:r>
    </w:p>
    <w:p>
      <w:pPr>
        <w:spacing w:after="120" w:before="0"/>
        <w:jc w:val="center"/>
      </w:pPr>
      <w:r>
        <w:rPr>
          <w:b w:val="0"/>
          <w:color w:val="333333"/>
          <w:sz w:val="19"/>
        </w:rPr>
        <w:t>Working languages: Mandarin (native), English (full professional — all North-America-facing deliverables written natively in English)</w:t>
      </w:r>
    </w:p>
    <w:p>
      <w:pPr>
        <w:spacing w:after="80" w:before="200"/>
        <w:pBdr>
          <w:bottom w:val="single" w:sz="6" w:space="1" w:color="8A6D4B"/>
        </w:pBdr>
      </w:pPr>
      <w:r>
        <w:rPr>
          <w:b/>
          <w:color w:val="8A6D4B"/>
          <w:sz w:val="24"/>
        </w:rPr>
        <w:t>PROFILE</w:t>
      </w:r>
    </w:p>
    <w:p>
      <w:pPr>
        <w:spacing w:after="120" w:before="0"/>
      </w:pPr>
      <w:r>
        <w:rPr>
          <w:b w:val="0"/>
          <w:color w:val="333333"/>
          <w:sz w:val="21"/>
        </w:rPr>
        <w:t>Global social media marketer with 3+ years building overseas brands 0→1 across DTC e-commerce and consumer hardware. Combines a Visual Communication Design degree with performance data literacy — equally fluent in brand aesthetics and CPL/CTR spreadsheets. Currently leading content strategy, Meta Ads experimentation, and creator marketing for a North American kids' music-tech brand. Builds AI-augmented content pipelines that cut production cost while protecting brand visual standards.</w:t>
      </w:r>
    </w:p>
    <w:p>
      <w:pPr>
        <w:spacing w:after="80" w:before="200"/>
        <w:pBdr>
          <w:bottom w:val="single" w:sz="6" w:space="1" w:color="8A6D4B"/>
        </w:pBdr>
      </w:pPr>
      <w:r>
        <w:rPr>
          <w:b/>
          <w:color w:val="8A6D4B"/>
          <w:sz w:val="24"/>
        </w:rPr>
        <w:t>CORE STRENGTHS</w:t>
      </w:r>
    </w:p>
    <w:p>
      <w:pPr>
        <w:pStyle w:val="ListBullet"/>
        <w:spacing w:after="60"/>
      </w:pPr>
      <w:r>
        <w:rPr>
          <w:b/>
          <w:color w:val="333333"/>
          <w:sz w:val="21"/>
        </w:rPr>
        <w:t>Instagram-first global social strategy</w:t>
      </w:r>
      <w:r>
        <w:rPr>
          <w:color w:val="333333"/>
          <w:sz w:val="21"/>
        </w:rPr>
        <w:t xml:space="preserve"> — content pillars, Reels, grid visual language, community growth</w:t>
      </w:r>
    </w:p>
    <w:p>
      <w:pPr>
        <w:pStyle w:val="ListBullet"/>
        <w:spacing w:after="60"/>
      </w:pPr>
      <w:r>
        <w:rPr>
          <w:b/>
          <w:color w:val="333333"/>
          <w:sz w:val="21"/>
        </w:rPr>
        <w:t>Brand visual direction</w:t>
      </w:r>
      <w:r>
        <w:rPr>
          <w:color w:val="333333"/>
          <w:sz w:val="21"/>
        </w:rPr>
        <w:t xml:space="preserve"> — B.A. in Visual Communication Design; art direction, briefs and QA for in-house &amp; outsourced creators</w:t>
      </w:r>
    </w:p>
    <w:p>
      <w:pPr>
        <w:pStyle w:val="ListBullet"/>
        <w:spacing w:after="60"/>
      </w:pPr>
      <w:r>
        <w:rPr>
          <w:b/>
          <w:color w:val="333333"/>
          <w:sz w:val="21"/>
        </w:rPr>
        <w:t>AI-empowered content production</w:t>
      </w:r>
      <w:r>
        <w:rPr>
          <w:color w:val="333333"/>
          <w:sz w:val="21"/>
        </w:rPr>
        <w:t xml:space="preserve"> — prompt engineering with brand-safety constraints (Jimeng AI, image/video generation); ~10x cheaper asset iteration</w:t>
      </w:r>
    </w:p>
    <w:p>
      <w:pPr>
        <w:pStyle w:val="ListBullet"/>
        <w:spacing w:after="60"/>
      </w:pPr>
      <w:r>
        <w:rPr>
          <w:b/>
          <w:color w:val="333333"/>
          <w:sz w:val="21"/>
        </w:rPr>
        <w:t>Creator &amp; influencer marketing 0→1</w:t>
      </w:r>
      <w:r>
        <w:rPr>
          <w:color w:val="333333"/>
          <w:sz w:val="21"/>
        </w:rPr>
        <w:t xml:space="preserve"> — sourcing, outreach, briefing, FTC-compliant collaboration across parenting / education / lifestyle verticals</w:t>
      </w:r>
    </w:p>
    <w:p>
      <w:pPr>
        <w:pStyle w:val="ListBullet"/>
        <w:spacing w:after="60"/>
      </w:pPr>
      <w:r>
        <w:rPr>
          <w:b/>
          <w:color w:val="333333"/>
          <w:sz w:val="21"/>
        </w:rPr>
        <w:t>Performance marketing literacy</w:t>
      </w:r>
      <w:r>
        <w:rPr>
          <w:color w:val="333333"/>
          <w:sz w:val="21"/>
        </w:rPr>
        <w:t xml:space="preserve"> — Meta Ads Manager, Pixel/CAPI setup, A/B test design, CPL/CTR-driven iteration</w:t>
      </w:r>
    </w:p>
    <w:p>
      <w:pPr>
        <w:pStyle w:val="ListBullet"/>
        <w:spacing w:after="60"/>
      </w:pPr>
      <w:r>
        <w:rPr>
          <w:color w:val="333333"/>
          <w:sz w:val="21"/>
        </w:rPr>
        <w:t>Bilingual campaign delivery (EN/CN); cross-functional team &amp; agency management</w:t>
      </w:r>
    </w:p>
    <w:p>
      <w:pPr>
        <w:spacing w:after="80" w:before="200"/>
        <w:pBdr>
          <w:bottom w:val="single" w:sz="6" w:space="1" w:color="8A6D4B"/>
        </w:pBdr>
      </w:pPr>
      <w:r>
        <w:rPr>
          <w:b/>
          <w:color w:val="8A6D4B"/>
          <w:sz w:val="24"/>
        </w:rPr>
        <w:t>PROFESSIONAL EXPERIENCE</w:t>
      </w:r>
    </w:p>
    <w:p>
      <w:pPr>
        <w:spacing w:after="20" w:before="120"/>
      </w:pPr>
      <w:r>
        <w:rPr>
          <w:b/>
          <w:color w:val="333333"/>
          <w:sz w:val="21"/>
        </w:rPr>
        <w:t>MuseKey (playmusekey.com) — Screen-free Music Creation Device for Kids, North America</w:t>
      </w:r>
    </w:p>
    <w:p>
      <w:pPr>
        <w:spacing w:after="80" w:before="0"/>
      </w:pPr>
      <w:r>
        <w:rPr>
          <w:b w:val="0"/>
          <w:color w:val="333333"/>
          <w:sz w:val="20"/>
        </w:rPr>
        <w:t>Content Operations Lead / Social Media &amp; Creator Marketing Lead  |  Shenzhen  |  [MM/YYYY – Present]</w:t>
      </w:r>
    </w:p>
    <w:p>
      <w:pPr>
        <w:spacing w:after="80" w:before="0"/>
      </w:pPr>
      <w:r>
        <w:rPr>
          <w:b w:val="0"/>
          <w:color w:val="333333"/>
          <w:sz w:val="20"/>
        </w:rPr>
        <w:t>Owns global social (Instagram-first), paid social experimentation, and influencer marketing 0→1 for a kids' consumer hardware brand entering the US market; reports directly to the founder.</w:t>
      </w:r>
    </w:p>
    <w:p>
      <w:pPr>
        <w:pStyle w:val="ListBullet"/>
        <w:spacing w:after="60"/>
      </w:pPr>
      <w:r>
        <w:rPr>
          <w:b/>
          <w:color w:val="333333"/>
          <w:sz w:val="21"/>
        </w:rPr>
        <w:t>Built the Instagram content system from zero:</w:t>
      </w:r>
      <w:r>
        <w:rPr>
          <w:color w:val="333333"/>
          <w:sz w:val="21"/>
        </w:rPr>
        <w:t xml:space="preserve"> designed the "PLAY · CREATE · GROW" content pillar framework and the brand's visual system across Reels and statics; manage weekly editorial calendars and asset ledgers.</w:t>
      </w:r>
    </w:p>
    <w:p>
      <w:pPr>
        <w:pStyle w:val="ListBullet"/>
        <w:spacing w:after="60"/>
      </w:pPr>
      <w:r>
        <w:rPr>
          <w:b/>
          <w:color w:val="333333"/>
          <w:sz w:val="21"/>
        </w:rPr>
        <w:t>Ran Meta Ads as structured experiments:</w:t>
      </w:r>
      <w:r>
        <w:rPr>
          <w:color w:val="333333"/>
          <w:sz w:val="21"/>
        </w:rPr>
        <w:t xml:space="preserve"> first baseline flight delivered 68 email leads at ~¥15.8 ($2.2) blended CPL; top creative reached 9.85% CTR. Surfaced a counter-intuitive audience insight (55+ female segment over-indexing) and designed clean IG-vs-FB platform A/B tests to validate it.</w:t>
      </w:r>
    </w:p>
    <w:p>
      <w:pPr>
        <w:pStyle w:val="ListBullet"/>
        <w:spacing w:after="60"/>
      </w:pPr>
      <w:r>
        <w:rPr>
          <w:b/>
          <w:color w:val="333333"/>
          <w:sz w:val="21"/>
        </w:rPr>
        <w:t>Shipped full-funnel tracking:</w:t>
      </w:r>
      <w:r>
        <w:rPr>
          <w:color w:val="333333"/>
          <w:sz w:val="21"/>
        </w:rPr>
        <w:t xml:space="preserve"> implemented Meta Pixel + Conversions API, Lead event mapping, domain verification, and privacy-policy compliance on the DTC site.</w:t>
      </w:r>
    </w:p>
    <w:p>
      <w:pPr>
        <w:pStyle w:val="ListBullet"/>
        <w:spacing w:after="60"/>
      </w:pPr>
      <w:r>
        <w:rPr>
          <w:b/>
          <w:color w:val="333333"/>
          <w:sz w:val="21"/>
        </w:rPr>
        <w:t>Influencer marketing 0→1:</w:t>
      </w:r>
      <w:r>
        <w:rPr>
          <w:color w:val="333333"/>
          <w:sz w:val="21"/>
        </w:rPr>
        <w:t xml:space="preserve"> built creator sourcing and outreach playbooks across parenting, children's education, and creative-toy verticals; relationship-first DM framework prioritizing authentic connection over transactional pitching.</w:t>
      </w:r>
    </w:p>
    <w:p>
      <w:pPr>
        <w:pStyle w:val="ListBullet"/>
        <w:spacing w:after="60"/>
      </w:pPr>
      <w:r>
        <w:rPr>
          <w:b/>
          <w:color w:val="333333"/>
          <w:sz w:val="21"/>
        </w:rPr>
        <w:t>AI-augmented production pipeline:</w:t>
      </w:r>
      <w:r>
        <w:rPr>
          <w:color w:val="333333"/>
          <w:sz w:val="21"/>
        </w:rPr>
        <w:t xml:space="preserve"> standardized prompt-engineering workflows (Jimeng AI) with anti-defect visual constraints — Reels at ~¥31–39/video, statics at ~¥0.8/image; strategy kept in-house, execution delegated to outsourced editors/designers via a brief + acceptance-criteria model.</w:t>
      </w:r>
    </w:p>
    <w:p>
      <w:pPr>
        <w:pStyle w:val="ListBullet"/>
        <w:spacing w:after="60"/>
      </w:pPr>
      <w:r>
        <w:rPr>
          <w:b/>
          <w:color w:val="333333"/>
          <w:sz w:val="21"/>
        </w:rPr>
        <w:t>Team leadership:</w:t>
      </w:r>
      <w:r>
        <w:rPr>
          <w:color w:val="333333"/>
          <w:sz w:val="21"/>
        </w:rPr>
        <w:t xml:space="preserve"> coordinate a 4-person cross-functional team plus 3 outsourced squads (AI video, community listening, data tracking).</w:t>
      </w:r>
    </w:p>
    <w:p>
      <w:pPr>
        <w:spacing w:after="20" w:before="160"/>
      </w:pPr>
      <w:r>
        <w:rPr>
          <w:b/>
          <w:color w:val="333333"/>
          <w:sz w:val="21"/>
        </w:rPr>
        <w:t>DOME Group</w:t>
      </w:r>
    </w:p>
    <w:p>
      <w:pPr>
        <w:spacing w:after="80" w:before="0"/>
      </w:pPr>
      <w:r>
        <w:rPr>
          <w:b w:val="0"/>
          <w:color w:val="333333"/>
          <w:sz w:val="20"/>
        </w:rPr>
        <w:t>Marketing Manager  |  [City]  |  [MM/YYYY – MM/YYYY]</w:t>
      </w:r>
    </w:p>
    <w:p>
      <w:pPr>
        <w:pStyle w:val="ListBullet"/>
        <w:spacing w:after="60"/>
      </w:pPr>
      <w:r>
        <w:rPr>
          <w:color w:val="333333"/>
          <w:sz w:val="21"/>
        </w:rPr>
        <w:t>[TO FILL from ClickUp retrospective: scope, flagship campaigns, quantified results — follower growth, engagement, ROAS, team size]</w:t>
      </w:r>
    </w:p>
    <w:p>
      <w:pPr>
        <w:spacing w:after="20" w:before="160"/>
      </w:pPr>
      <w:r>
        <w:rPr>
          <w:b/>
          <w:color w:val="333333"/>
          <w:sz w:val="21"/>
        </w:rPr>
        <w:t>TopJob (DTC 出海)</w:t>
      </w:r>
    </w:p>
    <w:p>
      <w:pPr>
        <w:spacing w:after="80" w:before="0"/>
      </w:pPr>
      <w:r>
        <w:rPr>
          <w:b w:val="0"/>
          <w:color w:val="333333"/>
          <w:sz w:val="20"/>
        </w:rPr>
        <w:t>Social Media Operations  |  [City]  |  [MM/YYYY – MM/YYYY]</w:t>
      </w:r>
    </w:p>
    <w:p>
      <w:pPr>
        <w:pStyle w:val="ListBullet"/>
        <w:spacing w:after="60"/>
      </w:pPr>
      <w:r>
        <w:rPr>
          <w:color w:val="333333"/>
          <w:sz w:val="21"/>
        </w:rPr>
        <w:t>[TO FILL from ClickUp retrospective: platform matrix, growth metrics, content/performance methodology]</w:t>
      </w:r>
    </w:p>
    <w:p>
      <w:pPr>
        <w:spacing w:after="80" w:before="200"/>
        <w:pBdr>
          <w:bottom w:val="single" w:sz="6" w:space="1" w:color="8A6D4B"/>
        </w:pBdr>
      </w:pPr>
      <w:r>
        <w:rPr>
          <w:b/>
          <w:color w:val="8A6D4B"/>
          <w:sz w:val="24"/>
        </w:rPr>
        <w:t>EDUCATION</w:t>
      </w:r>
    </w:p>
    <w:p>
      <w:pPr>
        <w:spacing w:after="120" w:before="0"/>
      </w:pPr>
      <w:r>
        <w:rPr>
          <w:b w:val="0"/>
          <w:color w:val="333333"/>
          <w:sz w:val="21"/>
        </w:rPr>
        <w:t>B.A., Visual Communication Design — Lingnan Normal University (岭南师范学院)</w:t>
      </w:r>
    </w:p>
    <w:p>
      <w:pPr>
        <w:spacing w:after="80" w:before="200"/>
        <w:pBdr>
          <w:bottom w:val="single" w:sz="6" w:space="1" w:color="8A6D4B"/>
        </w:pBdr>
      </w:pPr>
      <w:r>
        <w:rPr>
          <w:b/>
          <w:color w:val="8A6D4B"/>
          <w:sz w:val="24"/>
        </w:rPr>
        <w:t>TOOLBOX</w:t>
      </w:r>
    </w:p>
    <w:p>
      <w:pPr>
        <w:spacing w:after="120" w:before="0"/>
      </w:pPr>
      <w:r>
        <w:rPr>
          <w:b w:val="0"/>
          <w:color w:val="333333"/>
          <w:sz w:val="21"/>
        </w:rPr>
        <w:t>Meta Ads Manager · Pixel/CAPI · Instagram / Facebook / TikTok / Pinterest · ClickUp · Feishu · Google Workspace · Jimeng AI &amp; image/video generation prompt engineering · CapCut brief workflows</w:t>
      </w:r>
    </w:p>
    <w:p>
      <w:pPr>
        <w:spacing w:after="80" w:before="200"/>
        <w:pBdr>
          <w:bottom w:val="single" w:sz="6" w:space="1" w:color="8A6D4B"/>
        </w:pBdr>
      </w:pPr>
      <w:r>
        <w:rPr>
          <w:b/>
          <w:color w:val="8A6D4B"/>
          <w:sz w:val="24"/>
        </w:rPr>
        <w:t>WHY VIVAIA (optional — application version)</w:t>
      </w:r>
    </w:p>
    <w:p>
      <w:pPr>
        <w:spacing w:after="40" w:before="0"/>
      </w:pPr>
      <w:r>
        <w:rPr>
          <w:b w:val="0"/>
          <w:color w:val="333333"/>
          <w:sz w:val="21"/>
        </w:rPr>
        <w:t>VIVAIA's audience reality — 92.85% female, with the 35–65+ segment as the revenue core — matches the audience insight I surfaced and validated in my current role: women 45+ are the most responsive yet most under-served segment in social creative. My design background maps to VIVAIA's comfort-meets-style identity, and my AI-assisted production model can scale the content volume a 1.69M-follower Instagram operation demands without diluting brand standards.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