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F30" w:rsidRPr="00DA73CB" w:rsidRDefault="00926BD4" w:rsidP="00DA73CB">
      <w:pPr>
        <w:spacing w:line="360" w:lineRule="auto"/>
        <w:jc w:val="center"/>
        <w:rPr>
          <w:rFonts w:ascii="Verdana" w:hAnsi="Verdana"/>
          <w:b/>
          <w:sz w:val="28"/>
        </w:rPr>
      </w:pPr>
      <w:r>
        <w:rPr>
          <w:rFonts w:ascii="Verdana" w:hAnsi="Verdana"/>
          <w:b/>
          <w:sz w:val="28"/>
        </w:rPr>
        <w:t xml:space="preserve">BUSINESS REPORT ABOUT OPERATION AND SUPPLY CHAIN PERFORMANCE ISSUES OF A COMPANY </w:t>
      </w:r>
    </w:p>
    <w:sdt>
      <w:sdtPr>
        <w:rPr>
          <w:rFonts w:asciiTheme="minorHAnsi" w:eastAsiaTheme="minorHAnsi" w:hAnsiTheme="minorHAnsi" w:cstheme="minorBidi"/>
          <w:color w:val="auto"/>
          <w:sz w:val="40"/>
          <w:szCs w:val="22"/>
          <w:lang w:val="en-GB"/>
        </w:rPr>
        <w:id w:val="529380002"/>
        <w:docPartObj>
          <w:docPartGallery w:val="Table of Contents"/>
          <w:docPartUnique/>
        </w:docPartObj>
      </w:sdtPr>
      <w:sdtEndPr>
        <w:rPr>
          <w:b/>
          <w:bCs/>
          <w:noProof/>
          <w:sz w:val="20"/>
          <w:szCs w:val="20"/>
        </w:rPr>
      </w:sdtEndPr>
      <w:sdtContent>
        <w:p w:rsidR="00604034" w:rsidRPr="000F4574" w:rsidRDefault="00604034" w:rsidP="00862388">
          <w:pPr>
            <w:pStyle w:val="TOCHeading"/>
            <w:spacing w:line="360" w:lineRule="auto"/>
            <w:jc w:val="both"/>
            <w:rPr>
              <w:sz w:val="28"/>
              <w:szCs w:val="20"/>
            </w:rPr>
          </w:pPr>
          <w:r w:rsidRPr="005E47E8">
            <w:rPr>
              <w:sz w:val="28"/>
              <w:szCs w:val="20"/>
              <w:lang w:val="en-GB"/>
            </w:rPr>
            <w:t>Contents</w:t>
          </w:r>
        </w:p>
        <w:p w:rsidR="00D44055" w:rsidRDefault="00604034">
          <w:pPr>
            <w:pStyle w:val="TOC1"/>
            <w:tabs>
              <w:tab w:val="left" w:pos="660"/>
              <w:tab w:val="right" w:leader="dot" w:pos="9350"/>
            </w:tabs>
            <w:rPr>
              <w:rFonts w:eastAsiaTheme="minorEastAsia"/>
              <w:noProof/>
              <w:lang w:eastAsia="zh-CN"/>
            </w:rPr>
          </w:pPr>
          <w:r w:rsidRPr="005E47E8">
            <w:rPr>
              <w:sz w:val="20"/>
              <w:szCs w:val="20"/>
            </w:rPr>
            <w:fldChar w:fldCharType="begin"/>
          </w:r>
          <w:r w:rsidRPr="005E47E8">
            <w:rPr>
              <w:sz w:val="20"/>
              <w:szCs w:val="20"/>
            </w:rPr>
            <w:instrText xml:space="preserve"> TOC \o "1-3" \h \z \u </w:instrText>
          </w:r>
          <w:r w:rsidRPr="005E47E8">
            <w:rPr>
              <w:sz w:val="20"/>
              <w:szCs w:val="20"/>
            </w:rPr>
            <w:fldChar w:fldCharType="separate"/>
          </w:r>
          <w:hyperlink w:anchor="_Toc133778847" w:history="1">
            <w:r w:rsidR="00D44055" w:rsidRPr="00BD3C4E">
              <w:rPr>
                <w:rStyle w:val="Hyperlink"/>
                <w:rFonts w:ascii="Verdana" w:hAnsi="Verdana"/>
                <w:b/>
                <w:noProof/>
              </w:rPr>
              <w:t>1.</w:t>
            </w:r>
            <w:r w:rsidR="00D44055">
              <w:rPr>
                <w:rFonts w:eastAsiaTheme="minorEastAsia"/>
                <w:noProof/>
                <w:lang w:eastAsia="zh-CN"/>
              </w:rPr>
              <w:tab/>
            </w:r>
            <w:r w:rsidR="00D44055" w:rsidRPr="00BD3C4E">
              <w:rPr>
                <w:rStyle w:val="Hyperlink"/>
                <w:rFonts w:ascii="Verdana" w:hAnsi="Verdana"/>
                <w:b/>
                <w:noProof/>
              </w:rPr>
              <w:t>Introduction</w:t>
            </w:r>
            <w:r w:rsidR="00D44055">
              <w:rPr>
                <w:noProof/>
                <w:webHidden/>
              </w:rPr>
              <w:tab/>
            </w:r>
            <w:r w:rsidR="00D44055">
              <w:rPr>
                <w:noProof/>
                <w:webHidden/>
              </w:rPr>
              <w:fldChar w:fldCharType="begin"/>
            </w:r>
            <w:r w:rsidR="00D44055">
              <w:rPr>
                <w:noProof/>
                <w:webHidden/>
              </w:rPr>
              <w:instrText xml:space="preserve"> PAGEREF _Toc133778847 \h </w:instrText>
            </w:r>
            <w:r w:rsidR="00D44055">
              <w:rPr>
                <w:noProof/>
                <w:webHidden/>
              </w:rPr>
            </w:r>
            <w:r w:rsidR="00D44055">
              <w:rPr>
                <w:noProof/>
                <w:webHidden/>
              </w:rPr>
              <w:fldChar w:fldCharType="separate"/>
            </w:r>
            <w:r w:rsidR="00D44055">
              <w:rPr>
                <w:noProof/>
                <w:webHidden/>
              </w:rPr>
              <w:t>3</w:t>
            </w:r>
            <w:r w:rsidR="00D44055">
              <w:rPr>
                <w:noProof/>
                <w:webHidden/>
              </w:rPr>
              <w:fldChar w:fldCharType="end"/>
            </w:r>
          </w:hyperlink>
        </w:p>
        <w:p w:rsidR="00D44055" w:rsidRDefault="00000000">
          <w:pPr>
            <w:pStyle w:val="TOC1"/>
            <w:tabs>
              <w:tab w:val="left" w:pos="660"/>
              <w:tab w:val="right" w:leader="dot" w:pos="9350"/>
            </w:tabs>
            <w:rPr>
              <w:rFonts w:eastAsiaTheme="minorEastAsia"/>
              <w:noProof/>
              <w:lang w:eastAsia="zh-CN"/>
            </w:rPr>
          </w:pPr>
          <w:hyperlink w:anchor="_Toc133778848" w:history="1">
            <w:r w:rsidR="00D44055" w:rsidRPr="00BD3C4E">
              <w:rPr>
                <w:rStyle w:val="Hyperlink"/>
                <w:rFonts w:ascii="Verdana" w:hAnsi="Verdana"/>
                <w:b/>
                <w:noProof/>
              </w:rPr>
              <w:t>2.</w:t>
            </w:r>
            <w:r w:rsidR="00D44055">
              <w:rPr>
                <w:rFonts w:eastAsiaTheme="minorEastAsia"/>
                <w:noProof/>
                <w:lang w:eastAsia="zh-CN"/>
              </w:rPr>
              <w:tab/>
            </w:r>
            <w:r w:rsidR="00D44055" w:rsidRPr="00BD3C4E">
              <w:rPr>
                <w:rStyle w:val="Hyperlink"/>
                <w:rFonts w:ascii="Verdana" w:hAnsi="Verdana"/>
                <w:b/>
                <w:noProof/>
              </w:rPr>
              <w:t>Analysis of the company’s current performance</w:t>
            </w:r>
            <w:r w:rsidR="00D44055">
              <w:rPr>
                <w:noProof/>
                <w:webHidden/>
              </w:rPr>
              <w:tab/>
            </w:r>
            <w:r w:rsidR="00D44055">
              <w:rPr>
                <w:noProof/>
                <w:webHidden/>
              </w:rPr>
              <w:fldChar w:fldCharType="begin"/>
            </w:r>
            <w:r w:rsidR="00D44055">
              <w:rPr>
                <w:noProof/>
                <w:webHidden/>
              </w:rPr>
              <w:instrText xml:space="preserve"> PAGEREF _Toc133778848 \h </w:instrText>
            </w:r>
            <w:r w:rsidR="00D44055">
              <w:rPr>
                <w:noProof/>
                <w:webHidden/>
              </w:rPr>
            </w:r>
            <w:r w:rsidR="00D44055">
              <w:rPr>
                <w:noProof/>
                <w:webHidden/>
              </w:rPr>
              <w:fldChar w:fldCharType="separate"/>
            </w:r>
            <w:r w:rsidR="00D44055">
              <w:rPr>
                <w:noProof/>
                <w:webHidden/>
              </w:rPr>
              <w:t>3</w:t>
            </w:r>
            <w:r w:rsidR="00D44055">
              <w:rPr>
                <w:noProof/>
                <w:webHidden/>
              </w:rPr>
              <w:fldChar w:fldCharType="end"/>
            </w:r>
          </w:hyperlink>
        </w:p>
        <w:p w:rsidR="00D44055" w:rsidRDefault="00000000">
          <w:pPr>
            <w:pStyle w:val="TOC2"/>
            <w:tabs>
              <w:tab w:val="left" w:pos="1100"/>
              <w:tab w:val="right" w:leader="dot" w:pos="9350"/>
            </w:tabs>
            <w:rPr>
              <w:rFonts w:eastAsiaTheme="minorEastAsia"/>
              <w:noProof/>
              <w:lang w:eastAsia="zh-CN"/>
            </w:rPr>
          </w:pPr>
          <w:hyperlink w:anchor="_Toc133778849" w:history="1">
            <w:r w:rsidR="00D44055" w:rsidRPr="00BD3C4E">
              <w:rPr>
                <w:rStyle w:val="Hyperlink"/>
                <w:rFonts w:ascii="Verdana" w:hAnsi="Verdana"/>
                <w:i/>
                <w:iCs/>
                <w:noProof/>
              </w:rPr>
              <w:t>2.1.</w:t>
            </w:r>
            <w:r w:rsidR="00D44055">
              <w:rPr>
                <w:rFonts w:eastAsiaTheme="minorEastAsia"/>
                <w:noProof/>
                <w:lang w:eastAsia="zh-CN"/>
              </w:rPr>
              <w:tab/>
            </w:r>
            <w:r w:rsidR="00D44055" w:rsidRPr="00BD3C4E">
              <w:rPr>
                <w:rStyle w:val="Hyperlink"/>
                <w:rFonts w:ascii="Verdana" w:hAnsi="Verdana"/>
                <w:i/>
                <w:iCs/>
                <w:noProof/>
              </w:rPr>
              <w:t>Overall product family</w:t>
            </w:r>
            <w:r w:rsidR="00D44055">
              <w:rPr>
                <w:noProof/>
                <w:webHidden/>
              </w:rPr>
              <w:tab/>
            </w:r>
            <w:r w:rsidR="00D44055">
              <w:rPr>
                <w:noProof/>
                <w:webHidden/>
              </w:rPr>
              <w:fldChar w:fldCharType="begin"/>
            </w:r>
            <w:r w:rsidR="00D44055">
              <w:rPr>
                <w:noProof/>
                <w:webHidden/>
              </w:rPr>
              <w:instrText xml:space="preserve"> PAGEREF _Toc133778849 \h </w:instrText>
            </w:r>
            <w:r w:rsidR="00D44055">
              <w:rPr>
                <w:noProof/>
                <w:webHidden/>
              </w:rPr>
            </w:r>
            <w:r w:rsidR="00D44055">
              <w:rPr>
                <w:noProof/>
                <w:webHidden/>
              </w:rPr>
              <w:fldChar w:fldCharType="separate"/>
            </w:r>
            <w:r w:rsidR="00D44055">
              <w:rPr>
                <w:noProof/>
                <w:webHidden/>
              </w:rPr>
              <w:t>3</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50" w:history="1">
            <w:r w:rsidR="00D44055" w:rsidRPr="00BD3C4E">
              <w:rPr>
                <w:rStyle w:val="Hyperlink"/>
                <w:rFonts w:ascii="Verdana" w:hAnsi="Verdana"/>
                <w:i/>
                <w:iCs/>
                <w:noProof/>
              </w:rPr>
              <w:t>Figure 1: Sales by Product Family</w:t>
            </w:r>
            <w:r w:rsidR="00D44055">
              <w:rPr>
                <w:noProof/>
                <w:webHidden/>
              </w:rPr>
              <w:tab/>
            </w:r>
            <w:r w:rsidR="00D44055">
              <w:rPr>
                <w:noProof/>
                <w:webHidden/>
              </w:rPr>
              <w:fldChar w:fldCharType="begin"/>
            </w:r>
            <w:r w:rsidR="00D44055">
              <w:rPr>
                <w:noProof/>
                <w:webHidden/>
              </w:rPr>
              <w:instrText xml:space="preserve"> PAGEREF _Toc133778850 \h </w:instrText>
            </w:r>
            <w:r w:rsidR="00D44055">
              <w:rPr>
                <w:noProof/>
                <w:webHidden/>
              </w:rPr>
            </w:r>
            <w:r w:rsidR="00D44055">
              <w:rPr>
                <w:noProof/>
                <w:webHidden/>
              </w:rPr>
              <w:fldChar w:fldCharType="separate"/>
            </w:r>
            <w:r w:rsidR="00D44055">
              <w:rPr>
                <w:noProof/>
                <w:webHidden/>
              </w:rPr>
              <w:t>4</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51" w:history="1">
            <w:r w:rsidR="00D44055" w:rsidRPr="00BD3C4E">
              <w:rPr>
                <w:rStyle w:val="Hyperlink"/>
                <w:rFonts w:ascii="Verdana" w:hAnsi="Verdana"/>
                <w:i/>
                <w:iCs/>
                <w:noProof/>
              </w:rPr>
              <w:t>Figure 2: Average Due Date Performance by each Product Family</w:t>
            </w:r>
            <w:r w:rsidR="00D44055">
              <w:rPr>
                <w:noProof/>
                <w:webHidden/>
              </w:rPr>
              <w:tab/>
            </w:r>
            <w:r w:rsidR="00D44055">
              <w:rPr>
                <w:noProof/>
                <w:webHidden/>
              </w:rPr>
              <w:fldChar w:fldCharType="begin"/>
            </w:r>
            <w:r w:rsidR="00D44055">
              <w:rPr>
                <w:noProof/>
                <w:webHidden/>
              </w:rPr>
              <w:instrText xml:space="preserve"> PAGEREF _Toc133778851 \h </w:instrText>
            </w:r>
            <w:r w:rsidR="00D44055">
              <w:rPr>
                <w:noProof/>
                <w:webHidden/>
              </w:rPr>
            </w:r>
            <w:r w:rsidR="00D44055">
              <w:rPr>
                <w:noProof/>
                <w:webHidden/>
              </w:rPr>
              <w:fldChar w:fldCharType="separate"/>
            </w:r>
            <w:r w:rsidR="00D44055">
              <w:rPr>
                <w:noProof/>
                <w:webHidden/>
              </w:rPr>
              <w:t>5</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52" w:history="1">
            <w:r w:rsidR="00D44055" w:rsidRPr="00BD3C4E">
              <w:rPr>
                <w:rStyle w:val="Hyperlink"/>
                <w:rFonts w:ascii="Verdana" w:hAnsi="Verdana"/>
                <w:i/>
                <w:iCs/>
                <w:noProof/>
              </w:rPr>
              <w:t>Figure 3: Price distribution by Product Family</w:t>
            </w:r>
            <w:r w:rsidR="00D44055">
              <w:rPr>
                <w:noProof/>
                <w:webHidden/>
              </w:rPr>
              <w:tab/>
            </w:r>
            <w:r w:rsidR="00D44055">
              <w:rPr>
                <w:noProof/>
                <w:webHidden/>
              </w:rPr>
              <w:fldChar w:fldCharType="begin"/>
            </w:r>
            <w:r w:rsidR="00D44055">
              <w:rPr>
                <w:noProof/>
                <w:webHidden/>
              </w:rPr>
              <w:instrText xml:space="preserve"> PAGEREF _Toc133778852 \h </w:instrText>
            </w:r>
            <w:r w:rsidR="00D44055">
              <w:rPr>
                <w:noProof/>
                <w:webHidden/>
              </w:rPr>
            </w:r>
            <w:r w:rsidR="00D44055">
              <w:rPr>
                <w:noProof/>
                <w:webHidden/>
              </w:rPr>
              <w:fldChar w:fldCharType="separate"/>
            </w:r>
            <w:r w:rsidR="00D44055">
              <w:rPr>
                <w:noProof/>
                <w:webHidden/>
              </w:rPr>
              <w:t>6</w:t>
            </w:r>
            <w:r w:rsidR="00D44055">
              <w:rPr>
                <w:noProof/>
                <w:webHidden/>
              </w:rPr>
              <w:fldChar w:fldCharType="end"/>
            </w:r>
          </w:hyperlink>
        </w:p>
        <w:p w:rsidR="00D44055" w:rsidRDefault="00000000">
          <w:pPr>
            <w:pStyle w:val="TOC2"/>
            <w:tabs>
              <w:tab w:val="left" w:pos="1100"/>
              <w:tab w:val="right" w:leader="dot" w:pos="9350"/>
            </w:tabs>
            <w:rPr>
              <w:rFonts w:eastAsiaTheme="minorEastAsia"/>
              <w:noProof/>
              <w:lang w:eastAsia="zh-CN"/>
            </w:rPr>
          </w:pPr>
          <w:hyperlink w:anchor="_Toc133778853" w:history="1">
            <w:r w:rsidR="00D44055" w:rsidRPr="00BD3C4E">
              <w:rPr>
                <w:rStyle w:val="Hyperlink"/>
                <w:rFonts w:ascii="Verdana" w:hAnsi="Verdana"/>
                <w:i/>
                <w:iCs/>
                <w:noProof/>
              </w:rPr>
              <w:t>2.2.</w:t>
            </w:r>
            <w:r w:rsidR="00D44055">
              <w:rPr>
                <w:rFonts w:eastAsiaTheme="minorEastAsia"/>
                <w:noProof/>
                <w:lang w:eastAsia="zh-CN"/>
              </w:rPr>
              <w:tab/>
            </w:r>
            <w:r w:rsidR="00D44055" w:rsidRPr="00BD3C4E">
              <w:rPr>
                <w:rStyle w:val="Hyperlink"/>
                <w:rFonts w:ascii="Verdana" w:hAnsi="Verdana"/>
                <w:i/>
                <w:iCs/>
                <w:noProof/>
              </w:rPr>
              <w:t>Bins</w:t>
            </w:r>
            <w:r w:rsidR="00D44055">
              <w:rPr>
                <w:noProof/>
                <w:webHidden/>
              </w:rPr>
              <w:tab/>
            </w:r>
            <w:r w:rsidR="00D44055">
              <w:rPr>
                <w:noProof/>
                <w:webHidden/>
              </w:rPr>
              <w:fldChar w:fldCharType="begin"/>
            </w:r>
            <w:r w:rsidR="00D44055">
              <w:rPr>
                <w:noProof/>
                <w:webHidden/>
              </w:rPr>
              <w:instrText xml:space="preserve"> PAGEREF _Toc133778853 \h </w:instrText>
            </w:r>
            <w:r w:rsidR="00D44055">
              <w:rPr>
                <w:noProof/>
                <w:webHidden/>
              </w:rPr>
            </w:r>
            <w:r w:rsidR="00D44055">
              <w:rPr>
                <w:noProof/>
                <w:webHidden/>
              </w:rPr>
              <w:fldChar w:fldCharType="separate"/>
            </w:r>
            <w:r w:rsidR="00D44055">
              <w:rPr>
                <w:noProof/>
                <w:webHidden/>
              </w:rPr>
              <w:t>6</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54" w:history="1">
            <w:r w:rsidR="00D44055" w:rsidRPr="00BD3C4E">
              <w:rPr>
                <w:rStyle w:val="Hyperlink"/>
                <w:rFonts w:ascii="Verdana" w:hAnsi="Verdana"/>
                <w:i/>
                <w:iCs/>
                <w:noProof/>
              </w:rPr>
              <w:t>Figure 4: Total sales of Bins between 2006 and 2012.</w:t>
            </w:r>
            <w:r w:rsidR="00D44055">
              <w:rPr>
                <w:noProof/>
                <w:webHidden/>
              </w:rPr>
              <w:tab/>
            </w:r>
            <w:r w:rsidR="00D44055">
              <w:rPr>
                <w:noProof/>
                <w:webHidden/>
              </w:rPr>
              <w:fldChar w:fldCharType="begin"/>
            </w:r>
            <w:r w:rsidR="00D44055">
              <w:rPr>
                <w:noProof/>
                <w:webHidden/>
              </w:rPr>
              <w:instrText xml:space="preserve"> PAGEREF _Toc133778854 \h </w:instrText>
            </w:r>
            <w:r w:rsidR="00D44055">
              <w:rPr>
                <w:noProof/>
                <w:webHidden/>
              </w:rPr>
            </w:r>
            <w:r w:rsidR="00D44055">
              <w:rPr>
                <w:noProof/>
                <w:webHidden/>
              </w:rPr>
              <w:fldChar w:fldCharType="separate"/>
            </w:r>
            <w:r w:rsidR="00D44055">
              <w:rPr>
                <w:noProof/>
                <w:webHidden/>
              </w:rPr>
              <w:t>7</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55" w:history="1">
            <w:r w:rsidR="00D44055" w:rsidRPr="00BD3C4E">
              <w:rPr>
                <w:rStyle w:val="Hyperlink"/>
                <w:rFonts w:ascii="Verdana" w:hAnsi="Verdana"/>
                <w:i/>
                <w:iCs/>
                <w:noProof/>
              </w:rPr>
              <w:t>Figure 5: Total sales of Bins product between 2006 and 2012.</w:t>
            </w:r>
            <w:r w:rsidR="00D44055">
              <w:rPr>
                <w:noProof/>
                <w:webHidden/>
              </w:rPr>
              <w:tab/>
            </w:r>
            <w:r w:rsidR="00D44055">
              <w:rPr>
                <w:noProof/>
                <w:webHidden/>
              </w:rPr>
              <w:fldChar w:fldCharType="begin"/>
            </w:r>
            <w:r w:rsidR="00D44055">
              <w:rPr>
                <w:noProof/>
                <w:webHidden/>
              </w:rPr>
              <w:instrText xml:space="preserve"> PAGEREF _Toc133778855 \h </w:instrText>
            </w:r>
            <w:r w:rsidR="00D44055">
              <w:rPr>
                <w:noProof/>
                <w:webHidden/>
              </w:rPr>
            </w:r>
            <w:r w:rsidR="00D44055">
              <w:rPr>
                <w:noProof/>
                <w:webHidden/>
              </w:rPr>
              <w:fldChar w:fldCharType="separate"/>
            </w:r>
            <w:r w:rsidR="00D44055">
              <w:rPr>
                <w:noProof/>
                <w:webHidden/>
              </w:rPr>
              <w:t>8</w:t>
            </w:r>
            <w:r w:rsidR="00D44055">
              <w:rPr>
                <w:noProof/>
                <w:webHidden/>
              </w:rPr>
              <w:fldChar w:fldCharType="end"/>
            </w:r>
          </w:hyperlink>
        </w:p>
        <w:p w:rsidR="00D44055" w:rsidRDefault="00000000">
          <w:pPr>
            <w:pStyle w:val="TOC2"/>
            <w:tabs>
              <w:tab w:val="left" w:pos="1100"/>
              <w:tab w:val="right" w:leader="dot" w:pos="9350"/>
            </w:tabs>
            <w:rPr>
              <w:rFonts w:eastAsiaTheme="minorEastAsia"/>
              <w:noProof/>
              <w:lang w:eastAsia="zh-CN"/>
            </w:rPr>
          </w:pPr>
          <w:hyperlink w:anchor="_Toc133778856" w:history="1">
            <w:r w:rsidR="00D44055" w:rsidRPr="00BD3C4E">
              <w:rPr>
                <w:rStyle w:val="Hyperlink"/>
                <w:rFonts w:ascii="Verdana" w:hAnsi="Verdana"/>
                <w:i/>
                <w:iCs/>
                <w:noProof/>
              </w:rPr>
              <w:t>2.3.</w:t>
            </w:r>
            <w:r w:rsidR="00D44055">
              <w:rPr>
                <w:rFonts w:eastAsiaTheme="minorEastAsia"/>
                <w:noProof/>
                <w:lang w:eastAsia="zh-CN"/>
              </w:rPr>
              <w:tab/>
            </w:r>
            <w:r w:rsidR="00D44055" w:rsidRPr="00BD3C4E">
              <w:rPr>
                <w:rStyle w:val="Hyperlink"/>
                <w:rFonts w:ascii="Verdana" w:hAnsi="Verdana"/>
                <w:i/>
                <w:iCs/>
                <w:noProof/>
              </w:rPr>
              <w:t>Self-watering planters</w:t>
            </w:r>
            <w:r w:rsidR="00D44055">
              <w:rPr>
                <w:noProof/>
                <w:webHidden/>
              </w:rPr>
              <w:tab/>
            </w:r>
            <w:r w:rsidR="00D44055">
              <w:rPr>
                <w:noProof/>
                <w:webHidden/>
              </w:rPr>
              <w:fldChar w:fldCharType="begin"/>
            </w:r>
            <w:r w:rsidR="00D44055">
              <w:rPr>
                <w:noProof/>
                <w:webHidden/>
              </w:rPr>
              <w:instrText xml:space="preserve"> PAGEREF _Toc133778856 \h </w:instrText>
            </w:r>
            <w:r w:rsidR="00D44055">
              <w:rPr>
                <w:noProof/>
                <w:webHidden/>
              </w:rPr>
            </w:r>
            <w:r w:rsidR="00D44055">
              <w:rPr>
                <w:noProof/>
                <w:webHidden/>
              </w:rPr>
              <w:fldChar w:fldCharType="separate"/>
            </w:r>
            <w:r w:rsidR="00D44055">
              <w:rPr>
                <w:noProof/>
                <w:webHidden/>
              </w:rPr>
              <w:t>8</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57" w:history="1">
            <w:r w:rsidR="00D44055" w:rsidRPr="00BD3C4E">
              <w:rPr>
                <w:rStyle w:val="Hyperlink"/>
                <w:rFonts w:ascii="Verdana" w:hAnsi="Verdana"/>
                <w:i/>
                <w:iCs/>
                <w:noProof/>
              </w:rPr>
              <w:t>Figure 6: Sales by colours of Self-watering products</w:t>
            </w:r>
            <w:r w:rsidR="00D44055">
              <w:rPr>
                <w:noProof/>
                <w:webHidden/>
              </w:rPr>
              <w:tab/>
            </w:r>
            <w:r w:rsidR="00D44055">
              <w:rPr>
                <w:noProof/>
                <w:webHidden/>
              </w:rPr>
              <w:fldChar w:fldCharType="begin"/>
            </w:r>
            <w:r w:rsidR="00D44055">
              <w:rPr>
                <w:noProof/>
                <w:webHidden/>
              </w:rPr>
              <w:instrText xml:space="preserve"> PAGEREF _Toc133778857 \h </w:instrText>
            </w:r>
            <w:r w:rsidR="00D44055">
              <w:rPr>
                <w:noProof/>
                <w:webHidden/>
              </w:rPr>
            </w:r>
            <w:r w:rsidR="00D44055">
              <w:rPr>
                <w:noProof/>
                <w:webHidden/>
              </w:rPr>
              <w:fldChar w:fldCharType="separate"/>
            </w:r>
            <w:r w:rsidR="00D44055">
              <w:rPr>
                <w:noProof/>
                <w:webHidden/>
              </w:rPr>
              <w:t>9</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58" w:history="1">
            <w:r w:rsidR="00D44055" w:rsidRPr="00BD3C4E">
              <w:rPr>
                <w:rStyle w:val="Hyperlink"/>
                <w:rFonts w:ascii="Verdana" w:hAnsi="Verdana"/>
                <w:i/>
                <w:iCs/>
                <w:noProof/>
              </w:rPr>
              <w:t>Figure 7: Colour used by powder weight for self-watering planters.</w:t>
            </w:r>
            <w:r w:rsidR="00D44055">
              <w:rPr>
                <w:noProof/>
                <w:webHidden/>
              </w:rPr>
              <w:tab/>
            </w:r>
            <w:r w:rsidR="00D44055">
              <w:rPr>
                <w:noProof/>
                <w:webHidden/>
              </w:rPr>
              <w:fldChar w:fldCharType="begin"/>
            </w:r>
            <w:r w:rsidR="00D44055">
              <w:rPr>
                <w:noProof/>
                <w:webHidden/>
              </w:rPr>
              <w:instrText xml:space="preserve"> PAGEREF _Toc133778858 \h </w:instrText>
            </w:r>
            <w:r w:rsidR="00D44055">
              <w:rPr>
                <w:noProof/>
                <w:webHidden/>
              </w:rPr>
            </w:r>
            <w:r w:rsidR="00D44055">
              <w:rPr>
                <w:noProof/>
                <w:webHidden/>
              </w:rPr>
              <w:fldChar w:fldCharType="separate"/>
            </w:r>
            <w:r w:rsidR="00D44055">
              <w:rPr>
                <w:noProof/>
                <w:webHidden/>
              </w:rPr>
              <w:t>10</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59" w:history="1">
            <w:r w:rsidR="00D44055" w:rsidRPr="00BD3C4E">
              <w:rPr>
                <w:rStyle w:val="Hyperlink"/>
                <w:rFonts w:ascii="Verdana" w:hAnsi="Verdana"/>
                <w:i/>
                <w:iCs/>
                <w:noProof/>
              </w:rPr>
              <w:t>Figure 8: Total sales for Self-watering planters between 2006 and 2012.</w:t>
            </w:r>
            <w:r w:rsidR="00D44055">
              <w:rPr>
                <w:noProof/>
                <w:webHidden/>
              </w:rPr>
              <w:tab/>
            </w:r>
            <w:r w:rsidR="00D44055">
              <w:rPr>
                <w:noProof/>
                <w:webHidden/>
              </w:rPr>
              <w:fldChar w:fldCharType="begin"/>
            </w:r>
            <w:r w:rsidR="00D44055">
              <w:rPr>
                <w:noProof/>
                <w:webHidden/>
              </w:rPr>
              <w:instrText xml:space="preserve"> PAGEREF _Toc133778859 \h </w:instrText>
            </w:r>
            <w:r w:rsidR="00D44055">
              <w:rPr>
                <w:noProof/>
                <w:webHidden/>
              </w:rPr>
            </w:r>
            <w:r w:rsidR="00D44055">
              <w:rPr>
                <w:noProof/>
                <w:webHidden/>
              </w:rPr>
              <w:fldChar w:fldCharType="separate"/>
            </w:r>
            <w:r w:rsidR="00D44055">
              <w:rPr>
                <w:noProof/>
                <w:webHidden/>
              </w:rPr>
              <w:t>10</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60" w:history="1">
            <w:r w:rsidR="00D44055" w:rsidRPr="00BD3C4E">
              <w:rPr>
                <w:rStyle w:val="Hyperlink"/>
                <w:rFonts w:ascii="Verdana" w:hAnsi="Verdana"/>
                <w:i/>
                <w:iCs/>
                <w:noProof/>
              </w:rPr>
              <w:t>Figure 9: Total sales of self-watering planters between 2006 and 2012.</w:t>
            </w:r>
            <w:r w:rsidR="00D44055">
              <w:rPr>
                <w:noProof/>
                <w:webHidden/>
              </w:rPr>
              <w:tab/>
            </w:r>
            <w:r w:rsidR="00D44055">
              <w:rPr>
                <w:noProof/>
                <w:webHidden/>
              </w:rPr>
              <w:fldChar w:fldCharType="begin"/>
            </w:r>
            <w:r w:rsidR="00D44055">
              <w:rPr>
                <w:noProof/>
                <w:webHidden/>
              </w:rPr>
              <w:instrText xml:space="preserve"> PAGEREF _Toc133778860 \h </w:instrText>
            </w:r>
            <w:r w:rsidR="00D44055">
              <w:rPr>
                <w:noProof/>
                <w:webHidden/>
              </w:rPr>
            </w:r>
            <w:r w:rsidR="00D44055">
              <w:rPr>
                <w:noProof/>
                <w:webHidden/>
              </w:rPr>
              <w:fldChar w:fldCharType="separate"/>
            </w:r>
            <w:r w:rsidR="00D44055">
              <w:rPr>
                <w:noProof/>
                <w:webHidden/>
              </w:rPr>
              <w:t>11</w:t>
            </w:r>
            <w:r w:rsidR="00D44055">
              <w:rPr>
                <w:noProof/>
                <w:webHidden/>
              </w:rPr>
              <w:fldChar w:fldCharType="end"/>
            </w:r>
          </w:hyperlink>
        </w:p>
        <w:p w:rsidR="00D44055" w:rsidRDefault="00000000">
          <w:pPr>
            <w:pStyle w:val="TOC2"/>
            <w:tabs>
              <w:tab w:val="left" w:pos="1100"/>
              <w:tab w:val="right" w:leader="dot" w:pos="9350"/>
            </w:tabs>
            <w:rPr>
              <w:rFonts w:eastAsiaTheme="minorEastAsia"/>
              <w:noProof/>
              <w:lang w:eastAsia="zh-CN"/>
            </w:rPr>
          </w:pPr>
          <w:hyperlink w:anchor="_Toc133778861" w:history="1">
            <w:r w:rsidR="00D44055" w:rsidRPr="00BD3C4E">
              <w:rPr>
                <w:rStyle w:val="Hyperlink"/>
                <w:rFonts w:ascii="Verdana" w:hAnsi="Verdana"/>
                <w:i/>
                <w:iCs/>
                <w:noProof/>
              </w:rPr>
              <w:t>2.4.</w:t>
            </w:r>
            <w:r w:rsidR="00D44055">
              <w:rPr>
                <w:rFonts w:eastAsiaTheme="minorEastAsia"/>
                <w:noProof/>
                <w:lang w:eastAsia="zh-CN"/>
              </w:rPr>
              <w:tab/>
            </w:r>
            <w:r w:rsidR="00D44055" w:rsidRPr="00BD3C4E">
              <w:rPr>
                <w:rStyle w:val="Hyperlink"/>
                <w:rFonts w:ascii="Verdana" w:hAnsi="Verdana"/>
                <w:i/>
                <w:iCs/>
                <w:noProof/>
              </w:rPr>
              <w:t>Planterware</w:t>
            </w:r>
            <w:r w:rsidR="00D44055">
              <w:rPr>
                <w:noProof/>
                <w:webHidden/>
              </w:rPr>
              <w:tab/>
            </w:r>
            <w:r w:rsidR="00D44055">
              <w:rPr>
                <w:noProof/>
                <w:webHidden/>
              </w:rPr>
              <w:fldChar w:fldCharType="begin"/>
            </w:r>
            <w:r w:rsidR="00D44055">
              <w:rPr>
                <w:noProof/>
                <w:webHidden/>
              </w:rPr>
              <w:instrText xml:space="preserve"> PAGEREF _Toc133778861 \h </w:instrText>
            </w:r>
            <w:r w:rsidR="00D44055">
              <w:rPr>
                <w:noProof/>
                <w:webHidden/>
              </w:rPr>
            </w:r>
            <w:r w:rsidR="00D44055">
              <w:rPr>
                <w:noProof/>
                <w:webHidden/>
              </w:rPr>
              <w:fldChar w:fldCharType="separate"/>
            </w:r>
            <w:r w:rsidR="00D44055">
              <w:rPr>
                <w:noProof/>
                <w:webHidden/>
              </w:rPr>
              <w:t>11</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62" w:history="1">
            <w:r w:rsidR="00D44055" w:rsidRPr="00BD3C4E">
              <w:rPr>
                <w:rStyle w:val="Hyperlink"/>
                <w:rFonts w:ascii="Verdana" w:hAnsi="Verdana"/>
                <w:i/>
                <w:iCs/>
                <w:noProof/>
              </w:rPr>
              <w:t>Figure 10: Total sales of planterware from 2010 to 2012.</w:t>
            </w:r>
            <w:r w:rsidR="00D44055">
              <w:rPr>
                <w:noProof/>
                <w:webHidden/>
              </w:rPr>
              <w:tab/>
            </w:r>
            <w:r w:rsidR="00D44055">
              <w:rPr>
                <w:noProof/>
                <w:webHidden/>
              </w:rPr>
              <w:fldChar w:fldCharType="begin"/>
            </w:r>
            <w:r w:rsidR="00D44055">
              <w:rPr>
                <w:noProof/>
                <w:webHidden/>
              </w:rPr>
              <w:instrText xml:space="preserve"> PAGEREF _Toc133778862 \h </w:instrText>
            </w:r>
            <w:r w:rsidR="00D44055">
              <w:rPr>
                <w:noProof/>
                <w:webHidden/>
              </w:rPr>
            </w:r>
            <w:r w:rsidR="00D44055">
              <w:rPr>
                <w:noProof/>
                <w:webHidden/>
              </w:rPr>
              <w:fldChar w:fldCharType="separate"/>
            </w:r>
            <w:r w:rsidR="00D44055">
              <w:rPr>
                <w:noProof/>
                <w:webHidden/>
              </w:rPr>
              <w:t>12</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63" w:history="1">
            <w:r w:rsidR="00D44055" w:rsidRPr="00BD3C4E">
              <w:rPr>
                <w:rStyle w:val="Hyperlink"/>
                <w:rFonts w:ascii="Verdana" w:hAnsi="Verdana"/>
                <w:i/>
                <w:iCs/>
                <w:noProof/>
              </w:rPr>
              <w:t>Figure 11: Total sales performance of planterware during from 2010 to 2012.</w:t>
            </w:r>
            <w:r w:rsidR="00D44055">
              <w:rPr>
                <w:noProof/>
                <w:webHidden/>
              </w:rPr>
              <w:tab/>
            </w:r>
            <w:r w:rsidR="00D44055">
              <w:rPr>
                <w:noProof/>
                <w:webHidden/>
              </w:rPr>
              <w:fldChar w:fldCharType="begin"/>
            </w:r>
            <w:r w:rsidR="00D44055">
              <w:rPr>
                <w:noProof/>
                <w:webHidden/>
              </w:rPr>
              <w:instrText xml:space="preserve"> PAGEREF _Toc133778863 \h </w:instrText>
            </w:r>
            <w:r w:rsidR="00D44055">
              <w:rPr>
                <w:noProof/>
                <w:webHidden/>
              </w:rPr>
            </w:r>
            <w:r w:rsidR="00D44055">
              <w:rPr>
                <w:noProof/>
                <w:webHidden/>
              </w:rPr>
              <w:fldChar w:fldCharType="separate"/>
            </w:r>
            <w:r w:rsidR="00D44055">
              <w:rPr>
                <w:noProof/>
                <w:webHidden/>
              </w:rPr>
              <w:t>12</w:t>
            </w:r>
            <w:r w:rsidR="00D44055">
              <w:rPr>
                <w:noProof/>
                <w:webHidden/>
              </w:rPr>
              <w:fldChar w:fldCharType="end"/>
            </w:r>
          </w:hyperlink>
        </w:p>
        <w:p w:rsidR="00D44055" w:rsidRDefault="00000000">
          <w:pPr>
            <w:pStyle w:val="TOC2"/>
            <w:tabs>
              <w:tab w:val="left" w:pos="1100"/>
              <w:tab w:val="right" w:leader="dot" w:pos="9350"/>
            </w:tabs>
            <w:rPr>
              <w:rFonts w:eastAsiaTheme="minorEastAsia"/>
              <w:noProof/>
              <w:lang w:eastAsia="zh-CN"/>
            </w:rPr>
          </w:pPr>
          <w:hyperlink w:anchor="_Toc133778864" w:history="1">
            <w:r w:rsidR="00D44055" w:rsidRPr="00BD3C4E">
              <w:rPr>
                <w:rStyle w:val="Hyperlink"/>
                <w:rFonts w:ascii="Verdana" w:hAnsi="Verdana"/>
                <w:i/>
                <w:iCs/>
                <w:noProof/>
              </w:rPr>
              <w:t>2.5.</w:t>
            </w:r>
            <w:r w:rsidR="00D44055">
              <w:rPr>
                <w:rFonts w:eastAsiaTheme="minorEastAsia"/>
                <w:noProof/>
                <w:lang w:eastAsia="zh-CN"/>
              </w:rPr>
              <w:tab/>
            </w:r>
            <w:r w:rsidR="00D44055" w:rsidRPr="00BD3C4E">
              <w:rPr>
                <w:rStyle w:val="Hyperlink"/>
                <w:rFonts w:ascii="Verdana" w:hAnsi="Verdana"/>
                <w:i/>
                <w:iCs/>
                <w:noProof/>
              </w:rPr>
              <w:t>Supply chain and operation model</w:t>
            </w:r>
            <w:r w:rsidR="00D44055">
              <w:rPr>
                <w:noProof/>
                <w:webHidden/>
              </w:rPr>
              <w:tab/>
            </w:r>
            <w:r w:rsidR="00D44055">
              <w:rPr>
                <w:noProof/>
                <w:webHidden/>
              </w:rPr>
              <w:fldChar w:fldCharType="begin"/>
            </w:r>
            <w:r w:rsidR="00D44055">
              <w:rPr>
                <w:noProof/>
                <w:webHidden/>
              </w:rPr>
              <w:instrText xml:space="preserve"> PAGEREF _Toc133778864 \h </w:instrText>
            </w:r>
            <w:r w:rsidR="00D44055">
              <w:rPr>
                <w:noProof/>
                <w:webHidden/>
              </w:rPr>
            </w:r>
            <w:r w:rsidR="00D44055">
              <w:rPr>
                <w:noProof/>
                <w:webHidden/>
              </w:rPr>
              <w:fldChar w:fldCharType="separate"/>
            </w:r>
            <w:r w:rsidR="00D44055">
              <w:rPr>
                <w:noProof/>
                <w:webHidden/>
              </w:rPr>
              <w:t>13</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65" w:history="1">
            <w:r w:rsidR="00D44055" w:rsidRPr="00BD3C4E">
              <w:rPr>
                <w:rStyle w:val="Hyperlink"/>
                <w:rFonts w:ascii="Verdana" w:hAnsi="Verdana"/>
                <w:i/>
                <w:iCs/>
                <w:noProof/>
              </w:rPr>
              <w:t>Figure 12: Fisher’s framework, Matching supply chains with products (Fisher, 1997)</w:t>
            </w:r>
            <w:r w:rsidR="00D44055">
              <w:rPr>
                <w:noProof/>
                <w:webHidden/>
              </w:rPr>
              <w:tab/>
            </w:r>
            <w:r w:rsidR="00D44055">
              <w:rPr>
                <w:noProof/>
                <w:webHidden/>
              </w:rPr>
              <w:fldChar w:fldCharType="begin"/>
            </w:r>
            <w:r w:rsidR="00D44055">
              <w:rPr>
                <w:noProof/>
                <w:webHidden/>
              </w:rPr>
              <w:instrText xml:space="preserve"> PAGEREF _Toc133778865 \h </w:instrText>
            </w:r>
            <w:r w:rsidR="00D44055">
              <w:rPr>
                <w:noProof/>
                <w:webHidden/>
              </w:rPr>
            </w:r>
            <w:r w:rsidR="00D44055">
              <w:rPr>
                <w:noProof/>
                <w:webHidden/>
              </w:rPr>
              <w:fldChar w:fldCharType="separate"/>
            </w:r>
            <w:r w:rsidR="00D44055">
              <w:rPr>
                <w:noProof/>
                <w:webHidden/>
              </w:rPr>
              <w:t>14</w:t>
            </w:r>
            <w:r w:rsidR="00D44055">
              <w:rPr>
                <w:noProof/>
                <w:webHidden/>
              </w:rPr>
              <w:fldChar w:fldCharType="end"/>
            </w:r>
          </w:hyperlink>
        </w:p>
        <w:p w:rsidR="00D44055" w:rsidRDefault="00000000">
          <w:pPr>
            <w:pStyle w:val="TOC1"/>
            <w:tabs>
              <w:tab w:val="left" w:pos="660"/>
              <w:tab w:val="right" w:leader="dot" w:pos="9350"/>
            </w:tabs>
            <w:rPr>
              <w:rFonts w:eastAsiaTheme="minorEastAsia"/>
              <w:noProof/>
              <w:lang w:eastAsia="zh-CN"/>
            </w:rPr>
          </w:pPr>
          <w:hyperlink w:anchor="_Toc133778866" w:history="1">
            <w:r w:rsidR="00D44055" w:rsidRPr="00BD3C4E">
              <w:rPr>
                <w:rStyle w:val="Hyperlink"/>
                <w:rFonts w:ascii="Verdana" w:hAnsi="Verdana"/>
                <w:b/>
                <w:noProof/>
              </w:rPr>
              <w:t>3.</w:t>
            </w:r>
            <w:r w:rsidR="00D44055">
              <w:rPr>
                <w:rFonts w:eastAsiaTheme="minorEastAsia"/>
                <w:noProof/>
                <w:lang w:eastAsia="zh-CN"/>
              </w:rPr>
              <w:tab/>
            </w:r>
            <w:r w:rsidR="00D44055" w:rsidRPr="00BD3C4E">
              <w:rPr>
                <w:rStyle w:val="Hyperlink"/>
                <w:rFonts w:ascii="Verdana" w:hAnsi="Verdana"/>
                <w:b/>
                <w:noProof/>
              </w:rPr>
              <w:t>Predictions of Sales and Demand</w:t>
            </w:r>
            <w:r w:rsidR="00D44055">
              <w:rPr>
                <w:noProof/>
                <w:webHidden/>
              </w:rPr>
              <w:tab/>
            </w:r>
            <w:r w:rsidR="00D44055">
              <w:rPr>
                <w:noProof/>
                <w:webHidden/>
              </w:rPr>
              <w:fldChar w:fldCharType="begin"/>
            </w:r>
            <w:r w:rsidR="00D44055">
              <w:rPr>
                <w:noProof/>
                <w:webHidden/>
              </w:rPr>
              <w:instrText xml:space="preserve"> PAGEREF _Toc133778866 \h </w:instrText>
            </w:r>
            <w:r w:rsidR="00D44055">
              <w:rPr>
                <w:noProof/>
                <w:webHidden/>
              </w:rPr>
            </w:r>
            <w:r w:rsidR="00D44055">
              <w:rPr>
                <w:noProof/>
                <w:webHidden/>
              </w:rPr>
              <w:fldChar w:fldCharType="separate"/>
            </w:r>
            <w:r w:rsidR="00D44055">
              <w:rPr>
                <w:noProof/>
                <w:webHidden/>
              </w:rPr>
              <w:t>16</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67" w:history="1">
            <w:r w:rsidR="00D44055" w:rsidRPr="00BD3C4E">
              <w:rPr>
                <w:rStyle w:val="Hyperlink"/>
                <w:rFonts w:ascii="Verdana" w:hAnsi="Verdana"/>
                <w:i/>
                <w:iCs/>
                <w:noProof/>
              </w:rPr>
              <w:t>Figure 13: Sales forecast of Planterware products</w:t>
            </w:r>
            <w:r w:rsidR="00D44055">
              <w:rPr>
                <w:noProof/>
                <w:webHidden/>
              </w:rPr>
              <w:tab/>
            </w:r>
            <w:r w:rsidR="00D44055">
              <w:rPr>
                <w:noProof/>
                <w:webHidden/>
              </w:rPr>
              <w:fldChar w:fldCharType="begin"/>
            </w:r>
            <w:r w:rsidR="00D44055">
              <w:rPr>
                <w:noProof/>
                <w:webHidden/>
              </w:rPr>
              <w:instrText xml:space="preserve"> PAGEREF _Toc133778867 \h </w:instrText>
            </w:r>
            <w:r w:rsidR="00D44055">
              <w:rPr>
                <w:noProof/>
                <w:webHidden/>
              </w:rPr>
            </w:r>
            <w:r w:rsidR="00D44055">
              <w:rPr>
                <w:noProof/>
                <w:webHidden/>
              </w:rPr>
              <w:fldChar w:fldCharType="separate"/>
            </w:r>
            <w:r w:rsidR="00D44055">
              <w:rPr>
                <w:noProof/>
                <w:webHidden/>
              </w:rPr>
              <w:t>16</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68" w:history="1">
            <w:r w:rsidR="00D44055" w:rsidRPr="00BD3C4E">
              <w:rPr>
                <w:rStyle w:val="Hyperlink"/>
                <w:rFonts w:ascii="Verdana" w:hAnsi="Verdana"/>
                <w:i/>
                <w:iCs/>
                <w:noProof/>
              </w:rPr>
              <w:t>Figure 14: Sales forecast of Self-watering products with special colours</w:t>
            </w:r>
            <w:r w:rsidR="00D44055">
              <w:rPr>
                <w:noProof/>
                <w:webHidden/>
              </w:rPr>
              <w:tab/>
            </w:r>
            <w:r w:rsidR="00D44055">
              <w:rPr>
                <w:noProof/>
                <w:webHidden/>
              </w:rPr>
              <w:fldChar w:fldCharType="begin"/>
            </w:r>
            <w:r w:rsidR="00D44055">
              <w:rPr>
                <w:noProof/>
                <w:webHidden/>
              </w:rPr>
              <w:instrText xml:space="preserve"> PAGEREF _Toc133778868 \h </w:instrText>
            </w:r>
            <w:r w:rsidR="00D44055">
              <w:rPr>
                <w:noProof/>
                <w:webHidden/>
              </w:rPr>
            </w:r>
            <w:r w:rsidR="00D44055">
              <w:rPr>
                <w:noProof/>
                <w:webHidden/>
              </w:rPr>
              <w:fldChar w:fldCharType="separate"/>
            </w:r>
            <w:r w:rsidR="00D44055">
              <w:rPr>
                <w:noProof/>
                <w:webHidden/>
              </w:rPr>
              <w:t>17</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69" w:history="1">
            <w:r w:rsidR="00D44055" w:rsidRPr="00BD3C4E">
              <w:rPr>
                <w:rStyle w:val="Hyperlink"/>
                <w:rFonts w:ascii="Verdana" w:hAnsi="Verdana"/>
                <w:i/>
                <w:iCs/>
                <w:noProof/>
              </w:rPr>
              <w:t>Figure 15: Typical demand distribution for product family.</w:t>
            </w:r>
            <w:r w:rsidR="00D44055">
              <w:rPr>
                <w:noProof/>
                <w:webHidden/>
              </w:rPr>
              <w:tab/>
            </w:r>
            <w:r w:rsidR="00D44055">
              <w:rPr>
                <w:noProof/>
                <w:webHidden/>
              </w:rPr>
              <w:fldChar w:fldCharType="begin"/>
            </w:r>
            <w:r w:rsidR="00D44055">
              <w:rPr>
                <w:noProof/>
                <w:webHidden/>
              </w:rPr>
              <w:instrText xml:space="preserve"> PAGEREF _Toc133778869 \h </w:instrText>
            </w:r>
            <w:r w:rsidR="00D44055">
              <w:rPr>
                <w:noProof/>
                <w:webHidden/>
              </w:rPr>
            </w:r>
            <w:r w:rsidR="00D44055">
              <w:rPr>
                <w:noProof/>
                <w:webHidden/>
              </w:rPr>
              <w:fldChar w:fldCharType="separate"/>
            </w:r>
            <w:r w:rsidR="00D44055">
              <w:rPr>
                <w:noProof/>
                <w:webHidden/>
              </w:rPr>
              <w:t>18</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70" w:history="1">
            <w:r w:rsidR="00D44055" w:rsidRPr="00BD3C4E">
              <w:rPr>
                <w:rStyle w:val="Hyperlink"/>
                <w:rFonts w:ascii="Verdana" w:hAnsi="Verdana"/>
                <w:i/>
                <w:iCs/>
                <w:noProof/>
              </w:rPr>
              <w:t>Figure 16: 3-year forecast for the demand of each product family.</w:t>
            </w:r>
            <w:r w:rsidR="00D44055">
              <w:rPr>
                <w:noProof/>
                <w:webHidden/>
              </w:rPr>
              <w:tab/>
            </w:r>
            <w:r w:rsidR="00D44055">
              <w:rPr>
                <w:noProof/>
                <w:webHidden/>
              </w:rPr>
              <w:fldChar w:fldCharType="begin"/>
            </w:r>
            <w:r w:rsidR="00D44055">
              <w:rPr>
                <w:noProof/>
                <w:webHidden/>
              </w:rPr>
              <w:instrText xml:space="preserve"> PAGEREF _Toc133778870 \h </w:instrText>
            </w:r>
            <w:r w:rsidR="00D44055">
              <w:rPr>
                <w:noProof/>
                <w:webHidden/>
              </w:rPr>
            </w:r>
            <w:r w:rsidR="00D44055">
              <w:rPr>
                <w:noProof/>
                <w:webHidden/>
              </w:rPr>
              <w:fldChar w:fldCharType="separate"/>
            </w:r>
            <w:r w:rsidR="00D44055">
              <w:rPr>
                <w:noProof/>
                <w:webHidden/>
              </w:rPr>
              <w:t>19</w:t>
            </w:r>
            <w:r w:rsidR="00D44055">
              <w:rPr>
                <w:noProof/>
                <w:webHidden/>
              </w:rPr>
              <w:fldChar w:fldCharType="end"/>
            </w:r>
          </w:hyperlink>
        </w:p>
        <w:p w:rsidR="00D44055" w:rsidRDefault="00000000">
          <w:pPr>
            <w:pStyle w:val="TOC1"/>
            <w:tabs>
              <w:tab w:val="left" w:pos="660"/>
              <w:tab w:val="right" w:leader="dot" w:pos="9350"/>
            </w:tabs>
            <w:rPr>
              <w:rFonts w:eastAsiaTheme="minorEastAsia"/>
              <w:noProof/>
              <w:lang w:eastAsia="zh-CN"/>
            </w:rPr>
          </w:pPr>
          <w:hyperlink w:anchor="_Toc133778871" w:history="1">
            <w:r w:rsidR="00D44055" w:rsidRPr="00BD3C4E">
              <w:rPr>
                <w:rStyle w:val="Hyperlink"/>
                <w:rFonts w:ascii="Verdana" w:hAnsi="Verdana"/>
                <w:b/>
                <w:noProof/>
              </w:rPr>
              <w:t>4.</w:t>
            </w:r>
            <w:r w:rsidR="00D44055">
              <w:rPr>
                <w:rFonts w:eastAsiaTheme="minorEastAsia"/>
                <w:noProof/>
                <w:lang w:eastAsia="zh-CN"/>
              </w:rPr>
              <w:tab/>
            </w:r>
            <w:r w:rsidR="00D44055" w:rsidRPr="00BD3C4E">
              <w:rPr>
                <w:rStyle w:val="Hyperlink"/>
                <w:rFonts w:ascii="Verdana" w:hAnsi="Verdana"/>
                <w:b/>
                <w:noProof/>
              </w:rPr>
              <w:t>Recommendations</w:t>
            </w:r>
            <w:r w:rsidR="00D44055">
              <w:rPr>
                <w:noProof/>
                <w:webHidden/>
              </w:rPr>
              <w:tab/>
            </w:r>
            <w:r w:rsidR="00D44055">
              <w:rPr>
                <w:noProof/>
                <w:webHidden/>
              </w:rPr>
              <w:fldChar w:fldCharType="begin"/>
            </w:r>
            <w:r w:rsidR="00D44055">
              <w:rPr>
                <w:noProof/>
                <w:webHidden/>
              </w:rPr>
              <w:instrText xml:space="preserve"> PAGEREF _Toc133778871 \h </w:instrText>
            </w:r>
            <w:r w:rsidR="00D44055">
              <w:rPr>
                <w:noProof/>
                <w:webHidden/>
              </w:rPr>
            </w:r>
            <w:r w:rsidR="00D44055">
              <w:rPr>
                <w:noProof/>
                <w:webHidden/>
              </w:rPr>
              <w:fldChar w:fldCharType="separate"/>
            </w:r>
            <w:r w:rsidR="00D44055">
              <w:rPr>
                <w:noProof/>
                <w:webHidden/>
              </w:rPr>
              <w:t>20</w:t>
            </w:r>
            <w:r w:rsidR="00D44055">
              <w:rPr>
                <w:noProof/>
                <w:webHidden/>
              </w:rPr>
              <w:fldChar w:fldCharType="end"/>
            </w:r>
          </w:hyperlink>
        </w:p>
        <w:p w:rsidR="00D44055" w:rsidRDefault="00000000">
          <w:pPr>
            <w:pStyle w:val="TOC2"/>
            <w:tabs>
              <w:tab w:val="left" w:pos="1100"/>
              <w:tab w:val="right" w:leader="dot" w:pos="9350"/>
            </w:tabs>
            <w:rPr>
              <w:rFonts w:eastAsiaTheme="minorEastAsia"/>
              <w:noProof/>
              <w:lang w:eastAsia="zh-CN"/>
            </w:rPr>
          </w:pPr>
          <w:hyperlink w:anchor="_Toc133778872" w:history="1">
            <w:r w:rsidR="00D44055" w:rsidRPr="00BD3C4E">
              <w:rPr>
                <w:rStyle w:val="Hyperlink"/>
                <w:rFonts w:ascii="Verdana" w:hAnsi="Verdana"/>
                <w:i/>
                <w:iCs/>
                <w:noProof/>
              </w:rPr>
              <w:t>4.1.</w:t>
            </w:r>
            <w:r w:rsidR="00D44055">
              <w:rPr>
                <w:rFonts w:eastAsiaTheme="minorEastAsia"/>
                <w:noProof/>
                <w:lang w:eastAsia="zh-CN"/>
              </w:rPr>
              <w:tab/>
            </w:r>
            <w:r w:rsidR="00D44055" w:rsidRPr="00BD3C4E">
              <w:rPr>
                <w:rStyle w:val="Hyperlink"/>
                <w:rFonts w:ascii="Verdana" w:hAnsi="Verdana"/>
                <w:i/>
                <w:iCs/>
                <w:noProof/>
              </w:rPr>
              <w:t>Coordinated strategies.</w:t>
            </w:r>
            <w:r w:rsidR="00D44055">
              <w:rPr>
                <w:noProof/>
                <w:webHidden/>
              </w:rPr>
              <w:tab/>
            </w:r>
            <w:r w:rsidR="00D44055">
              <w:rPr>
                <w:noProof/>
                <w:webHidden/>
              </w:rPr>
              <w:fldChar w:fldCharType="begin"/>
            </w:r>
            <w:r w:rsidR="00D44055">
              <w:rPr>
                <w:noProof/>
                <w:webHidden/>
              </w:rPr>
              <w:instrText xml:space="preserve"> PAGEREF _Toc133778872 \h </w:instrText>
            </w:r>
            <w:r w:rsidR="00D44055">
              <w:rPr>
                <w:noProof/>
                <w:webHidden/>
              </w:rPr>
            </w:r>
            <w:r w:rsidR="00D44055">
              <w:rPr>
                <w:noProof/>
                <w:webHidden/>
              </w:rPr>
              <w:fldChar w:fldCharType="separate"/>
            </w:r>
            <w:r w:rsidR="00D44055">
              <w:rPr>
                <w:noProof/>
                <w:webHidden/>
              </w:rPr>
              <w:t>20</w:t>
            </w:r>
            <w:r w:rsidR="00D44055">
              <w:rPr>
                <w:noProof/>
                <w:webHidden/>
              </w:rPr>
              <w:fldChar w:fldCharType="end"/>
            </w:r>
          </w:hyperlink>
        </w:p>
        <w:p w:rsidR="00D44055" w:rsidRDefault="00000000">
          <w:pPr>
            <w:pStyle w:val="TOC3"/>
            <w:tabs>
              <w:tab w:val="right" w:leader="dot" w:pos="9350"/>
            </w:tabs>
            <w:rPr>
              <w:rFonts w:eastAsiaTheme="minorEastAsia"/>
              <w:noProof/>
              <w:lang w:eastAsia="zh-CN"/>
            </w:rPr>
          </w:pPr>
          <w:hyperlink w:anchor="_Toc133778873" w:history="1">
            <w:r w:rsidR="00D44055" w:rsidRPr="00BD3C4E">
              <w:rPr>
                <w:rStyle w:val="Hyperlink"/>
                <w:rFonts w:ascii="Verdana" w:hAnsi="Verdana"/>
                <w:i/>
                <w:iCs/>
                <w:noProof/>
              </w:rPr>
              <w:t>Figure 17: Coordinated Strategies.</w:t>
            </w:r>
            <w:r w:rsidR="00D44055">
              <w:rPr>
                <w:noProof/>
                <w:webHidden/>
              </w:rPr>
              <w:tab/>
            </w:r>
            <w:r w:rsidR="00D44055">
              <w:rPr>
                <w:noProof/>
                <w:webHidden/>
              </w:rPr>
              <w:fldChar w:fldCharType="begin"/>
            </w:r>
            <w:r w:rsidR="00D44055">
              <w:rPr>
                <w:noProof/>
                <w:webHidden/>
              </w:rPr>
              <w:instrText xml:space="preserve"> PAGEREF _Toc133778873 \h </w:instrText>
            </w:r>
            <w:r w:rsidR="00D44055">
              <w:rPr>
                <w:noProof/>
                <w:webHidden/>
              </w:rPr>
            </w:r>
            <w:r w:rsidR="00D44055">
              <w:rPr>
                <w:noProof/>
                <w:webHidden/>
              </w:rPr>
              <w:fldChar w:fldCharType="separate"/>
            </w:r>
            <w:r w:rsidR="00D44055">
              <w:rPr>
                <w:noProof/>
                <w:webHidden/>
              </w:rPr>
              <w:t>22</w:t>
            </w:r>
            <w:r w:rsidR="00D44055">
              <w:rPr>
                <w:noProof/>
                <w:webHidden/>
              </w:rPr>
              <w:fldChar w:fldCharType="end"/>
            </w:r>
          </w:hyperlink>
        </w:p>
        <w:p w:rsidR="00D44055" w:rsidRDefault="00000000">
          <w:pPr>
            <w:pStyle w:val="TOC2"/>
            <w:tabs>
              <w:tab w:val="left" w:pos="1100"/>
              <w:tab w:val="right" w:leader="dot" w:pos="9350"/>
            </w:tabs>
            <w:rPr>
              <w:rFonts w:eastAsiaTheme="minorEastAsia"/>
              <w:noProof/>
              <w:lang w:eastAsia="zh-CN"/>
            </w:rPr>
          </w:pPr>
          <w:hyperlink w:anchor="_Toc133778874" w:history="1">
            <w:r w:rsidR="00D44055" w:rsidRPr="00BD3C4E">
              <w:rPr>
                <w:rStyle w:val="Hyperlink"/>
                <w:rFonts w:ascii="Verdana" w:hAnsi="Verdana"/>
                <w:i/>
                <w:iCs/>
                <w:noProof/>
              </w:rPr>
              <w:t>4.2.</w:t>
            </w:r>
            <w:r w:rsidR="00D44055">
              <w:rPr>
                <w:rFonts w:eastAsiaTheme="minorEastAsia"/>
                <w:noProof/>
                <w:lang w:eastAsia="zh-CN"/>
              </w:rPr>
              <w:tab/>
            </w:r>
            <w:r w:rsidR="00D44055" w:rsidRPr="00BD3C4E">
              <w:rPr>
                <w:rStyle w:val="Hyperlink"/>
                <w:rFonts w:ascii="Verdana" w:hAnsi="Verdana"/>
                <w:i/>
                <w:iCs/>
                <w:noProof/>
              </w:rPr>
              <w:t>Realigning the supply chain</w:t>
            </w:r>
            <w:r w:rsidR="00D44055">
              <w:rPr>
                <w:noProof/>
                <w:webHidden/>
              </w:rPr>
              <w:tab/>
            </w:r>
            <w:r w:rsidR="00D44055">
              <w:rPr>
                <w:noProof/>
                <w:webHidden/>
              </w:rPr>
              <w:fldChar w:fldCharType="begin"/>
            </w:r>
            <w:r w:rsidR="00D44055">
              <w:rPr>
                <w:noProof/>
                <w:webHidden/>
              </w:rPr>
              <w:instrText xml:space="preserve"> PAGEREF _Toc133778874 \h </w:instrText>
            </w:r>
            <w:r w:rsidR="00D44055">
              <w:rPr>
                <w:noProof/>
                <w:webHidden/>
              </w:rPr>
            </w:r>
            <w:r w:rsidR="00D44055">
              <w:rPr>
                <w:noProof/>
                <w:webHidden/>
              </w:rPr>
              <w:fldChar w:fldCharType="separate"/>
            </w:r>
            <w:r w:rsidR="00D44055">
              <w:rPr>
                <w:noProof/>
                <w:webHidden/>
              </w:rPr>
              <w:t>23</w:t>
            </w:r>
            <w:r w:rsidR="00D44055">
              <w:rPr>
                <w:noProof/>
                <w:webHidden/>
              </w:rPr>
              <w:fldChar w:fldCharType="end"/>
            </w:r>
          </w:hyperlink>
        </w:p>
        <w:p w:rsidR="00D44055" w:rsidRDefault="00000000">
          <w:pPr>
            <w:pStyle w:val="TOC2"/>
            <w:tabs>
              <w:tab w:val="left" w:pos="1100"/>
              <w:tab w:val="right" w:leader="dot" w:pos="9350"/>
            </w:tabs>
            <w:rPr>
              <w:rFonts w:eastAsiaTheme="minorEastAsia"/>
              <w:noProof/>
              <w:lang w:eastAsia="zh-CN"/>
            </w:rPr>
          </w:pPr>
          <w:hyperlink w:anchor="_Toc133778875" w:history="1">
            <w:r w:rsidR="00D44055" w:rsidRPr="00BD3C4E">
              <w:rPr>
                <w:rStyle w:val="Hyperlink"/>
                <w:rFonts w:ascii="Verdana" w:hAnsi="Verdana"/>
                <w:noProof/>
              </w:rPr>
              <w:t>4.3.</w:t>
            </w:r>
            <w:r w:rsidR="00D44055">
              <w:rPr>
                <w:rFonts w:eastAsiaTheme="minorEastAsia"/>
                <w:noProof/>
                <w:lang w:eastAsia="zh-CN"/>
              </w:rPr>
              <w:tab/>
            </w:r>
            <w:r w:rsidR="00D44055" w:rsidRPr="00BD3C4E">
              <w:rPr>
                <w:rStyle w:val="Hyperlink"/>
                <w:rFonts w:ascii="Verdana" w:hAnsi="Verdana"/>
                <w:noProof/>
              </w:rPr>
              <w:t>Economic Order Quantity model</w:t>
            </w:r>
            <w:r w:rsidR="00D44055">
              <w:rPr>
                <w:noProof/>
                <w:webHidden/>
              </w:rPr>
              <w:tab/>
            </w:r>
            <w:r w:rsidR="00D44055">
              <w:rPr>
                <w:noProof/>
                <w:webHidden/>
              </w:rPr>
              <w:fldChar w:fldCharType="begin"/>
            </w:r>
            <w:r w:rsidR="00D44055">
              <w:rPr>
                <w:noProof/>
                <w:webHidden/>
              </w:rPr>
              <w:instrText xml:space="preserve"> PAGEREF _Toc133778875 \h </w:instrText>
            </w:r>
            <w:r w:rsidR="00D44055">
              <w:rPr>
                <w:noProof/>
                <w:webHidden/>
              </w:rPr>
            </w:r>
            <w:r w:rsidR="00D44055">
              <w:rPr>
                <w:noProof/>
                <w:webHidden/>
              </w:rPr>
              <w:fldChar w:fldCharType="separate"/>
            </w:r>
            <w:r w:rsidR="00D44055">
              <w:rPr>
                <w:noProof/>
                <w:webHidden/>
              </w:rPr>
              <w:t>24</w:t>
            </w:r>
            <w:r w:rsidR="00D44055">
              <w:rPr>
                <w:noProof/>
                <w:webHidden/>
              </w:rPr>
              <w:fldChar w:fldCharType="end"/>
            </w:r>
          </w:hyperlink>
        </w:p>
        <w:p w:rsidR="00D44055" w:rsidRDefault="00000000">
          <w:pPr>
            <w:pStyle w:val="TOC1"/>
            <w:tabs>
              <w:tab w:val="right" w:leader="dot" w:pos="9350"/>
            </w:tabs>
            <w:rPr>
              <w:rFonts w:eastAsiaTheme="minorEastAsia"/>
              <w:noProof/>
              <w:lang w:eastAsia="zh-CN"/>
            </w:rPr>
          </w:pPr>
          <w:hyperlink w:anchor="_Toc133778876" w:history="1">
            <w:r w:rsidR="00D44055" w:rsidRPr="00BD3C4E">
              <w:rPr>
                <w:rStyle w:val="Hyperlink"/>
                <w:rFonts w:ascii="Verdana" w:hAnsi="Verdana"/>
                <w:b/>
                <w:noProof/>
              </w:rPr>
              <w:t>References</w:t>
            </w:r>
            <w:r w:rsidR="00D44055">
              <w:rPr>
                <w:noProof/>
                <w:webHidden/>
              </w:rPr>
              <w:tab/>
            </w:r>
            <w:r w:rsidR="00D44055">
              <w:rPr>
                <w:noProof/>
                <w:webHidden/>
              </w:rPr>
              <w:fldChar w:fldCharType="begin"/>
            </w:r>
            <w:r w:rsidR="00D44055">
              <w:rPr>
                <w:noProof/>
                <w:webHidden/>
              </w:rPr>
              <w:instrText xml:space="preserve"> PAGEREF _Toc133778876 \h </w:instrText>
            </w:r>
            <w:r w:rsidR="00D44055">
              <w:rPr>
                <w:noProof/>
                <w:webHidden/>
              </w:rPr>
            </w:r>
            <w:r w:rsidR="00D44055">
              <w:rPr>
                <w:noProof/>
                <w:webHidden/>
              </w:rPr>
              <w:fldChar w:fldCharType="separate"/>
            </w:r>
            <w:r w:rsidR="00D44055">
              <w:rPr>
                <w:noProof/>
                <w:webHidden/>
              </w:rPr>
              <w:t>25</w:t>
            </w:r>
            <w:r w:rsidR="00D44055">
              <w:rPr>
                <w:noProof/>
                <w:webHidden/>
              </w:rPr>
              <w:fldChar w:fldCharType="end"/>
            </w:r>
          </w:hyperlink>
        </w:p>
        <w:p w:rsidR="00D44055" w:rsidRDefault="00000000">
          <w:pPr>
            <w:pStyle w:val="TOC1"/>
            <w:tabs>
              <w:tab w:val="right" w:leader="dot" w:pos="9350"/>
            </w:tabs>
            <w:rPr>
              <w:rFonts w:eastAsiaTheme="minorEastAsia"/>
              <w:noProof/>
              <w:lang w:eastAsia="zh-CN"/>
            </w:rPr>
          </w:pPr>
          <w:hyperlink w:anchor="_Toc133778877" w:history="1">
            <w:r w:rsidR="00D44055" w:rsidRPr="00BD3C4E">
              <w:rPr>
                <w:rStyle w:val="Hyperlink"/>
                <w:rFonts w:ascii="Verdana" w:hAnsi="Verdana"/>
                <w:b/>
                <w:noProof/>
              </w:rPr>
              <w:t>Appendices</w:t>
            </w:r>
            <w:r w:rsidR="00D44055">
              <w:rPr>
                <w:noProof/>
                <w:webHidden/>
              </w:rPr>
              <w:tab/>
            </w:r>
            <w:r w:rsidR="00D44055">
              <w:rPr>
                <w:noProof/>
                <w:webHidden/>
              </w:rPr>
              <w:fldChar w:fldCharType="begin"/>
            </w:r>
            <w:r w:rsidR="00D44055">
              <w:rPr>
                <w:noProof/>
                <w:webHidden/>
              </w:rPr>
              <w:instrText xml:space="preserve"> PAGEREF _Toc133778877 \h </w:instrText>
            </w:r>
            <w:r w:rsidR="00D44055">
              <w:rPr>
                <w:noProof/>
                <w:webHidden/>
              </w:rPr>
            </w:r>
            <w:r w:rsidR="00D44055">
              <w:rPr>
                <w:noProof/>
                <w:webHidden/>
              </w:rPr>
              <w:fldChar w:fldCharType="separate"/>
            </w:r>
            <w:r w:rsidR="00D44055">
              <w:rPr>
                <w:noProof/>
                <w:webHidden/>
              </w:rPr>
              <w:t>28</w:t>
            </w:r>
            <w:r w:rsidR="00D44055">
              <w:rPr>
                <w:noProof/>
                <w:webHidden/>
              </w:rPr>
              <w:fldChar w:fldCharType="end"/>
            </w:r>
          </w:hyperlink>
        </w:p>
        <w:p w:rsidR="00D44055" w:rsidRDefault="00000000">
          <w:pPr>
            <w:pStyle w:val="TOC2"/>
            <w:tabs>
              <w:tab w:val="right" w:leader="dot" w:pos="9350"/>
            </w:tabs>
            <w:rPr>
              <w:rFonts w:eastAsiaTheme="minorEastAsia"/>
              <w:noProof/>
              <w:lang w:eastAsia="zh-CN"/>
            </w:rPr>
          </w:pPr>
          <w:hyperlink w:anchor="_Toc133778878" w:history="1">
            <w:r w:rsidR="00D44055" w:rsidRPr="00BD3C4E">
              <w:rPr>
                <w:rStyle w:val="Hyperlink"/>
                <w:rFonts w:ascii="Verdana" w:hAnsi="Verdana"/>
                <w:noProof/>
              </w:rPr>
              <w:t>Appendix 1: Data Types</w:t>
            </w:r>
            <w:r w:rsidR="00D44055">
              <w:rPr>
                <w:noProof/>
                <w:webHidden/>
              </w:rPr>
              <w:tab/>
            </w:r>
            <w:r w:rsidR="00D44055">
              <w:rPr>
                <w:noProof/>
                <w:webHidden/>
              </w:rPr>
              <w:fldChar w:fldCharType="begin"/>
            </w:r>
            <w:r w:rsidR="00D44055">
              <w:rPr>
                <w:noProof/>
                <w:webHidden/>
              </w:rPr>
              <w:instrText xml:space="preserve"> PAGEREF _Toc133778878 \h </w:instrText>
            </w:r>
            <w:r w:rsidR="00D44055">
              <w:rPr>
                <w:noProof/>
                <w:webHidden/>
              </w:rPr>
            </w:r>
            <w:r w:rsidR="00D44055">
              <w:rPr>
                <w:noProof/>
                <w:webHidden/>
              </w:rPr>
              <w:fldChar w:fldCharType="separate"/>
            </w:r>
            <w:r w:rsidR="00D44055">
              <w:rPr>
                <w:noProof/>
                <w:webHidden/>
              </w:rPr>
              <w:t>28</w:t>
            </w:r>
            <w:r w:rsidR="00D44055">
              <w:rPr>
                <w:noProof/>
                <w:webHidden/>
              </w:rPr>
              <w:fldChar w:fldCharType="end"/>
            </w:r>
          </w:hyperlink>
        </w:p>
        <w:p w:rsidR="00D44055" w:rsidRDefault="00000000">
          <w:pPr>
            <w:pStyle w:val="TOC2"/>
            <w:tabs>
              <w:tab w:val="right" w:leader="dot" w:pos="9350"/>
            </w:tabs>
            <w:rPr>
              <w:rFonts w:eastAsiaTheme="minorEastAsia"/>
              <w:noProof/>
              <w:lang w:eastAsia="zh-CN"/>
            </w:rPr>
          </w:pPr>
          <w:hyperlink w:anchor="_Toc133778879" w:history="1">
            <w:r w:rsidR="00D44055" w:rsidRPr="00BD3C4E">
              <w:rPr>
                <w:rStyle w:val="Hyperlink"/>
                <w:rFonts w:ascii="Verdana" w:hAnsi="Verdana"/>
                <w:noProof/>
              </w:rPr>
              <w:t>Appendix 2: Descriptive statistics of Due Date Performance</w:t>
            </w:r>
            <w:r w:rsidR="00D44055">
              <w:rPr>
                <w:noProof/>
                <w:webHidden/>
              </w:rPr>
              <w:tab/>
            </w:r>
            <w:r w:rsidR="00D44055">
              <w:rPr>
                <w:noProof/>
                <w:webHidden/>
              </w:rPr>
              <w:fldChar w:fldCharType="begin"/>
            </w:r>
            <w:r w:rsidR="00D44055">
              <w:rPr>
                <w:noProof/>
                <w:webHidden/>
              </w:rPr>
              <w:instrText xml:space="preserve"> PAGEREF _Toc133778879 \h </w:instrText>
            </w:r>
            <w:r w:rsidR="00D44055">
              <w:rPr>
                <w:noProof/>
                <w:webHidden/>
              </w:rPr>
            </w:r>
            <w:r w:rsidR="00D44055">
              <w:rPr>
                <w:noProof/>
                <w:webHidden/>
              </w:rPr>
              <w:fldChar w:fldCharType="separate"/>
            </w:r>
            <w:r w:rsidR="00D44055">
              <w:rPr>
                <w:noProof/>
                <w:webHidden/>
              </w:rPr>
              <w:t>28</w:t>
            </w:r>
            <w:r w:rsidR="00D44055">
              <w:rPr>
                <w:noProof/>
                <w:webHidden/>
              </w:rPr>
              <w:fldChar w:fldCharType="end"/>
            </w:r>
          </w:hyperlink>
        </w:p>
        <w:p w:rsidR="00FE27FD" w:rsidRPr="00592070" w:rsidRDefault="00604034" w:rsidP="00862388">
          <w:pPr>
            <w:spacing w:line="360" w:lineRule="auto"/>
            <w:jc w:val="both"/>
            <w:rPr>
              <w:b/>
              <w:bCs/>
              <w:noProof/>
              <w:sz w:val="20"/>
              <w:szCs w:val="20"/>
            </w:rPr>
          </w:pPr>
          <w:r w:rsidRPr="005E47E8">
            <w:rPr>
              <w:b/>
              <w:bCs/>
              <w:noProof/>
              <w:sz w:val="20"/>
              <w:szCs w:val="20"/>
            </w:rPr>
            <w:fldChar w:fldCharType="end"/>
          </w:r>
        </w:p>
      </w:sdtContent>
    </w:sdt>
    <w:p w:rsidR="00495C7A" w:rsidRPr="00FE27FD" w:rsidRDefault="00B51656" w:rsidP="00862388">
      <w:pPr>
        <w:pStyle w:val="Heading1"/>
        <w:numPr>
          <w:ilvl w:val="0"/>
          <w:numId w:val="3"/>
        </w:numPr>
        <w:spacing w:line="360" w:lineRule="auto"/>
        <w:jc w:val="both"/>
        <w:rPr>
          <w:rFonts w:ascii="Verdana" w:hAnsi="Verdana"/>
          <w:b/>
          <w:color w:val="auto"/>
          <w:sz w:val="22"/>
          <w:szCs w:val="22"/>
        </w:rPr>
      </w:pPr>
      <w:bookmarkStart w:id="0" w:name="_Toc133778847"/>
      <w:r>
        <w:rPr>
          <w:rFonts w:ascii="Verdana" w:hAnsi="Verdana"/>
          <w:b/>
          <w:color w:val="auto"/>
          <w:sz w:val="22"/>
          <w:szCs w:val="22"/>
        </w:rPr>
        <w:t>Introduction</w:t>
      </w:r>
      <w:bookmarkEnd w:id="0"/>
      <w:r w:rsidR="005B0F30" w:rsidRPr="005E47E8">
        <w:rPr>
          <w:rFonts w:ascii="Verdana" w:hAnsi="Verdana"/>
          <w:b/>
          <w:color w:val="auto"/>
          <w:sz w:val="22"/>
          <w:szCs w:val="22"/>
        </w:rPr>
        <w:t xml:space="preserve"> </w:t>
      </w:r>
    </w:p>
    <w:p w:rsidR="002F0240" w:rsidRDefault="00FE4191" w:rsidP="002F0240">
      <w:pPr>
        <w:spacing w:line="360" w:lineRule="auto"/>
        <w:ind w:left="709"/>
        <w:jc w:val="both"/>
        <w:rPr>
          <w:rFonts w:ascii="Verdana" w:hAnsi="Verdana"/>
        </w:rPr>
      </w:pPr>
      <w:r>
        <w:rPr>
          <w:rFonts w:ascii="Verdana" w:hAnsi="Verdana"/>
        </w:rPr>
        <w:t>This</w:t>
      </w:r>
      <w:r w:rsidR="00802523" w:rsidRPr="00FE4191">
        <w:rPr>
          <w:rFonts w:ascii="Verdana" w:hAnsi="Verdana"/>
        </w:rPr>
        <w:t xml:space="preserve"> report </w:t>
      </w:r>
      <w:r>
        <w:rPr>
          <w:rFonts w:ascii="Verdana" w:hAnsi="Verdana"/>
        </w:rPr>
        <w:t>will</w:t>
      </w:r>
      <w:r w:rsidR="00802523" w:rsidRPr="00FE4191">
        <w:rPr>
          <w:rFonts w:ascii="Verdana" w:hAnsi="Verdana"/>
        </w:rPr>
        <w:t xml:space="preserve"> provide </w:t>
      </w:r>
      <w:r w:rsidR="00DD5812" w:rsidRPr="00FE4191">
        <w:rPr>
          <w:rFonts w:ascii="Verdana" w:hAnsi="Verdana"/>
        </w:rPr>
        <w:t>a</w:t>
      </w:r>
      <w:r w:rsidR="00802523" w:rsidRPr="00FE4191">
        <w:rPr>
          <w:rFonts w:ascii="Verdana" w:hAnsi="Verdana"/>
        </w:rPr>
        <w:t xml:space="preserve"> </w:t>
      </w:r>
      <w:r w:rsidR="00D00CC4">
        <w:rPr>
          <w:rFonts w:ascii="Verdana" w:hAnsi="Verdana"/>
        </w:rPr>
        <w:t>comprehensive</w:t>
      </w:r>
      <w:r w:rsidR="00802523" w:rsidRPr="00FE4191">
        <w:rPr>
          <w:rFonts w:ascii="Verdana" w:hAnsi="Verdana"/>
        </w:rPr>
        <w:t xml:space="preserve"> analysis of the sales performance </w:t>
      </w:r>
      <w:r w:rsidR="00D00CC4">
        <w:rPr>
          <w:rFonts w:ascii="Verdana" w:hAnsi="Verdana"/>
        </w:rPr>
        <w:t xml:space="preserve">as well as operation </w:t>
      </w:r>
      <w:r w:rsidR="00802523" w:rsidRPr="00FE4191">
        <w:rPr>
          <w:rFonts w:ascii="Verdana" w:hAnsi="Verdana"/>
        </w:rPr>
        <w:t xml:space="preserve">and supply chain management </w:t>
      </w:r>
      <w:r>
        <w:rPr>
          <w:rFonts w:ascii="Verdana" w:hAnsi="Verdana"/>
        </w:rPr>
        <w:t>by the data provide</w:t>
      </w:r>
      <w:r w:rsidR="00D00CC4">
        <w:rPr>
          <w:rFonts w:ascii="Verdana" w:hAnsi="Verdana"/>
        </w:rPr>
        <w:t>d</w:t>
      </w:r>
      <w:r>
        <w:rPr>
          <w:rFonts w:ascii="Verdana" w:hAnsi="Verdana"/>
        </w:rPr>
        <w:t xml:space="preserve"> from</w:t>
      </w:r>
      <w:r w:rsidR="00802523" w:rsidRPr="00FE4191">
        <w:rPr>
          <w:rFonts w:ascii="Verdana" w:hAnsi="Verdana"/>
        </w:rPr>
        <w:t xml:space="preserve"> a gardening product company. </w:t>
      </w:r>
      <w:r>
        <w:rPr>
          <w:rFonts w:ascii="Verdana" w:hAnsi="Verdana"/>
        </w:rPr>
        <w:t>Moreover, t</w:t>
      </w:r>
      <w:r w:rsidR="00802523" w:rsidRPr="00FE4191">
        <w:rPr>
          <w:rFonts w:ascii="Verdana" w:hAnsi="Verdana"/>
        </w:rPr>
        <w:t xml:space="preserve">he </w:t>
      </w:r>
      <w:r>
        <w:rPr>
          <w:rFonts w:ascii="Verdana" w:hAnsi="Verdana"/>
        </w:rPr>
        <w:t>study</w:t>
      </w:r>
      <w:r w:rsidR="00802523" w:rsidRPr="00FE4191">
        <w:rPr>
          <w:rFonts w:ascii="Verdana" w:hAnsi="Verdana"/>
        </w:rPr>
        <w:t xml:space="preserve"> will begin with an overview of the gardening products industry </w:t>
      </w:r>
      <w:r>
        <w:rPr>
          <w:rFonts w:ascii="Verdana" w:hAnsi="Verdana"/>
        </w:rPr>
        <w:t xml:space="preserve">by utilising descriptive analytics and data mining techniques to </w:t>
      </w:r>
      <w:r w:rsidRPr="00FE4191">
        <w:rPr>
          <w:rFonts w:ascii="Verdana" w:hAnsi="Verdana"/>
        </w:rPr>
        <w:t>identify patterns and relationships between the company's sales performance and factors such as price, size, and colour</w:t>
      </w:r>
      <w:r>
        <w:rPr>
          <w:rFonts w:ascii="Verdana" w:hAnsi="Verdana"/>
        </w:rPr>
        <w:t>, then applying predictive analytics to predict</w:t>
      </w:r>
      <w:r w:rsidR="00802523" w:rsidRPr="00FE4191">
        <w:rPr>
          <w:rFonts w:ascii="Verdana" w:hAnsi="Verdana"/>
        </w:rPr>
        <w:t xml:space="preserve"> the trends driving its growth, as well as an introduction to the company and its product range. Additionally, the Fisher model will be applied to assess the company's supply chain characteristics and determine whether they align with the company's product lines. Finally, the report will provide strategic recommendations</w:t>
      </w:r>
      <w:r w:rsidRPr="00FE4191">
        <w:rPr>
          <w:rFonts w:ascii="Verdana" w:hAnsi="Verdana"/>
        </w:rPr>
        <w:t xml:space="preserve"> from supply chain management and operations strategy</w:t>
      </w:r>
      <w:r w:rsidR="00802523" w:rsidRPr="00FE4191">
        <w:rPr>
          <w:rFonts w:ascii="Verdana" w:hAnsi="Verdana"/>
        </w:rPr>
        <w:t xml:space="preserve"> to </w:t>
      </w:r>
      <w:r w:rsidRPr="00FE4191">
        <w:rPr>
          <w:rFonts w:ascii="Verdana" w:hAnsi="Verdana"/>
        </w:rPr>
        <w:t>assist</w:t>
      </w:r>
      <w:r w:rsidR="00802523" w:rsidRPr="00FE4191">
        <w:rPr>
          <w:rFonts w:ascii="Verdana" w:hAnsi="Verdana"/>
        </w:rPr>
        <w:t xml:space="preserve"> the company </w:t>
      </w:r>
      <w:r w:rsidRPr="00FE4191">
        <w:rPr>
          <w:rFonts w:ascii="Verdana" w:hAnsi="Verdana"/>
        </w:rPr>
        <w:t>in managerial decision-making</w:t>
      </w:r>
      <w:r w:rsidR="00802523" w:rsidRPr="00FE4191">
        <w:rPr>
          <w:rFonts w:ascii="Verdana" w:hAnsi="Verdana"/>
        </w:rPr>
        <w:t>, while</w:t>
      </w:r>
      <w:r w:rsidRPr="00FE4191">
        <w:rPr>
          <w:rFonts w:ascii="Verdana" w:hAnsi="Verdana"/>
        </w:rPr>
        <w:t xml:space="preserve"> improving the company’s overall performance and</w:t>
      </w:r>
      <w:r w:rsidR="00802523" w:rsidRPr="00FE4191">
        <w:rPr>
          <w:rFonts w:ascii="Verdana" w:hAnsi="Verdana"/>
        </w:rPr>
        <w:t xml:space="preserve"> addressing potential challenges that may arise in the future. </w:t>
      </w:r>
    </w:p>
    <w:p w:rsidR="00234565" w:rsidRPr="00234565" w:rsidRDefault="00D00CC4" w:rsidP="00862388">
      <w:pPr>
        <w:pStyle w:val="Heading1"/>
        <w:numPr>
          <w:ilvl w:val="0"/>
          <w:numId w:val="3"/>
        </w:numPr>
        <w:spacing w:line="360" w:lineRule="auto"/>
        <w:jc w:val="both"/>
        <w:rPr>
          <w:rFonts w:ascii="Verdana" w:hAnsi="Verdana"/>
          <w:b/>
          <w:color w:val="auto"/>
          <w:sz w:val="22"/>
          <w:szCs w:val="22"/>
        </w:rPr>
      </w:pPr>
      <w:bookmarkStart w:id="1" w:name="_Toc133778848"/>
      <w:r>
        <w:rPr>
          <w:rFonts w:ascii="Verdana" w:hAnsi="Verdana"/>
          <w:b/>
          <w:color w:val="auto"/>
          <w:sz w:val="22"/>
          <w:szCs w:val="22"/>
        </w:rPr>
        <w:t xml:space="preserve">An </w:t>
      </w:r>
      <w:r w:rsidR="00163AF7">
        <w:rPr>
          <w:rFonts w:ascii="Verdana" w:hAnsi="Verdana"/>
          <w:b/>
          <w:color w:val="auto"/>
          <w:sz w:val="22"/>
          <w:szCs w:val="22"/>
        </w:rPr>
        <w:t>Analysis of the c</w:t>
      </w:r>
      <w:r w:rsidR="00234565">
        <w:rPr>
          <w:rFonts w:ascii="Verdana" w:hAnsi="Verdana"/>
          <w:b/>
          <w:color w:val="auto"/>
          <w:sz w:val="22"/>
          <w:szCs w:val="22"/>
        </w:rPr>
        <w:t xml:space="preserve">ompany’s </w:t>
      </w:r>
      <w:r w:rsidR="00754B17">
        <w:rPr>
          <w:rFonts w:ascii="Verdana" w:hAnsi="Verdana"/>
          <w:b/>
          <w:color w:val="auto"/>
          <w:sz w:val="22"/>
          <w:szCs w:val="22"/>
        </w:rPr>
        <w:t>current performance</w:t>
      </w:r>
      <w:bookmarkEnd w:id="1"/>
    </w:p>
    <w:p w:rsidR="00754B17" w:rsidRDefault="00754B17" w:rsidP="00862388">
      <w:pPr>
        <w:pStyle w:val="ListParagraph"/>
        <w:numPr>
          <w:ilvl w:val="1"/>
          <w:numId w:val="3"/>
        </w:numPr>
        <w:spacing w:after="160" w:line="360" w:lineRule="auto"/>
        <w:ind w:left="1418"/>
        <w:jc w:val="both"/>
        <w:outlineLvl w:val="1"/>
        <w:rPr>
          <w:rFonts w:ascii="Verdana" w:hAnsi="Verdana"/>
          <w:i/>
          <w:iCs/>
          <w:u w:val="single"/>
        </w:rPr>
      </w:pPr>
      <w:bookmarkStart w:id="2" w:name="_Toc133778849"/>
      <w:bookmarkStart w:id="3" w:name="_Hlk131783090"/>
      <w:r>
        <w:rPr>
          <w:rFonts w:ascii="Verdana" w:hAnsi="Verdana"/>
          <w:i/>
          <w:iCs/>
          <w:u w:val="single"/>
        </w:rPr>
        <w:t>Overall product family</w:t>
      </w:r>
      <w:bookmarkEnd w:id="2"/>
      <w:r>
        <w:rPr>
          <w:rFonts w:ascii="Verdana" w:hAnsi="Verdana"/>
          <w:i/>
          <w:iCs/>
          <w:u w:val="single"/>
        </w:rPr>
        <w:t xml:space="preserve"> </w:t>
      </w:r>
    </w:p>
    <w:p w:rsidR="00234565" w:rsidRDefault="00D00CC4" w:rsidP="00862388">
      <w:pPr>
        <w:spacing w:line="360" w:lineRule="auto"/>
        <w:ind w:left="709"/>
        <w:jc w:val="both"/>
        <w:rPr>
          <w:rFonts w:ascii="Verdana" w:hAnsi="Verdana"/>
        </w:rPr>
      </w:pPr>
      <w:r>
        <w:rPr>
          <w:rFonts w:ascii="Verdana" w:hAnsi="Verdana"/>
        </w:rPr>
        <w:t>P</w:t>
      </w:r>
      <w:r w:rsidRPr="00D00CC4">
        <w:rPr>
          <w:rFonts w:ascii="Verdana" w:hAnsi="Verdana"/>
        </w:rPr>
        <w:t xml:space="preserve">rior to the launch of </w:t>
      </w:r>
      <w:proofErr w:type="spellStart"/>
      <w:r w:rsidRPr="00D00CC4">
        <w:rPr>
          <w:rFonts w:ascii="Verdana" w:hAnsi="Verdana"/>
        </w:rPr>
        <w:t>planterware</w:t>
      </w:r>
      <w:proofErr w:type="spellEnd"/>
      <w:r w:rsidRPr="00D00CC4">
        <w:rPr>
          <w:rFonts w:ascii="Verdana" w:hAnsi="Verdana"/>
        </w:rPr>
        <w:t>, sales of bins and self-watering planters generated an average revenue of approximately £1.48 million, with the latter accounting for 86.9% of total sales during th</w:t>
      </w:r>
      <w:r>
        <w:rPr>
          <w:rFonts w:ascii="Verdana" w:hAnsi="Verdana"/>
        </w:rPr>
        <w:t>e</w:t>
      </w:r>
      <w:r w:rsidRPr="00D00CC4">
        <w:rPr>
          <w:rFonts w:ascii="Verdana" w:hAnsi="Verdana"/>
        </w:rPr>
        <w:t xml:space="preserve"> period</w:t>
      </w:r>
      <w:r>
        <w:rPr>
          <w:rFonts w:ascii="Verdana" w:hAnsi="Verdana"/>
        </w:rPr>
        <w:t xml:space="preserve"> b</w:t>
      </w:r>
      <w:r w:rsidRPr="00D00CC4">
        <w:rPr>
          <w:rFonts w:ascii="Verdana" w:hAnsi="Verdana"/>
        </w:rPr>
        <w:t xml:space="preserve">etween 2006 and </w:t>
      </w:r>
      <w:proofErr w:type="gramStart"/>
      <w:r w:rsidRPr="00D00CC4">
        <w:rPr>
          <w:rFonts w:ascii="Verdana" w:hAnsi="Verdana"/>
        </w:rPr>
        <w:t xml:space="preserve">2009, </w:t>
      </w:r>
      <w:r w:rsidR="00B74ACB">
        <w:rPr>
          <w:rFonts w:ascii="Verdana" w:hAnsi="Verdana"/>
        </w:rPr>
        <w:t xml:space="preserve"> (</w:t>
      </w:r>
      <w:proofErr w:type="gramEnd"/>
      <w:r w:rsidR="00B74ACB">
        <w:rPr>
          <w:rFonts w:ascii="Verdana" w:hAnsi="Verdana"/>
        </w:rPr>
        <w:t xml:space="preserve">Figure 1). </w:t>
      </w:r>
      <w:r w:rsidR="003D6C00" w:rsidRPr="003D6C00">
        <w:rPr>
          <w:rFonts w:ascii="Verdana" w:hAnsi="Verdana"/>
        </w:rPr>
        <w:t xml:space="preserve">Since the introduction of the company's new product line, </w:t>
      </w:r>
      <w:proofErr w:type="spellStart"/>
      <w:r w:rsidR="003D6C00" w:rsidRPr="003D6C00">
        <w:rPr>
          <w:rFonts w:ascii="Verdana" w:hAnsi="Verdana"/>
        </w:rPr>
        <w:t>Planterware</w:t>
      </w:r>
      <w:proofErr w:type="spellEnd"/>
      <w:r w:rsidR="003D6C00" w:rsidRPr="003D6C00">
        <w:rPr>
          <w:rFonts w:ascii="Verdana" w:hAnsi="Verdana"/>
        </w:rPr>
        <w:t>, in 2010, accompanied by a diverse range of colo</w:t>
      </w:r>
      <w:r w:rsidR="008D05B2">
        <w:rPr>
          <w:rFonts w:ascii="Verdana" w:hAnsi="Verdana"/>
        </w:rPr>
        <w:t>u</w:t>
      </w:r>
      <w:r w:rsidR="003D6C00" w:rsidRPr="003D6C00">
        <w:rPr>
          <w:rFonts w:ascii="Verdana" w:hAnsi="Verdana"/>
        </w:rPr>
        <w:t>r offerings to customers, a noteworthy improvement in total sales performance has been observed, resulting in a figure exceeding £2.3 million in 2012.</w:t>
      </w:r>
    </w:p>
    <w:p w:rsidR="004A4C95" w:rsidRPr="004A4C95" w:rsidRDefault="004A4C95" w:rsidP="00862388">
      <w:pPr>
        <w:pStyle w:val="Heading3"/>
        <w:spacing w:line="360" w:lineRule="auto"/>
        <w:ind w:left="709"/>
        <w:jc w:val="both"/>
        <w:rPr>
          <w:rFonts w:ascii="Verdana" w:hAnsi="Verdana"/>
          <w:i/>
          <w:iCs/>
          <w:color w:val="auto"/>
          <w:sz w:val="22"/>
          <w:szCs w:val="22"/>
        </w:rPr>
      </w:pPr>
      <w:bookmarkStart w:id="4" w:name="_Toc133778850"/>
      <w:r w:rsidRPr="004A4C95">
        <w:rPr>
          <w:rFonts w:ascii="Verdana" w:hAnsi="Verdana"/>
          <w:i/>
          <w:iCs/>
          <w:color w:val="auto"/>
          <w:sz w:val="22"/>
          <w:szCs w:val="22"/>
        </w:rPr>
        <w:lastRenderedPageBreak/>
        <w:t>Figure 1: Sales by Product Famil</w:t>
      </w:r>
      <w:r w:rsidR="008A60B8">
        <w:rPr>
          <w:rFonts w:ascii="Verdana" w:hAnsi="Verdana"/>
          <w:i/>
          <w:iCs/>
          <w:color w:val="auto"/>
          <w:sz w:val="22"/>
          <w:szCs w:val="22"/>
        </w:rPr>
        <w:t>y</w:t>
      </w:r>
      <w:bookmarkEnd w:id="4"/>
    </w:p>
    <w:p w:rsidR="00B8186A" w:rsidRDefault="00234565" w:rsidP="00862388">
      <w:pPr>
        <w:spacing w:line="360" w:lineRule="auto"/>
        <w:ind w:left="709"/>
        <w:jc w:val="both"/>
        <w:rPr>
          <w:rFonts w:ascii="Verdana" w:hAnsi="Verdana"/>
        </w:rPr>
      </w:pPr>
      <w:r>
        <w:rPr>
          <w:rFonts w:ascii="Verdana" w:hAnsi="Verdana"/>
          <w:noProof/>
        </w:rPr>
        <w:drawing>
          <wp:inline distT="0" distB="0" distL="0" distR="0" wp14:anchorId="5616DFA3" wp14:editId="59B08213">
            <wp:extent cx="5487627" cy="30138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8143" cy="3019639"/>
                    </a:xfrm>
                    <a:prstGeom prst="rect">
                      <a:avLst/>
                    </a:prstGeom>
                    <a:noFill/>
                  </pic:spPr>
                </pic:pic>
              </a:graphicData>
            </a:graphic>
          </wp:inline>
        </w:drawing>
      </w:r>
    </w:p>
    <w:p w:rsidR="006E020E" w:rsidRDefault="006E020E" w:rsidP="00862388">
      <w:pPr>
        <w:spacing w:line="360" w:lineRule="auto"/>
        <w:ind w:left="709"/>
        <w:jc w:val="both"/>
        <w:rPr>
          <w:rFonts w:ascii="Verdana" w:hAnsi="Verdana"/>
        </w:rPr>
      </w:pPr>
      <w:r w:rsidRPr="006E020E">
        <w:rPr>
          <w:rFonts w:ascii="Verdana" w:hAnsi="Verdana"/>
        </w:rPr>
        <w:t xml:space="preserve">According to the findings presented in Figure </w:t>
      </w:r>
      <w:r w:rsidR="002B6D31">
        <w:rPr>
          <w:rFonts w:ascii="Verdana" w:hAnsi="Verdana"/>
        </w:rPr>
        <w:t>2</w:t>
      </w:r>
      <w:r w:rsidRPr="006E020E">
        <w:rPr>
          <w:rFonts w:ascii="Verdana" w:hAnsi="Verdana"/>
        </w:rPr>
        <w:t xml:space="preserve">, the Self-Watering product family outperformed the other two product families in terms of due date performance (DDP), with an average DDP of 95.23%. Conversely, the </w:t>
      </w:r>
      <w:proofErr w:type="spellStart"/>
      <w:r w:rsidRPr="006E020E">
        <w:rPr>
          <w:rFonts w:ascii="Verdana" w:hAnsi="Verdana"/>
        </w:rPr>
        <w:t>Planterware</w:t>
      </w:r>
      <w:proofErr w:type="spellEnd"/>
      <w:r w:rsidRPr="006E020E">
        <w:rPr>
          <w:rFonts w:ascii="Verdana" w:hAnsi="Verdana"/>
        </w:rPr>
        <w:t xml:space="preserve"> product family demonstrated a slightly lower average DDP of 95.03%, while the Bins product family displayed the least impressive average DDP at 94.15%.</w:t>
      </w:r>
    </w:p>
    <w:p w:rsidR="004A4C95" w:rsidRDefault="00E7182A" w:rsidP="00862388">
      <w:pPr>
        <w:pStyle w:val="Heading3"/>
        <w:spacing w:line="360" w:lineRule="auto"/>
        <w:ind w:left="709"/>
        <w:jc w:val="both"/>
        <w:rPr>
          <w:rFonts w:ascii="Verdana" w:hAnsi="Verdana"/>
          <w:i/>
          <w:iCs/>
          <w:color w:val="auto"/>
          <w:sz w:val="22"/>
          <w:szCs w:val="22"/>
        </w:rPr>
      </w:pPr>
      <w:bookmarkStart w:id="5" w:name="_Toc133778851"/>
      <w:r w:rsidRPr="00B04061">
        <w:rPr>
          <w:rFonts w:ascii="Verdana" w:hAnsi="Verdana"/>
          <w:i/>
          <w:iCs/>
          <w:color w:val="auto"/>
          <w:sz w:val="22"/>
          <w:szCs w:val="22"/>
        </w:rPr>
        <w:t xml:space="preserve">Figure 2: Average Due Date Performance </w:t>
      </w:r>
      <w:r w:rsidR="00FF546D" w:rsidRPr="00B04061">
        <w:rPr>
          <w:rFonts w:ascii="Verdana" w:hAnsi="Verdana"/>
          <w:i/>
          <w:iCs/>
          <w:color w:val="auto"/>
          <w:sz w:val="22"/>
          <w:szCs w:val="22"/>
        </w:rPr>
        <w:t xml:space="preserve">by each </w:t>
      </w:r>
      <w:r w:rsidR="00B04061" w:rsidRPr="00B04061">
        <w:rPr>
          <w:rFonts w:ascii="Verdana" w:hAnsi="Verdana"/>
          <w:i/>
          <w:iCs/>
          <w:color w:val="auto"/>
          <w:sz w:val="22"/>
          <w:szCs w:val="22"/>
        </w:rPr>
        <w:t>P</w:t>
      </w:r>
      <w:r w:rsidR="00FF546D" w:rsidRPr="00B04061">
        <w:rPr>
          <w:rFonts w:ascii="Verdana" w:hAnsi="Verdana"/>
          <w:i/>
          <w:iCs/>
          <w:color w:val="auto"/>
          <w:sz w:val="22"/>
          <w:szCs w:val="22"/>
        </w:rPr>
        <w:t xml:space="preserve">roduct </w:t>
      </w:r>
      <w:r w:rsidR="00B04061" w:rsidRPr="00B04061">
        <w:rPr>
          <w:rFonts w:ascii="Verdana" w:hAnsi="Verdana"/>
          <w:i/>
          <w:iCs/>
          <w:color w:val="auto"/>
          <w:sz w:val="22"/>
          <w:szCs w:val="22"/>
        </w:rPr>
        <w:t>F</w:t>
      </w:r>
      <w:r w:rsidR="00FF546D" w:rsidRPr="00B04061">
        <w:rPr>
          <w:rFonts w:ascii="Verdana" w:hAnsi="Verdana"/>
          <w:i/>
          <w:iCs/>
          <w:color w:val="auto"/>
          <w:sz w:val="22"/>
          <w:szCs w:val="22"/>
        </w:rPr>
        <w:t>amily</w:t>
      </w:r>
      <w:bookmarkEnd w:id="5"/>
      <w:r w:rsidR="00FF546D" w:rsidRPr="00B04061">
        <w:rPr>
          <w:rFonts w:ascii="Verdana" w:hAnsi="Verdana"/>
          <w:i/>
          <w:iCs/>
          <w:color w:val="auto"/>
          <w:sz w:val="22"/>
          <w:szCs w:val="22"/>
        </w:rPr>
        <w:t xml:space="preserve"> </w:t>
      </w:r>
    </w:p>
    <w:p w:rsidR="00B04061" w:rsidRDefault="007326F9" w:rsidP="00862388">
      <w:pPr>
        <w:spacing w:line="360" w:lineRule="auto"/>
        <w:ind w:left="709"/>
      </w:pPr>
      <w:r>
        <w:rPr>
          <w:noProof/>
        </w:rPr>
        <w:drawing>
          <wp:inline distT="0" distB="0" distL="0" distR="0" wp14:anchorId="7132035D" wp14:editId="37587451">
            <wp:extent cx="3963035" cy="3408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3035" cy="3408045"/>
                    </a:xfrm>
                    <a:prstGeom prst="rect">
                      <a:avLst/>
                    </a:prstGeom>
                    <a:noFill/>
                  </pic:spPr>
                </pic:pic>
              </a:graphicData>
            </a:graphic>
          </wp:inline>
        </w:drawing>
      </w:r>
    </w:p>
    <w:p w:rsidR="002B6D31" w:rsidRDefault="00C40CCE" w:rsidP="00862388">
      <w:pPr>
        <w:spacing w:line="360" w:lineRule="auto"/>
        <w:ind w:left="709"/>
        <w:jc w:val="both"/>
        <w:rPr>
          <w:rFonts w:ascii="Verdana" w:hAnsi="Verdana"/>
        </w:rPr>
      </w:pPr>
      <w:r w:rsidRPr="00042392">
        <w:rPr>
          <w:rFonts w:ascii="Verdana" w:hAnsi="Verdana"/>
        </w:rPr>
        <w:lastRenderedPageBreak/>
        <w:t>In terms of pri</w:t>
      </w:r>
      <w:r w:rsidR="00D71EAE">
        <w:rPr>
          <w:rFonts w:ascii="Verdana" w:hAnsi="Verdana"/>
        </w:rPr>
        <w:t>ce</w:t>
      </w:r>
      <w:r w:rsidRPr="00042392">
        <w:rPr>
          <w:rFonts w:ascii="Verdana" w:hAnsi="Verdana"/>
        </w:rPr>
        <w:t xml:space="preserve">, Figure </w:t>
      </w:r>
      <w:r w:rsidR="00D71EAE">
        <w:rPr>
          <w:rFonts w:ascii="Verdana" w:hAnsi="Verdana"/>
        </w:rPr>
        <w:t>3</w:t>
      </w:r>
      <w:r w:rsidRPr="00042392">
        <w:rPr>
          <w:rFonts w:ascii="Verdana" w:hAnsi="Verdana"/>
        </w:rPr>
        <w:t xml:space="preserve"> presents that the Bins product family had the highest average price of £197, ranging from £50 to £450. The Self-Watering product family had a slightly lower average price of £194, with the price range spanning from £25 (the cheapest) to £700 (the most expensive). Meanwhile, the </w:t>
      </w:r>
      <w:proofErr w:type="spellStart"/>
      <w:r w:rsidRPr="00042392">
        <w:rPr>
          <w:rFonts w:ascii="Verdana" w:hAnsi="Verdana"/>
        </w:rPr>
        <w:t>Planterware</w:t>
      </w:r>
      <w:proofErr w:type="spellEnd"/>
      <w:r w:rsidRPr="00042392">
        <w:rPr>
          <w:rFonts w:ascii="Verdana" w:hAnsi="Verdana"/>
        </w:rPr>
        <w:t xml:space="preserve"> product family had the lowest average price of £57, with its price range ranging from £30 (the cheapest) to £90 (the most expensive) (see Figure </w:t>
      </w:r>
      <w:r w:rsidR="00225907">
        <w:rPr>
          <w:rFonts w:ascii="Verdana" w:hAnsi="Verdana"/>
        </w:rPr>
        <w:t>3</w:t>
      </w:r>
      <w:r w:rsidRPr="00042392">
        <w:rPr>
          <w:rFonts w:ascii="Verdana" w:hAnsi="Verdana"/>
        </w:rPr>
        <w:t xml:space="preserve"> for further information).</w:t>
      </w:r>
    </w:p>
    <w:p w:rsidR="00D71EAE" w:rsidRDefault="00D71EAE" w:rsidP="00862388">
      <w:pPr>
        <w:pStyle w:val="Heading3"/>
        <w:spacing w:line="360" w:lineRule="auto"/>
        <w:ind w:left="709"/>
        <w:jc w:val="both"/>
        <w:rPr>
          <w:rFonts w:ascii="Verdana" w:hAnsi="Verdana"/>
          <w:i/>
          <w:iCs/>
          <w:color w:val="auto"/>
          <w:sz w:val="22"/>
          <w:szCs w:val="22"/>
        </w:rPr>
      </w:pPr>
      <w:bookmarkStart w:id="6" w:name="_Toc133778852"/>
      <w:r w:rsidRPr="008A60B8">
        <w:rPr>
          <w:rFonts w:ascii="Verdana" w:hAnsi="Verdana"/>
          <w:i/>
          <w:iCs/>
          <w:color w:val="auto"/>
          <w:sz w:val="22"/>
          <w:szCs w:val="22"/>
        </w:rPr>
        <w:t xml:space="preserve">Figure 3: </w:t>
      </w:r>
      <w:r w:rsidR="008A60B8" w:rsidRPr="008A60B8">
        <w:rPr>
          <w:rFonts w:ascii="Verdana" w:hAnsi="Verdana"/>
          <w:i/>
          <w:iCs/>
          <w:color w:val="auto"/>
          <w:sz w:val="22"/>
          <w:szCs w:val="22"/>
        </w:rPr>
        <w:t>Price distribution by Product Family</w:t>
      </w:r>
      <w:bookmarkEnd w:id="6"/>
    </w:p>
    <w:p w:rsidR="008A60B8" w:rsidRPr="00225907" w:rsidRDefault="00FD75AA" w:rsidP="00862388">
      <w:pPr>
        <w:spacing w:line="360" w:lineRule="auto"/>
        <w:ind w:left="709"/>
      </w:pPr>
      <w:r>
        <w:rPr>
          <w:noProof/>
        </w:rPr>
        <w:drawing>
          <wp:inline distT="0" distB="0" distL="0" distR="0" wp14:anchorId="46ECB0DC" wp14:editId="31798F42">
            <wp:extent cx="4287328" cy="52820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9017" cy="5284158"/>
                    </a:xfrm>
                    <a:prstGeom prst="rect">
                      <a:avLst/>
                    </a:prstGeom>
                    <a:noFill/>
                  </pic:spPr>
                </pic:pic>
              </a:graphicData>
            </a:graphic>
          </wp:inline>
        </w:drawing>
      </w:r>
    </w:p>
    <w:p w:rsidR="00745880" w:rsidRDefault="00754B17" w:rsidP="00862388">
      <w:pPr>
        <w:pStyle w:val="ListParagraph"/>
        <w:numPr>
          <w:ilvl w:val="1"/>
          <w:numId w:val="3"/>
        </w:numPr>
        <w:spacing w:after="160" w:line="360" w:lineRule="auto"/>
        <w:ind w:left="1418"/>
        <w:jc w:val="both"/>
        <w:outlineLvl w:val="1"/>
        <w:rPr>
          <w:rFonts w:ascii="Verdana" w:hAnsi="Verdana"/>
          <w:i/>
          <w:iCs/>
          <w:u w:val="single"/>
        </w:rPr>
      </w:pPr>
      <w:bookmarkStart w:id="7" w:name="_Toc133778853"/>
      <w:r>
        <w:rPr>
          <w:rFonts w:ascii="Verdana" w:hAnsi="Verdana"/>
          <w:i/>
          <w:iCs/>
          <w:u w:val="single"/>
        </w:rPr>
        <w:t>Bins</w:t>
      </w:r>
      <w:bookmarkEnd w:id="7"/>
    </w:p>
    <w:p w:rsidR="00165D03" w:rsidRDefault="00906658" w:rsidP="00862388">
      <w:pPr>
        <w:spacing w:line="360" w:lineRule="auto"/>
        <w:ind w:left="709"/>
        <w:jc w:val="both"/>
        <w:rPr>
          <w:rFonts w:ascii="Verdana" w:hAnsi="Verdana"/>
        </w:rPr>
      </w:pPr>
      <w:r w:rsidRPr="00906658">
        <w:rPr>
          <w:rFonts w:ascii="Verdana" w:hAnsi="Verdana"/>
        </w:rPr>
        <w:t>Among the three product families, the range of bins offered by the company is the least diverse, comprising only 20 different types that are exclusively available in black colo</w:t>
      </w:r>
      <w:r>
        <w:rPr>
          <w:rFonts w:ascii="Verdana" w:hAnsi="Verdana"/>
        </w:rPr>
        <w:t xml:space="preserve">ur. </w:t>
      </w:r>
      <w:r w:rsidR="006A0A90" w:rsidRPr="006A0A90">
        <w:rPr>
          <w:rFonts w:ascii="Verdana" w:hAnsi="Verdana"/>
        </w:rPr>
        <w:t xml:space="preserve">Over a period of </w:t>
      </w:r>
      <w:r w:rsidR="00A93809">
        <w:rPr>
          <w:rFonts w:ascii="Verdana" w:hAnsi="Verdana"/>
        </w:rPr>
        <w:t>seven</w:t>
      </w:r>
      <w:r w:rsidR="006A0A90" w:rsidRPr="006A0A90">
        <w:rPr>
          <w:rFonts w:ascii="Verdana" w:hAnsi="Verdana"/>
        </w:rPr>
        <w:t xml:space="preserve"> years, the sales generated by the bin products amounted to only slightly over £2.1 million, representing less </w:t>
      </w:r>
      <w:r w:rsidR="006A0A90" w:rsidRPr="006A0A90">
        <w:rPr>
          <w:rFonts w:ascii="Verdana" w:hAnsi="Verdana"/>
        </w:rPr>
        <w:lastRenderedPageBreak/>
        <w:t>than one-fifth, or 17.8%, of the company's total sales performance</w:t>
      </w:r>
      <w:r w:rsidR="002F48D6">
        <w:rPr>
          <w:rFonts w:ascii="Verdana" w:hAnsi="Verdana"/>
        </w:rPr>
        <w:t>.</w:t>
      </w:r>
      <w:r w:rsidR="009A6DEC">
        <w:rPr>
          <w:rFonts w:ascii="Verdana" w:hAnsi="Verdana"/>
        </w:rPr>
        <w:t xml:space="preserve"> Figure 2 demonstrates that </w:t>
      </w:r>
      <w:r w:rsidR="009A6DEC" w:rsidRPr="009A6DEC">
        <w:rPr>
          <w:rFonts w:ascii="Verdana" w:hAnsi="Verdana"/>
        </w:rPr>
        <w:t xml:space="preserve">West min bin, Olympic dual bin, and West min liner are the top-selling products in the </w:t>
      </w:r>
      <w:proofErr w:type="gramStart"/>
      <w:r w:rsidR="009A6DEC" w:rsidRPr="009A6DEC">
        <w:rPr>
          <w:rFonts w:ascii="Verdana" w:hAnsi="Verdana"/>
        </w:rPr>
        <w:t>bin</w:t>
      </w:r>
      <w:r w:rsidR="009A6DEC">
        <w:rPr>
          <w:rFonts w:ascii="Verdana" w:hAnsi="Verdana"/>
        </w:rPr>
        <w:t>s</w:t>
      </w:r>
      <w:proofErr w:type="gramEnd"/>
      <w:r w:rsidR="009A6DEC" w:rsidRPr="009A6DEC">
        <w:rPr>
          <w:rFonts w:ascii="Verdana" w:hAnsi="Verdana"/>
        </w:rPr>
        <w:t xml:space="preserve"> product category.</w:t>
      </w:r>
    </w:p>
    <w:p w:rsidR="004A4C95" w:rsidRPr="004A4C95" w:rsidRDefault="004A4C95" w:rsidP="00862388">
      <w:pPr>
        <w:pStyle w:val="Heading3"/>
        <w:spacing w:line="360" w:lineRule="auto"/>
        <w:jc w:val="both"/>
        <w:rPr>
          <w:rFonts w:ascii="Verdana" w:hAnsi="Verdana"/>
          <w:i/>
          <w:iCs/>
          <w:color w:val="auto"/>
          <w:sz w:val="22"/>
          <w:szCs w:val="22"/>
        </w:rPr>
      </w:pPr>
      <w:bookmarkStart w:id="8" w:name="_Toc133778854"/>
      <w:r w:rsidRPr="004A4C95">
        <w:rPr>
          <w:rFonts w:ascii="Verdana" w:hAnsi="Verdana"/>
          <w:i/>
          <w:iCs/>
          <w:color w:val="auto"/>
          <w:sz w:val="22"/>
          <w:szCs w:val="22"/>
        </w:rPr>
        <w:t xml:space="preserve">Figure </w:t>
      </w:r>
      <w:r w:rsidR="00385636">
        <w:rPr>
          <w:rFonts w:ascii="Verdana" w:hAnsi="Verdana"/>
          <w:i/>
          <w:iCs/>
          <w:color w:val="auto"/>
          <w:sz w:val="22"/>
          <w:szCs w:val="22"/>
        </w:rPr>
        <w:t>4</w:t>
      </w:r>
      <w:r w:rsidRPr="004A4C95">
        <w:rPr>
          <w:rFonts w:ascii="Verdana" w:hAnsi="Verdana"/>
          <w:i/>
          <w:iCs/>
          <w:color w:val="auto"/>
          <w:sz w:val="22"/>
          <w:szCs w:val="22"/>
        </w:rPr>
        <w:t>: Total sales of Bins between 2006 and 2012.</w:t>
      </w:r>
      <w:bookmarkEnd w:id="8"/>
    </w:p>
    <w:p w:rsidR="006A0A90" w:rsidRDefault="00165D03" w:rsidP="00862388">
      <w:pPr>
        <w:spacing w:line="360" w:lineRule="auto"/>
        <w:jc w:val="both"/>
      </w:pPr>
      <w:r>
        <w:rPr>
          <w:noProof/>
        </w:rPr>
        <w:drawing>
          <wp:inline distT="0" distB="0" distL="0" distR="0" wp14:anchorId="26A81898" wp14:editId="55002058">
            <wp:extent cx="5903529" cy="27829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5065" cy="2793108"/>
                    </a:xfrm>
                    <a:prstGeom prst="rect">
                      <a:avLst/>
                    </a:prstGeom>
                    <a:noFill/>
                  </pic:spPr>
                </pic:pic>
              </a:graphicData>
            </a:graphic>
          </wp:inline>
        </w:drawing>
      </w:r>
    </w:p>
    <w:p w:rsidR="00B8186A" w:rsidRPr="00B8186A" w:rsidRDefault="00B8186A" w:rsidP="00862388">
      <w:pPr>
        <w:spacing w:line="360" w:lineRule="auto"/>
      </w:pPr>
    </w:p>
    <w:p w:rsidR="00706C81" w:rsidRDefault="00B8186A" w:rsidP="00862388">
      <w:pPr>
        <w:spacing w:line="360" w:lineRule="auto"/>
        <w:ind w:left="709"/>
        <w:jc w:val="both"/>
        <w:rPr>
          <w:rFonts w:ascii="Verdana" w:hAnsi="Verdana"/>
        </w:rPr>
      </w:pPr>
      <w:r>
        <w:rPr>
          <w:rFonts w:ascii="Verdana" w:hAnsi="Verdana"/>
        </w:rPr>
        <w:t>According to Figure 3, i</w:t>
      </w:r>
      <w:r w:rsidR="00706C81" w:rsidRPr="00706C81">
        <w:rPr>
          <w:rFonts w:ascii="Verdana" w:hAnsi="Verdana"/>
        </w:rPr>
        <w:t>t is evident that despite being introduced in 2009, the OLY 1P, an Olympic dual bin, is the most profitable product</w:t>
      </w:r>
      <w:r w:rsidR="00754B17">
        <w:rPr>
          <w:rFonts w:ascii="Verdana" w:hAnsi="Verdana"/>
        </w:rPr>
        <w:t>.</w:t>
      </w:r>
      <w:r w:rsidR="00A93809">
        <w:rPr>
          <w:rFonts w:ascii="Verdana" w:hAnsi="Verdana"/>
        </w:rPr>
        <w:t xml:space="preserve"> In particular</w:t>
      </w:r>
      <w:r w:rsidR="00A93809" w:rsidRPr="00706C81">
        <w:rPr>
          <w:rFonts w:ascii="Verdana" w:hAnsi="Verdana"/>
        </w:rPr>
        <w:t xml:space="preserve">, </w:t>
      </w:r>
      <w:r w:rsidR="00706C81" w:rsidRPr="00706C81">
        <w:rPr>
          <w:rFonts w:ascii="Verdana" w:hAnsi="Verdana"/>
        </w:rPr>
        <w:t xml:space="preserve">the bins product witnessed a considerable boost in its sales with the introduction of the Olympic dual bin, which accounted for 954 units sold in 2010, generating a total revenue of over £860 thousand. </w:t>
      </w:r>
      <w:r w:rsidR="00706C81">
        <w:rPr>
          <w:rFonts w:ascii="Verdana" w:hAnsi="Verdana"/>
        </w:rPr>
        <w:t>As a result, t</w:t>
      </w:r>
      <w:r w:rsidR="00706C81" w:rsidRPr="00706C81">
        <w:rPr>
          <w:rFonts w:ascii="Verdana" w:hAnsi="Verdana"/>
        </w:rPr>
        <w:t>his product's success contributed to a</w:t>
      </w:r>
      <w:r w:rsidR="00706C81">
        <w:rPr>
          <w:rFonts w:ascii="Verdana" w:hAnsi="Verdana"/>
        </w:rPr>
        <w:t>pproximately</w:t>
      </w:r>
      <w:r w:rsidR="00706C81" w:rsidRPr="00706C81">
        <w:rPr>
          <w:rFonts w:ascii="Verdana" w:hAnsi="Verdana"/>
        </w:rPr>
        <w:t xml:space="preserve"> 40% of the overall sales of the bins product </w:t>
      </w:r>
      <w:r w:rsidR="00023E01">
        <w:rPr>
          <w:rFonts w:ascii="Verdana" w:hAnsi="Verdana"/>
        </w:rPr>
        <w:t xml:space="preserve">throughout the period. </w:t>
      </w:r>
    </w:p>
    <w:p w:rsidR="004A4C95" w:rsidRDefault="004A4C95" w:rsidP="00862388">
      <w:pPr>
        <w:spacing w:line="360" w:lineRule="auto"/>
        <w:ind w:left="709"/>
        <w:jc w:val="both"/>
        <w:rPr>
          <w:rFonts w:ascii="Verdana" w:hAnsi="Verdana"/>
        </w:rPr>
      </w:pPr>
    </w:p>
    <w:p w:rsidR="004A4C95" w:rsidRPr="004A4C95" w:rsidRDefault="004A4C95" w:rsidP="00862388">
      <w:pPr>
        <w:pStyle w:val="Heading3"/>
        <w:spacing w:line="360" w:lineRule="auto"/>
        <w:jc w:val="both"/>
        <w:rPr>
          <w:rFonts w:ascii="Verdana" w:hAnsi="Verdana"/>
          <w:i/>
          <w:iCs/>
          <w:color w:val="auto"/>
          <w:sz w:val="22"/>
          <w:szCs w:val="22"/>
        </w:rPr>
      </w:pPr>
      <w:bookmarkStart w:id="9" w:name="_Toc133778855"/>
      <w:r w:rsidRPr="004A4C95">
        <w:rPr>
          <w:rFonts w:ascii="Verdana" w:hAnsi="Verdana"/>
          <w:i/>
          <w:iCs/>
          <w:color w:val="auto"/>
          <w:sz w:val="22"/>
          <w:szCs w:val="22"/>
        </w:rPr>
        <w:lastRenderedPageBreak/>
        <w:t xml:space="preserve">Figure </w:t>
      </w:r>
      <w:r w:rsidR="00777CCA">
        <w:rPr>
          <w:rFonts w:ascii="Verdana" w:hAnsi="Verdana"/>
          <w:i/>
          <w:iCs/>
          <w:color w:val="auto"/>
          <w:sz w:val="22"/>
          <w:szCs w:val="22"/>
        </w:rPr>
        <w:t>5</w:t>
      </w:r>
      <w:r w:rsidRPr="004A4C95">
        <w:rPr>
          <w:rFonts w:ascii="Verdana" w:hAnsi="Verdana"/>
          <w:i/>
          <w:iCs/>
          <w:color w:val="auto"/>
          <w:sz w:val="22"/>
          <w:szCs w:val="22"/>
        </w:rPr>
        <w:t>: Total sales of Bins product between 2006 and 2012.</w:t>
      </w:r>
      <w:bookmarkEnd w:id="9"/>
    </w:p>
    <w:p w:rsidR="00165D03" w:rsidRDefault="00165D03" w:rsidP="00862388">
      <w:pPr>
        <w:spacing w:line="360" w:lineRule="auto"/>
      </w:pPr>
      <w:r>
        <w:rPr>
          <w:noProof/>
        </w:rPr>
        <w:drawing>
          <wp:inline distT="0" distB="0" distL="0" distR="0" wp14:anchorId="20413F39" wp14:editId="7BAEAA86">
            <wp:extent cx="5886428" cy="37291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6015" cy="3735236"/>
                    </a:xfrm>
                    <a:prstGeom prst="rect">
                      <a:avLst/>
                    </a:prstGeom>
                    <a:noFill/>
                  </pic:spPr>
                </pic:pic>
              </a:graphicData>
            </a:graphic>
          </wp:inline>
        </w:drawing>
      </w:r>
    </w:p>
    <w:p w:rsidR="00706C81" w:rsidRDefault="00706C81" w:rsidP="00862388">
      <w:pPr>
        <w:pStyle w:val="ListParagraph"/>
        <w:numPr>
          <w:ilvl w:val="1"/>
          <w:numId w:val="3"/>
        </w:numPr>
        <w:spacing w:after="160" w:line="360" w:lineRule="auto"/>
        <w:ind w:left="1418"/>
        <w:jc w:val="both"/>
        <w:outlineLvl w:val="1"/>
        <w:rPr>
          <w:rFonts w:ascii="Verdana" w:hAnsi="Verdana"/>
          <w:i/>
          <w:iCs/>
          <w:u w:val="single"/>
        </w:rPr>
      </w:pPr>
      <w:bookmarkStart w:id="10" w:name="_Toc133778856"/>
      <w:r>
        <w:rPr>
          <w:rFonts w:ascii="Verdana" w:hAnsi="Verdana"/>
          <w:i/>
          <w:iCs/>
          <w:u w:val="single"/>
        </w:rPr>
        <w:t>Self-watering planters</w:t>
      </w:r>
      <w:bookmarkEnd w:id="10"/>
      <w:r>
        <w:rPr>
          <w:rFonts w:ascii="Verdana" w:hAnsi="Verdana"/>
          <w:i/>
          <w:iCs/>
          <w:u w:val="single"/>
        </w:rPr>
        <w:t xml:space="preserve">  </w:t>
      </w:r>
    </w:p>
    <w:p w:rsidR="00B33B8F" w:rsidRDefault="00B33B8F" w:rsidP="00862388">
      <w:pPr>
        <w:pStyle w:val="ListParagraph"/>
        <w:spacing w:line="360" w:lineRule="auto"/>
        <w:jc w:val="both"/>
        <w:rPr>
          <w:rFonts w:ascii="Verdana" w:hAnsi="Verdana"/>
        </w:rPr>
      </w:pPr>
      <w:r w:rsidRPr="00B33B8F">
        <w:rPr>
          <w:rFonts w:ascii="Verdana" w:hAnsi="Verdana"/>
        </w:rPr>
        <w:t xml:space="preserve">The company's sales are contributed by its 29 different self-watering planters, which come in a range of colours and design choices. During the 2011-2012 period, the sales performance of the self-watering </w:t>
      </w:r>
      <w:proofErr w:type="gramStart"/>
      <w:r w:rsidRPr="00B33B8F">
        <w:rPr>
          <w:rFonts w:ascii="Verdana" w:hAnsi="Verdana"/>
        </w:rPr>
        <w:t>planters</w:t>
      </w:r>
      <w:proofErr w:type="gramEnd"/>
      <w:r w:rsidRPr="00B33B8F">
        <w:rPr>
          <w:rFonts w:ascii="Verdana" w:hAnsi="Verdana"/>
        </w:rPr>
        <w:t xml:space="preserve"> product family was sustained by the company's introduction of various special colours to its product line. Before this time, the products were limited to black and standard green, also referred to as standard colours. Figure 4 </w:t>
      </w:r>
      <w:r w:rsidR="00023E01">
        <w:rPr>
          <w:rFonts w:ascii="Verdana" w:hAnsi="Verdana"/>
        </w:rPr>
        <w:t>demonstrates</w:t>
      </w:r>
      <w:r w:rsidRPr="00B33B8F">
        <w:rPr>
          <w:rFonts w:ascii="Verdana" w:hAnsi="Verdana"/>
        </w:rPr>
        <w:t xml:space="preserve"> that </w:t>
      </w:r>
      <w:r w:rsidR="00D83FB8">
        <w:rPr>
          <w:rFonts w:ascii="Verdana" w:hAnsi="Verdana"/>
        </w:rPr>
        <w:t>i</w:t>
      </w:r>
      <w:r w:rsidR="00D83FB8" w:rsidRPr="00D83FB8">
        <w:rPr>
          <w:rFonts w:ascii="Verdana" w:hAnsi="Verdana"/>
        </w:rPr>
        <w:t>n the period spanning from 2006 to 2012</w:t>
      </w:r>
      <w:r w:rsidRPr="00B33B8F">
        <w:rPr>
          <w:rFonts w:ascii="Verdana" w:hAnsi="Verdana"/>
        </w:rPr>
        <w:t xml:space="preserve">, standard colour product sales averaged £1.2 million annually, remaining largely consistent. </w:t>
      </w:r>
      <w:r w:rsidR="00D83FB8" w:rsidRPr="00D83FB8">
        <w:rPr>
          <w:rFonts w:ascii="Verdana" w:hAnsi="Verdana"/>
        </w:rPr>
        <w:t>However, a peak in total sales, reaching approximately £1.7 million, was observed in 2012, when the company introduced special colo</w:t>
      </w:r>
      <w:r w:rsidR="00D83FB8">
        <w:rPr>
          <w:rFonts w:ascii="Verdana" w:hAnsi="Verdana"/>
        </w:rPr>
        <w:t>u</w:t>
      </w:r>
      <w:r w:rsidR="00D83FB8" w:rsidRPr="00D83FB8">
        <w:rPr>
          <w:rFonts w:ascii="Verdana" w:hAnsi="Verdana"/>
        </w:rPr>
        <w:t>r products to the market.</w:t>
      </w:r>
    </w:p>
    <w:p w:rsidR="00B33B8F" w:rsidRPr="004A4C95" w:rsidRDefault="00B33B8F" w:rsidP="00862388">
      <w:pPr>
        <w:pStyle w:val="Heading3"/>
        <w:spacing w:line="360" w:lineRule="auto"/>
        <w:jc w:val="both"/>
        <w:rPr>
          <w:rFonts w:ascii="Verdana" w:hAnsi="Verdana"/>
          <w:i/>
          <w:iCs/>
          <w:color w:val="auto"/>
          <w:sz w:val="22"/>
          <w:szCs w:val="22"/>
        </w:rPr>
      </w:pPr>
      <w:bookmarkStart w:id="11" w:name="_Toc133778857"/>
      <w:r w:rsidRPr="004A4C95">
        <w:rPr>
          <w:rFonts w:ascii="Verdana" w:hAnsi="Verdana"/>
          <w:i/>
          <w:iCs/>
          <w:color w:val="auto"/>
          <w:sz w:val="22"/>
          <w:szCs w:val="22"/>
        </w:rPr>
        <w:lastRenderedPageBreak/>
        <w:t xml:space="preserve">Figure </w:t>
      </w:r>
      <w:r w:rsidR="00777CCA">
        <w:rPr>
          <w:rFonts w:ascii="Verdana" w:hAnsi="Verdana"/>
          <w:i/>
          <w:iCs/>
          <w:color w:val="auto"/>
          <w:sz w:val="22"/>
          <w:szCs w:val="22"/>
        </w:rPr>
        <w:t>6</w:t>
      </w:r>
      <w:r w:rsidRPr="004A4C95">
        <w:rPr>
          <w:rFonts w:ascii="Verdana" w:hAnsi="Verdana"/>
          <w:i/>
          <w:iCs/>
          <w:color w:val="auto"/>
          <w:sz w:val="22"/>
          <w:szCs w:val="22"/>
        </w:rPr>
        <w:t>: Sales by colours of Self-watering products</w:t>
      </w:r>
      <w:bookmarkEnd w:id="11"/>
    </w:p>
    <w:p w:rsidR="00B33B8F" w:rsidRPr="00B33B8F" w:rsidRDefault="00B33B8F" w:rsidP="00862388">
      <w:pPr>
        <w:pStyle w:val="ListParagraph"/>
        <w:spacing w:line="360" w:lineRule="auto"/>
        <w:ind w:left="0"/>
        <w:jc w:val="both"/>
        <w:rPr>
          <w:rFonts w:ascii="Verdana" w:hAnsi="Verdana"/>
        </w:rPr>
      </w:pPr>
      <w:r>
        <w:rPr>
          <w:noProof/>
        </w:rPr>
        <w:drawing>
          <wp:inline distT="0" distB="0" distL="0" distR="0" wp14:anchorId="36084A88" wp14:editId="025EFF98">
            <wp:extent cx="5947576" cy="3084016"/>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8179" cy="3089514"/>
                    </a:xfrm>
                    <a:prstGeom prst="rect">
                      <a:avLst/>
                    </a:prstGeom>
                    <a:noFill/>
                  </pic:spPr>
                </pic:pic>
              </a:graphicData>
            </a:graphic>
          </wp:inline>
        </w:drawing>
      </w:r>
    </w:p>
    <w:p w:rsidR="00B33B8F" w:rsidRPr="00B8186A" w:rsidRDefault="00B33B8F" w:rsidP="00862388">
      <w:pPr>
        <w:pStyle w:val="ListParagraph"/>
        <w:spacing w:line="360" w:lineRule="auto"/>
      </w:pPr>
    </w:p>
    <w:p w:rsidR="00B33B8F" w:rsidRPr="00B33B8F" w:rsidRDefault="00D768D6" w:rsidP="00862388">
      <w:pPr>
        <w:pStyle w:val="ListParagraph"/>
        <w:spacing w:line="360" w:lineRule="auto"/>
        <w:jc w:val="both"/>
        <w:rPr>
          <w:rFonts w:ascii="Verdana" w:hAnsi="Verdana"/>
        </w:rPr>
      </w:pPr>
      <w:r>
        <w:rPr>
          <w:rFonts w:ascii="Verdana" w:hAnsi="Verdana"/>
        </w:rPr>
        <w:t>In detail, t</w:t>
      </w:r>
      <w:r w:rsidR="00B33B8F" w:rsidRPr="00B33B8F">
        <w:rPr>
          <w:rFonts w:ascii="Verdana" w:hAnsi="Verdana"/>
        </w:rPr>
        <w:t>he demand for black products used to be the highest between 2018 and 2011, with the average of 107kg of its powder weight, before being overtaken by the standard green products. Over the last two years, there has been a notable increase in the demand for special colours, including pink granite, guernsey granite, and brown, with approximately 32 thousand kg, 19 thousand kg, and 15 thousand kg of powder weight requested, respectively (Figure 5).</w:t>
      </w:r>
    </w:p>
    <w:p w:rsidR="00B33B8F" w:rsidRPr="004A4C95" w:rsidRDefault="00B33B8F" w:rsidP="00862388">
      <w:pPr>
        <w:pStyle w:val="Heading3"/>
        <w:spacing w:line="360" w:lineRule="auto"/>
        <w:jc w:val="both"/>
        <w:rPr>
          <w:rFonts w:ascii="Verdana" w:hAnsi="Verdana"/>
          <w:i/>
          <w:iCs/>
          <w:color w:val="auto"/>
          <w:sz w:val="22"/>
          <w:szCs w:val="22"/>
        </w:rPr>
      </w:pPr>
      <w:bookmarkStart w:id="12" w:name="_Toc133778858"/>
      <w:r w:rsidRPr="004A4C95">
        <w:rPr>
          <w:rFonts w:ascii="Verdana" w:hAnsi="Verdana"/>
          <w:i/>
          <w:iCs/>
          <w:color w:val="auto"/>
          <w:sz w:val="22"/>
          <w:szCs w:val="22"/>
        </w:rPr>
        <w:lastRenderedPageBreak/>
        <w:t xml:space="preserve">Figure </w:t>
      </w:r>
      <w:r w:rsidR="00777CCA">
        <w:rPr>
          <w:rFonts w:ascii="Verdana" w:hAnsi="Verdana"/>
          <w:i/>
          <w:iCs/>
          <w:color w:val="auto"/>
          <w:sz w:val="22"/>
          <w:szCs w:val="22"/>
        </w:rPr>
        <w:t>7</w:t>
      </w:r>
      <w:r w:rsidRPr="004A4C95">
        <w:rPr>
          <w:rFonts w:ascii="Verdana" w:hAnsi="Verdana"/>
          <w:i/>
          <w:iCs/>
          <w:color w:val="auto"/>
          <w:sz w:val="22"/>
          <w:szCs w:val="22"/>
        </w:rPr>
        <w:t>: Colour used by powder weight for self-watering planters.</w:t>
      </w:r>
      <w:bookmarkEnd w:id="12"/>
      <w:r w:rsidRPr="004A4C95">
        <w:rPr>
          <w:rFonts w:ascii="Verdana" w:hAnsi="Verdana"/>
          <w:i/>
          <w:iCs/>
          <w:color w:val="auto"/>
          <w:sz w:val="22"/>
          <w:szCs w:val="22"/>
        </w:rPr>
        <w:t xml:space="preserve"> </w:t>
      </w:r>
    </w:p>
    <w:p w:rsidR="00B33B8F" w:rsidRPr="00B33B8F" w:rsidRDefault="00B33B8F" w:rsidP="00862388">
      <w:pPr>
        <w:pStyle w:val="ListParagraph"/>
        <w:spacing w:line="360" w:lineRule="auto"/>
        <w:ind w:left="0"/>
        <w:jc w:val="both"/>
        <w:rPr>
          <w:rFonts w:ascii="Verdana" w:hAnsi="Verdana"/>
        </w:rPr>
      </w:pPr>
      <w:r>
        <w:rPr>
          <w:noProof/>
        </w:rPr>
        <w:drawing>
          <wp:inline distT="0" distB="0" distL="0" distR="0" wp14:anchorId="27733B86" wp14:editId="2104D391">
            <wp:extent cx="6050943" cy="3379004"/>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9458" cy="3389344"/>
                    </a:xfrm>
                    <a:prstGeom prst="rect">
                      <a:avLst/>
                    </a:prstGeom>
                    <a:noFill/>
                  </pic:spPr>
                </pic:pic>
              </a:graphicData>
            </a:graphic>
          </wp:inline>
        </w:drawing>
      </w:r>
    </w:p>
    <w:p w:rsidR="00B33B8F" w:rsidRPr="009A6DEC" w:rsidRDefault="00B33B8F" w:rsidP="00862388">
      <w:pPr>
        <w:pStyle w:val="ListParagraph"/>
        <w:spacing w:line="360" w:lineRule="auto"/>
      </w:pPr>
    </w:p>
    <w:p w:rsidR="00B33B8F" w:rsidRPr="00B33B8F" w:rsidRDefault="00052DD4" w:rsidP="00862388">
      <w:pPr>
        <w:pStyle w:val="ListParagraph"/>
        <w:spacing w:line="360" w:lineRule="auto"/>
        <w:jc w:val="both"/>
        <w:rPr>
          <w:rFonts w:ascii="Verdana" w:hAnsi="Verdana"/>
        </w:rPr>
      </w:pPr>
      <w:r>
        <w:rPr>
          <w:rFonts w:ascii="Verdana" w:hAnsi="Verdana"/>
        </w:rPr>
        <w:t>Furthermore, t</w:t>
      </w:r>
      <w:r w:rsidR="00B33B8F" w:rsidRPr="00B33B8F">
        <w:rPr>
          <w:rFonts w:ascii="Verdana" w:hAnsi="Verdana"/>
        </w:rPr>
        <w:t xml:space="preserve">he product lines of Half basket up the pole, Cup and Saucer, and Cup and Saucer on pole have emerged as the highest-selling self-watering planters, representing approximately 40% of the total sales of this product category during the period shown in Figure 6 and 7. </w:t>
      </w:r>
    </w:p>
    <w:p w:rsidR="00B33B8F" w:rsidRPr="004A4C95" w:rsidRDefault="00B33B8F" w:rsidP="00862388">
      <w:pPr>
        <w:pStyle w:val="Heading3"/>
        <w:spacing w:line="360" w:lineRule="auto"/>
        <w:jc w:val="both"/>
        <w:rPr>
          <w:rFonts w:ascii="Verdana" w:hAnsi="Verdana"/>
          <w:i/>
          <w:iCs/>
          <w:color w:val="auto"/>
          <w:sz w:val="22"/>
          <w:szCs w:val="22"/>
        </w:rPr>
      </w:pPr>
      <w:bookmarkStart w:id="13" w:name="_Toc133778859"/>
      <w:r w:rsidRPr="001D0915">
        <w:rPr>
          <w:rFonts w:ascii="Verdana" w:hAnsi="Verdana"/>
          <w:i/>
          <w:iCs/>
          <w:color w:val="auto"/>
          <w:sz w:val="22"/>
          <w:szCs w:val="22"/>
        </w:rPr>
        <w:t xml:space="preserve">Figure </w:t>
      </w:r>
      <w:r w:rsidR="00777CCA">
        <w:rPr>
          <w:rFonts w:ascii="Verdana" w:hAnsi="Verdana"/>
          <w:i/>
          <w:iCs/>
          <w:color w:val="auto"/>
          <w:sz w:val="22"/>
          <w:szCs w:val="22"/>
        </w:rPr>
        <w:t>8</w:t>
      </w:r>
      <w:r w:rsidRPr="001D0915">
        <w:rPr>
          <w:rFonts w:ascii="Verdana" w:hAnsi="Verdana"/>
          <w:i/>
          <w:iCs/>
          <w:color w:val="auto"/>
          <w:sz w:val="22"/>
          <w:szCs w:val="22"/>
        </w:rPr>
        <w:t>: Total sales for Self-watering planters between 2006 and 2012.</w:t>
      </w:r>
      <w:bookmarkEnd w:id="13"/>
    </w:p>
    <w:p w:rsidR="00B33B8F" w:rsidRPr="00B33B8F" w:rsidRDefault="00B33B8F" w:rsidP="00862388">
      <w:pPr>
        <w:pStyle w:val="ListParagraph"/>
        <w:spacing w:line="360" w:lineRule="auto"/>
        <w:ind w:left="0"/>
        <w:jc w:val="both"/>
        <w:rPr>
          <w:rFonts w:ascii="Verdana" w:hAnsi="Verdana"/>
        </w:rPr>
      </w:pPr>
      <w:r>
        <w:rPr>
          <w:noProof/>
        </w:rPr>
        <w:drawing>
          <wp:inline distT="0" distB="0" distL="0" distR="0" wp14:anchorId="68909EB6" wp14:editId="113722CD">
            <wp:extent cx="6267578" cy="3212327"/>
            <wp:effectExtent l="0" t="0" r="0" b="0"/>
            <wp:docPr id="19" name="Picture 1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0936" cy="3234549"/>
                    </a:xfrm>
                    <a:prstGeom prst="rect">
                      <a:avLst/>
                    </a:prstGeom>
                    <a:noFill/>
                  </pic:spPr>
                </pic:pic>
              </a:graphicData>
            </a:graphic>
          </wp:inline>
        </w:drawing>
      </w:r>
    </w:p>
    <w:p w:rsidR="00B33B8F" w:rsidRPr="004A4C95" w:rsidRDefault="00B33B8F" w:rsidP="00862388">
      <w:pPr>
        <w:pStyle w:val="Heading3"/>
        <w:spacing w:line="360" w:lineRule="auto"/>
        <w:jc w:val="both"/>
        <w:rPr>
          <w:rFonts w:ascii="Verdana" w:hAnsi="Verdana"/>
          <w:i/>
          <w:iCs/>
          <w:color w:val="auto"/>
          <w:sz w:val="22"/>
          <w:szCs w:val="22"/>
        </w:rPr>
      </w:pPr>
      <w:bookmarkStart w:id="14" w:name="_Toc133778860"/>
      <w:r w:rsidRPr="001D0915">
        <w:rPr>
          <w:rFonts w:ascii="Verdana" w:hAnsi="Verdana"/>
          <w:i/>
          <w:iCs/>
          <w:color w:val="auto"/>
          <w:sz w:val="22"/>
          <w:szCs w:val="22"/>
        </w:rPr>
        <w:lastRenderedPageBreak/>
        <w:t xml:space="preserve">Figure </w:t>
      </w:r>
      <w:r w:rsidR="00777CCA">
        <w:rPr>
          <w:rFonts w:ascii="Verdana" w:hAnsi="Verdana"/>
          <w:i/>
          <w:iCs/>
          <w:color w:val="auto"/>
          <w:sz w:val="22"/>
          <w:szCs w:val="22"/>
        </w:rPr>
        <w:t>9</w:t>
      </w:r>
      <w:r w:rsidRPr="001D0915">
        <w:rPr>
          <w:rFonts w:ascii="Verdana" w:hAnsi="Verdana"/>
          <w:i/>
          <w:iCs/>
          <w:color w:val="auto"/>
          <w:sz w:val="22"/>
          <w:szCs w:val="22"/>
        </w:rPr>
        <w:t>: Total sales of self-watering planters between 2006 and 2012.</w:t>
      </w:r>
      <w:bookmarkEnd w:id="14"/>
    </w:p>
    <w:p w:rsidR="00B33B8F" w:rsidRPr="00B33B8F" w:rsidRDefault="00B33B8F" w:rsidP="00862388">
      <w:pPr>
        <w:pStyle w:val="ListParagraph"/>
        <w:spacing w:line="360" w:lineRule="auto"/>
        <w:ind w:left="0"/>
        <w:jc w:val="both"/>
        <w:rPr>
          <w:rFonts w:ascii="Verdana" w:hAnsi="Verdana"/>
        </w:rPr>
      </w:pPr>
      <w:r>
        <w:rPr>
          <w:noProof/>
        </w:rPr>
        <w:drawing>
          <wp:inline distT="0" distB="0" distL="0" distR="0" wp14:anchorId="33845522" wp14:editId="44663058">
            <wp:extent cx="6210275" cy="2838616"/>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5376" cy="2859231"/>
                    </a:xfrm>
                    <a:prstGeom prst="rect">
                      <a:avLst/>
                    </a:prstGeom>
                    <a:noFill/>
                  </pic:spPr>
                </pic:pic>
              </a:graphicData>
            </a:graphic>
          </wp:inline>
        </w:drawing>
      </w:r>
    </w:p>
    <w:p w:rsidR="00B33B8F" w:rsidRPr="00B33B8F" w:rsidRDefault="00B33B8F" w:rsidP="00862388">
      <w:pPr>
        <w:spacing w:line="360" w:lineRule="auto"/>
        <w:ind w:left="709"/>
      </w:pPr>
    </w:p>
    <w:p w:rsidR="00B33B8F" w:rsidRDefault="00B33B8F" w:rsidP="00862388">
      <w:pPr>
        <w:pStyle w:val="ListParagraph"/>
        <w:numPr>
          <w:ilvl w:val="1"/>
          <w:numId w:val="3"/>
        </w:numPr>
        <w:spacing w:after="160" w:line="360" w:lineRule="auto"/>
        <w:ind w:left="1418"/>
        <w:jc w:val="both"/>
        <w:outlineLvl w:val="1"/>
        <w:rPr>
          <w:rFonts w:ascii="Verdana" w:hAnsi="Verdana"/>
          <w:i/>
          <w:iCs/>
          <w:u w:val="single"/>
        </w:rPr>
      </w:pPr>
      <w:bookmarkStart w:id="15" w:name="_Toc133778861"/>
      <w:proofErr w:type="spellStart"/>
      <w:r>
        <w:rPr>
          <w:rFonts w:ascii="Verdana" w:hAnsi="Verdana"/>
          <w:i/>
          <w:iCs/>
          <w:u w:val="single"/>
        </w:rPr>
        <w:t>Planterware</w:t>
      </w:r>
      <w:bookmarkEnd w:id="15"/>
      <w:proofErr w:type="spellEnd"/>
    </w:p>
    <w:p w:rsidR="00B33B8F" w:rsidRPr="009B6205" w:rsidRDefault="00BD293B" w:rsidP="00862388">
      <w:pPr>
        <w:spacing w:line="360" w:lineRule="auto"/>
        <w:ind w:left="709"/>
        <w:jc w:val="both"/>
        <w:rPr>
          <w:rFonts w:ascii="Verdana" w:hAnsi="Verdana"/>
        </w:rPr>
      </w:pPr>
      <w:r w:rsidRPr="009B6205">
        <w:rPr>
          <w:rFonts w:ascii="Verdana" w:hAnsi="Verdana"/>
        </w:rPr>
        <w:t xml:space="preserve">The </w:t>
      </w:r>
      <w:proofErr w:type="spellStart"/>
      <w:r w:rsidRPr="009B6205">
        <w:rPr>
          <w:rFonts w:ascii="Verdana" w:hAnsi="Verdana"/>
        </w:rPr>
        <w:t>Planterware</w:t>
      </w:r>
      <w:proofErr w:type="spellEnd"/>
      <w:r w:rsidRPr="009B6205">
        <w:rPr>
          <w:rFonts w:ascii="Verdana" w:hAnsi="Verdana"/>
        </w:rPr>
        <w:t xml:space="preserve"> product family, introduced in 2010, had a noteworthy impact on the company's sales performance from 2010 to 2012, with a total revenue exceeding £430 thousand. The family consisted of ten distinctive products, with the Plain vase, </w:t>
      </w:r>
      <w:proofErr w:type="gramStart"/>
      <w:r w:rsidRPr="009B6205">
        <w:rPr>
          <w:rFonts w:ascii="Verdana" w:hAnsi="Verdana"/>
        </w:rPr>
        <w:t>Rectangular</w:t>
      </w:r>
      <w:proofErr w:type="gramEnd"/>
      <w:r w:rsidRPr="009B6205">
        <w:rPr>
          <w:rFonts w:ascii="Verdana" w:hAnsi="Verdana"/>
        </w:rPr>
        <w:t xml:space="preserve"> container, </w:t>
      </w:r>
      <w:r w:rsidR="00D83FB8">
        <w:rPr>
          <w:rFonts w:ascii="Verdana" w:hAnsi="Verdana"/>
        </w:rPr>
        <w:t>as well as</w:t>
      </w:r>
      <w:r w:rsidRPr="009B6205">
        <w:rPr>
          <w:rFonts w:ascii="Verdana" w:hAnsi="Verdana"/>
        </w:rPr>
        <w:t xml:space="preserve"> Egg pot vase being the most </w:t>
      </w:r>
      <w:r w:rsidR="00D83FB8">
        <w:rPr>
          <w:rFonts w:ascii="Verdana" w:hAnsi="Verdana"/>
        </w:rPr>
        <w:t>favourable</w:t>
      </w:r>
      <w:r w:rsidRPr="009B6205">
        <w:rPr>
          <w:rFonts w:ascii="Verdana" w:hAnsi="Verdana"/>
        </w:rPr>
        <w:t xml:space="preserve"> and responsible for 66% of family's total sales (refer to Figure 11 for details). To cater to customers' varied preferences, the newly launched product line was offered in diverse designs and sizes</w:t>
      </w:r>
      <w:r w:rsidR="00B33B8F" w:rsidRPr="009B6205">
        <w:rPr>
          <w:rFonts w:ascii="Verdana" w:hAnsi="Verdana"/>
        </w:rPr>
        <w:t>.</w:t>
      </w:r>
    </w:p>
    <w:p w:rsidR="00B33B8F" w:rsidRPr="00B33B8F" w:rsidRDefault="00B33B8F" w:rsidP="00862388">
      <w:pPr>
        <w:pStyle w:val="Heading3"/>
        <w:spacing w:line="360" w:lineRule="auto"/>
        <w:jc w:val="both"/>
        <w:rPr>
          <w:rFonts w:ascii="Verdana" w:hAnsi="Verdana"/>
          <w:i/>
          <w:iCs/>
          <w:color w:val="auto"/>
          <w:sz w:val="22"/>
          <w:szCs w:val="22"/>
        </w:rPr>
      </w:pPr>
      <w:bookmarkStart w:id="16" w:name="_Toc133778862"/>
      <w:r w:rsidRPr="00B33B8F">
        <w:rPr>
          <w:rFonts w:ascii="Verdana" w:hAnsi="Verdana"/>
          <w:i/>
          <w:iCs/>
          <w:color w:val="auto"/>
          <w:sz w:val="22"/>
          <w:szCs w:val="22"/>
        </w:rPr>
        <w:t xml:space="preserve">Figure </w:t>
      </w:r>
      <w:r w:rsidR="00777CCA">
        <w:rPr>
          <w:rFonts w:ascii="Verdana" w:hAnsi="Verdana"/>
          <w:i/>
          <w:iCs/>
          <w:color w:val="auto"/>
          <w:sz w:val="22"/>
          <w:szCs w:val="22"/>
        </w:rPr>
        <w:t>10</w:t>
      </w:r>
      <w:r w:rsidRPr="00B33B8F">
        <w:rPr>
          <w:rFonts w:ascii="Verdana" w:hAnsi="Verdana"/>
          <w:i/>
          <w:iCs/>
          <w:color w:val="auto"/>
          <w:sz w:val="22"/>
          <w:szCs w:val="22"/>
        </w:rPr>
        <w:t xml:space="preserve">: Total </w:t>
      </w:r>
      <w:r w:rsidR="00F824D2">
        <w:rPr>
          <w:rFonts w:ascii="Verdana" w:hAnsi="Verdana"/>
          <w:i/>
          <w:iCs/>
          <w:color w:val="auto"/>
          <w:sz w:val="22"/>
          <w:szCs w:val="22"/>
        </w:rPr>
        <w:t xml:space="preserve">sales </w:t>
      </w:r>
      <w:r w:rsidRPr="00B33B8F">
        <w:rPr>
          <w:rFonts w:ascii="Verdana" w:hAnsi="Verdana"/>
          <w:i/>
          <w:iCs/>
          <w:color w:val="auto"/>
          <w:sz w:val="22"/>
          <w:szCs w:val="22"/>
        </w:rPr>
        <w:t xml:space="preserve">of </w:t>
      </w:r>
      <w:proofErr w:type="spellStart"/>
      <w:r w:rsidRPr="00B33B8F">
        <w:rPr>
          <w:rFonts w:ascii="Verdana" w:hAnsi="Verdana"/>
          <w:i/>
          <w:iCs/>
          <w:color w:val="auto"/>
          <w:sz w:val="22"/>
          <w:szCs w:val="22"/>
        </w:rPr>
        <w:t>planterware</w:t>
      </w:r>
      <w:proofErr w:type="spellEnd"/>
      <w:r w:rsidRPr="00B33B8F">
        <w:rPr>
          <w:rFonts w:ascii="Verdana" w:hAnsi="Verdana"/>
          <w:i/>
          <w:iCs/>
          <w:color w:val="auto"/>
          <w:sz w:val="22"/>
          <w:szCs w:val="22"/>
        </w:rPr>
        <w:t xml:space="preserve"> from 20</w:t>
      </w:r>
      <w:r>
        <w:rPr>
          <w:rFonts w:ascii="Verdana" w:hAnsi="Verdana"/>
          <w:i/>
          <w:iCs/>
          <w:color w:val="auto"/>
          <w:sz w:val="22"/>
          <w:szCs w:val="22"/>
        </w:rPr>
        <w:t>10</w:t>
      </w:r>
      <w:r w:rsidRPr="00B33B8F">
        <w:rPr>
          <w:rFonts w:ascii="Verdana" w:hAnsi="Verdana"/>
          <w:i/>
          <w:iCs/>
          <w:color w:val="auto"/>
          <w:sz w:val="22"/>
          <w:szCs w:val="22"/>
        </w:rPr>
        <w:t xml:space="preserve"> to 2012</w:t>
      </w:r>
      <w:r w:rsidR="00AB1927">
        <w:rPr>
          <w:rFonts w:ascii="Verdana" w:hAnsi="Verdana"/>
          <w:i/>
          <w:iCs/>
          <w:color w:val="auto"/>
          <w:sz w:val="22"/>
          <w:szCs w:val="22"/>
        </w:rPr>
        <w:t>.</w:t>
      </w:r>
      <w:bookmarkEnd w:id="16"/>
    </w:p>
    <w:p w:rsidR="00B33B8F" w:rsidRDefault="00B33B8F" w:rsidP="00862388">
      <w:pPr>
        <w:spacing w:line="360" w:lineRule="auto"/>
        <w:rPr>
          <w:rFonts w:ascii="Verdana" w:hAnsi="Verdana"/>
        </w:rPr>
      </w:pPr>
      <w:r>
        <w:rPr>
          <w:rFonts w:ascii="Verdana" w:hAnsi="Verdana"/>
          <w:noProof/>
        </w:rPr>
        <w:drawing>
          <wp:inline distT="0" distB="0" distL="0" distR="0" wp14:anchorId="3EC010C6" wp14:editId="50661437">
            <wp:extent cx="6011545" cy="28424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9072" cy="2846008"/>
                    </a:xfrm>
                    <a:prstGeom prst="rect">
                      <a:avLst/>
                    </a:prstGeom>
                    <a:noFill/>
                  </pic:spPr>
                </pic:pic>
              </a:graphicData>
            </a:graphic>
          </wp:inline>
        </w:drawing>
      </w:r>
    </w:p>
    <w:p w:rsidR="00B33B8F" w:rsidRPr="00B33B8F" w:rsidRDefault="00B33B8F" w:rsidP="00862388">
      <w:pPr>
        <w:pStyle w:val="Heading3"/>
        <w:spacing w:line="360" w:lineRule="auto"/>
        <w:jc w:val="both"/>
        <w:rPr>
          <w:rFonts w:ascii="Verdana" w:hAnsi="Verdana"/>
          <w:i/>
          <w:iCs/>
          <w:color w:val="auto"/>
          <w:sz w:val="22"/>
          <w:szCs w:val="22"/>
        </w:rPr>
      </w:pPr>
      <w:bookmarkStart w:id="17" w:name="_Toc133778863"/>
      <w:r w:rsidRPr="00B33B8F">
        <w:rPr>
          <w:rFonts w:ascii="Verdana" w:hAnsi="Verdana"/>
          <w:i/>
          <w:iCs/>
          <w:color w:val="auto"/>
          <w:sz w:val="22"/>
          <w:szCs w:val="22"/>
        </w:rPr>
        <w:lastRenderedPageBreak/>
        <w:t xml:space="preserve">Figure </w:t>
      </w:r>
      <w:r w:rsidR="00777CCA">
        <w:rPr>
          <w:rFonts w:ascii="Verdana" w:hAnsi="Verdana"/>
          <w:i/>
          <w:iCs/>
          <w:color w:val="auto"/>
          <w:sz w:val="22"/>
          <w:szCs w:val="22"/>
        </w:rPr>
        <w:t>11</w:t>
      </w:r>
      <w:r w:rsidRPr="00B33B8F">
        <w:rPr>
          <w:rFonts w:ascii="Verdana" w:hAnsi="Verdana"/>
          <w:i/>
          <w:iCs/>
          <w:color w:val="auto"/>
          <w:sz w:val="22"/>
          <w:szCs w:val="22"/>
        </w:rPr>
        <w:t xml:space="preserve">: </w:t>
      </w:r>
      <w:r>
        <w:rPr>
          <w:rFonts w:ascii="Verdana" w:hAnsi="Verdana"/>
          <w:i/>
          <w:iCs/>
          <w:color w:val="auto"/>
          <w:sz w:val="22"/>
          <w:szCs w:val="22"/>
        </w:rPr>
        <w:t>Total sales</w:t>
      </w:r>
      <w:r w:rsidR="00F824D2">
        <w:rPr>
          <w:rFonts w:ascii="Verdana" w:hAnsi="Verdana"/>
          <w:i/>
          <w:iCs/>
          <w:color w:val="auto"/>
          <w:sz w:val="22"/>
          <w:szCs w:val="22"/>
        </w:rPr>
        <w:t xml:space="preserve"> performance </w:t>
      </w:r>
      <w:r>
        <w:rPr>
          <w:rFonts w:ascii="Verdana" w:hAnsi="Verdana"/>
          <w:i/>
          <w:iCs/>
          <w:color w:val="auto"/>
          <w:sz w:val="22"/>
          <w:szCs w:val="22"/>
        </w:rPr>
        <w:t xml:space="preserve">of </w:t>
      </w:r>
      <w:proofErr w:type="spellStart"/>
      <w:r>
        <w:rPr>
          <w:rFonts w:ascii="Verdana" w:hAnsi="Verdana"/>
          <w:i/>
          <w:iCs/>
          <w:color w:val="auto"/>
          <w:sz w:val="22"/>
          <w:szCs w:val="22"/>
        </w:rPr>
        <w:t>planterware</w:t>
      </w:r>
      <w:proofErr w:type="spellEnd"/>
      <w:r>
        <w:rPr>
          <w:rFonts w:ascii="Verdana" w:hAnsi="Verdana"/>
          <w:i/>
          <w:iCs/>
          <w:color w:val="auto"/>
          <w:sz w:val="22"/>
          <w:szCs w:val="22"/>
        </w:rPr>
        <w:t xml:space="preserve"> during from 2010 to 2012</w:t>
      </w:r>
      <w:r w:rsidR="00AB1927">
        <w:rPr>
          <w:rFonts w:ascii="Verdana" w:hAnsi="Verdana"/>
          <w:i/>
          <w:iCs/>
          <w:color w:val="auto"/>
          <w:sz w:val="22"/>
          <w:szCs w:val="22"/>
        </w:rPr>
        <w:t>.</w:t>
      </w:r>
      <w:bookmarkEnd w:id="17"/>
    </w:p>
    <w:p w:rsidR="00B33B8F" w:rsidRDefault="00B33B8F" w:rsidP="00862388">
      <w:pPr>
        <w:spacing w:line="360" w:lineRule="auto"/>
        <w:rPr>
          <w:rFonts w:ascii="Verdana" w:hAnsi="Verdana"/>
        </w:rPr>
      </w:pPr>
      <w:r>
        <w:rPr>
          <w:rFonts w:ascii="Verdana" w:hAnsi="Verdana"/>
          <w:noProof/>
        </w:rPr>
        <w:drawing>
          <wp:inline distT="0" distB="0" distL="0" distR="0" wp14:anchorId="3C4380A9" wp14:editId="6C18D5A1">
            <wp:extent cx="6195207" cy="34429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2060" cy="3446724"/>
                    </a:xfrm>
                    <a:prstGeom prst="rect">
                      <a:avLst/>
                    </a:prstGeom>
                    <a:noFill/>
                  </pic:spPr>
                </pic:pic>
              </a:graphicData>
            </a:graphic>
          </wp:inline>
        </w:drawing>
      </w:r>
    </w:p>
    <w:p w:rsidR="008313E1" w:rsidRDefault="00A76529" w:rsidP="00862388">
      <w:pPr>
        <w:spacing w:line="360" w:lineRule="auto"/>
        <w:ind w:left="709"/>
        <w:jc w:val="both"/>
        <w:rPr>
          <w:rFonts w:ascii="Verdana" w:hAnsi="Verdana"/>
        </w:rPr>
      </w:pPr>
      <w:r w:rsidRPr="00A76529">
        <w:rPr>
          <w:rFonts w:ascii="Verdana" w:hAnsi="Verdana"/>
        </w:rPr>
        <w:t xml:space="preserve">Based on </w:t>
      </w:r>
      <w:r w:rsidR="007E15FD">
        <w:rPr>
          <w:rFonts w:ascii="Verdana" w:hAnsi="Verdana"/>
        </w:rPr>
        <w:t>the descriptive statistics</w:t>
      </w:r>
      <w:r w:rsidR="00950972">
        <w:rPr>
          <w:rFonts w:ascii="Verdana" w:hAnsi="Verdana"/>
        </w:rPr>
        <w:t xml:space="preserve"> from </w:t>
      </w:r>
      <w:r w:rsidR="00950972" w:rsidRPr="00AE096A">
        <w:rPr>
          <w:rFonts w:ascii="Verdana" w:hAnsi="Verdana"/>
        </w:rPr>
        <w:t>Appendix</w:t>
      </w:r>
      <w:r w:rsidR="00AE096A" w:rsidRPr="00AE096A">
        <w:rPr>
          <w:rFonts w:ascii="Verdana" w:hAnsi="Verdana"/>
        </w:rPr>
        <w:t xml:space="preserve"> 1</w:t>
      </w:r>
      <w:r w:rsidRPr="00A76529">
        <w:rPr>
          <w:rFonts w:ascii="Verdana" w:hAnsi="Verdana"/>
        </w:rPr>
        <w:t xml:space="preserve"> of due date performance, it can be confirmed that </w:t>
      </w:r>
      <w:r w:rsidR="007E15FD">
        <w:rPr>
          <w:rFonts w:ascii="Verdana" w:hAnsi="Verdana"/>
        </w:rPr>
        <w:t>the</w:t>
      </w:r>
      <w:r w:rsidRPr="00A76529">
        <w:rPr>
          <w:rFonts w:ascii="Verdana" w:hAnsi="Verdana"/>
        </w:rPr>
        <w:t xml:space="preserve"> company is failing to meet promised delivery times, which is contrary to what is stated in the literature. </w:t>
      </w:r>
      <w:r w:rsidR="00950972">
        <w:rPr>
          <w:rFonts w:ascii="Verdana" w:hAnsi="Verdana"/>
        </w:rPr>
        <w:t xml:space="preserve">It </w:t>
      </w:r>
      <w:r w:rsidR="00601D23">
        <w:rPr>
          <w:rFonts w:ascii="Verdana" w:hAnsi="Verdana"/>
        </w:rPr>
        <w:t>can be clearly seen that</w:t>
      </w:r>
      <w:r w:rsidRPr="00A76529">
        <w:rPr>
          <w:rFonts w:ascii="Verdana" w:hAnsi="Verdana"/>
        </w:rPr>
        <w:t xml:space="preserve"> the average due date performance is 95%, which means that the average customer is not receiving their product on time. However, the service level has not fallen below 90%, and the performance dates are quite stable, indicating a fairly symmetrical and light-tailed distribution. </w:t>
      </w:r>
      <w:r w:rsidR="00CC0F24" w:rsidRPr="00CC0F24">
        <w:rPr>
          <w:rFonts w:ascii="Verdana" w:hAnsi="Verdana"/>
        </w:rPr>
        <w:t>These findings suggest that the company has not been able to manage unexpected situations leading to delays, while the production process is limited in capacity, resulting in delayed deliveries</w:t>
      </w:r>
      <w:r w:rsidRPr="00A76529">
        <w:rPr>
          <w:rFonts w:ascii="Verdana" w:hAnsi="Verdana"/>
        </w:rPr>
        <w:t xml:space="preserve">. It should be noted that demand is not the limiting factor, but rather the production line's capacity, which acts as a bottleneck, thereby limiting production. </w:t>
      </w:r>
      <w:r w:rsidR="00CC0F24" w:rsidRPr="00CC0F24">
        <w:rPr>
          <w:rFonts w:ascii="Verdana" w:hAnsi="Verdana"/>
        </w:rPr>
        <w:t xml:space="preserve">Despite the possibility of increasing production, the capacity constraint restricts further throughput maximization. In line with Goldratt's Theory of Constraints, </w:t>
      </w:r>
      <w:r w:rsidR="00CC0F24">
        <w:rPr>
          <w:rFonts w:ascii="Verdana" w:hAnsi="Verdana"/>
        </w:rPr>
        <w:t>the</w:t>
      </w:r>
      <w:r w:rsidR="00CC0F24" w:rsidRPr="00CC0F24">
        <w:rPr>
          <w:rFonts w:ascii="Verdana" w:hAnsi="Verdana"/>
        </w:rPr>
        <w:t xml:space="preserve"> company's</w:t>
      </w:r>
      <w:r w:rsidR="00CC0F24">
        <w:rPr>
          <w:rFonts w:ascii="Verdana" w:hAnsi="Verdana"/>
        </w:rPr>
        <w:t xml:space="preserve"> constraint</w:t>
      </w:r>
      <w:r w:rsidR="00CC0F24" w:rsidRPr="00CC0F24">
        <w:rPr>
          <w:rFonts w:ascii="Verdana" w:hAnsi="Verdana"/>
        </w:rPr>
        <w:t xml:space="preserve"> is capacity, which hampers business performance (Goldratt, 1984).</w:t>
      </w:r>
    </w:p>
    <w:p w:rsidR="009A5C6F" w:rsidRDefault="00DD01DA" w:rsidP="00862388">
      <w:pPr>
        <w:pStyle w:val="ListParagraph"/>
        <w:numPr>
          <w:ilvl w:val="1"/>
          <w:numId w:val="3"/>
        </w:numPr>
        <w:spacing w:after="160" w:line="360" w:lineRule="auto"/>
        <w:ind w:left="1418"/>
        <w:jc w:val="both"/>
        <w:outlineLvl w:val="1"/>
        <w:rPr>
          <w:rFonts w:ascii="Verdana" w:hAnsi="Verdana"/>
          <w:i/>
          <w:iCs/>
          <w:u w:val="single"/>
        </w:rPr>
      </w:pPr>
      <w:bookmarkStart w:id="18" w:name="_Toc133778864"/>
      <w:r>
        <w:rPr>
          <w:rFonts w:ascii="Verdana" w:hAnsi="Verdana"/>
          <w:i/>
          <w:iCs/>
          <w:u w:val="single"/>
        </w:rPr>
        <w:t>S</w:t>
      </w:r>
      <w:r w:rsidR="00E54663" w:rsidRPr="00E54663">
        <w:rPr>
          <w:rFonts w:ascii="Verdana" w:hAnsi="Verdana"/>
          <w:i/>
          <w:iCs/>
          <w:u w:val="single"/>
        </w:rPr>
        <w:t>upply chain</w:t>
      </w:r>
      <w:r>
        <w:rPr>
          <w:rFonts w:ascii="Verdana" w:hAnsi="Verdana"/>
          <w:i/>
          <w:iCs/>
          <w:u w:val="single"/>
        </w:rPr>
        <w:t xml:space="preserve"> and operation model</w:t>
      </w:r>
      <w:bookmarkEnd w:id="18"/>
      <w:r w:rsidR="00E54663" w:rsidRPr="00E54663">
        <w:rPr>
          <w:rFonts w:ascii="Verdana" w:hAnsi="Verdana"/>
          <w:i/>
          <w:iCs/>
          <w:u w:val="single"/>
        </w:rPr>
        <w:t xml:space="preserve"> </w:t>
      </w:r>
    </w:p>
    <w:p w:rsidR="0039167E" w:rsidRDefault="00B32AE0" w:rsidP="00862388">
      <w:pPr>
        <w:spacing w:line="360" w:lineRule="auto"/>
        <w:ind w:left="709"/>
        <w:jc w:val="both"/>
        <w:rPr>
          <w:rFonts w:ascii="Verdana" w:hAnsi="Verdana"/>
        </w:rPr>
      </w:pPr>
      <w:r>
        <w:rPr>
          <w:rFonts w:ascii="Verdana" w:hAnsi="Verdana"/>
        </w:rPr>
        <w:t>According to Fisher</w:t>
      </w:r>
      <w:r w:rsidR="0083467A">
        <w:rPr>
          <w:rFonts w:ascii="Verdana" w:hAnsi="Verdana"/>
        </w:rPr>
        <w:t xml:space="preserve"> (1997)</w:t>
      </w:r>
      <w:r w:rsidR="004A4F56">
        <w:rPr>
          <w:rFonts w:ascii="Verdana" w:hAnsi="Verdana"/>
        </w:rPr>
        <w:t xml:space="preserve">, supply chain is divided into two different types: physically efficient </w:t>
      </w:r>
      <w:r w:rsidR="003951A8">
        <w:rPr>
          <w:rFonts w:ascii="Verdana" w:hAnsi="Verdana"/>
        </w:rPr>
        <w:t xml:space="preserve">and market responsive. </w:t>
      </w:r>
      <w:r w:rsidR="006E3232">
        <w:rPr>
          <w:rFonts w:ascii="Verdana" w:hAnsi="Verdana"/>
        </w:rPr>
        <w:t xml:space="preserve">Cost savings and </w:t>
      </w:r>
      <w:r w:rsidR="002A1BFF">
        <w:rPr>
          <w:rFonts w:ascii="Verdana" w:hAnsi="Verdana"/>
        </w:rPr>
        <w:t>opti</w:t>
      </w:r>
      <w:r w:rsidR="00550D82">
        <w:rPr>
          <w:rFonts w:ascii="Verdana" w:hAnsi="Verdana"/>
        </w:rPr>
        <w:t>mal utilisation of resources</w:t>
      </w:r>
      <w:r w:rsidR="006E3232">
        <w:rPr>
          <w:rFonts w:ascii="Verdana" w:hAnsi="Verdana"/>
        </w:rPr>
        <w:t xml:space="preserve"> are the main goals of a physically efficient supply chain.</w:t>
      </w:r>
      <w:r w:rsidR="00550D82">
        <w:rPr>
          <w:rFonts w:ascii="Verdana" w:hAnsi="Verdana"/>
        </w:rPr>
        <w:t xml:space="preserve"> </w:t>
      </w:r>
      <w:r w:rsidR="00860ACA" w:rsidRPr="00860ACA">
        <w:rPr>
          <w:rFonts w:ascii="Verdana" w:hAnsi="Verdana"/>
        </w:rPr>
        <w:t xml:space="preserve">By </w:t>
      </w:r>
      <w:r w:rsidR="00860ACA" w:rsidRPr="00860ACA">
        <w:rPr>
          <w:rFonts w:ascii="Verdana" w:hAnsi="Verdana"/>
        </w:rPr>
        <w:lastRenderedPageBreak/>
        <w:t xml:space="preserve">eradicating all non-value-added tasks, following economies of scale, and optimising the consumption of resources, the physically efficient supply chain seeks to </w:t>
      </w:r>
      <w:r w:rsidR="00CC0F24">
        <w:rPr>
          <w:rFonts w:ascii="Verdana" w:hAnsi="Verdana"/>
        </w:rPr>
        <w:t>attain</w:t>
      </w:r>
      <w:r w:rsidR="00860ACA" w:rsidRPr="00860ACA">
        <w:rPr>
          <w:rFonts w:ascii="Verdana" w:hAnsi="Verdana"/>
        </w:rPr>
        <w:t xml:space="preserve"> the lowest cost </w:t>
      </w:r>
      <w:r w:rsidR="00CC0F24">
        <w:rPr>
          <w:rFonts w:ascii="Verdana" w:hAnsi="Verdana"/>
        </w:rPr>
        <w:t xml:space="preserve">of </w:t>
      </w:r>
      <w:r w:rsidR="00860ACA" w:rsidRPr="00860ACA">
        <w:rPr>
          <w:rFonts w:ascii="Verdana" w:hAnsi="Verdana"/>
        </w:rPr>
        <w:t xml:space="preserve">operation (Harris and </w:t>
      </w:r>
      <w:proofErr w:type="spellStart"/>
      <w:r w:rsidR="00860ACA" w:rsidRPr="00860ACA">
        <w:rPr>
          <w:rFonts w:ascii="Verdana" w:hAnsi="Verdana"/>
        </w:rPr>
        <w:t>Componation</w:t>
      </w:r>
      <w:proofErr w:type="spellEnd"/>
      <w:r w:rsidR="00860ACA" w:rsidRPr="00860ACA">
        <w:rPr>
          <w:rFonts w:ascii="Verdana" w:hAnsi="Verdana"/>
        </w:rPr>
        <w:t>, 2005). However, because it aims to improve supply chain cost efficiencies while being less flexible (Lee, 2002), its capacity to quickly adapt to market changes may be constrained</w:t>
      </w:r>
      <w:r w:rsidR="00583C44">
        <w:rPr>
          <w:rFonts w:ascii="Verdana" w:hAnsi="Verdana"/>
        </w:rPr>
        <w:t xml:space="preserve"> (Randall</w:t>
      </w:r>
      <w:r w:rsidR="0039167E">
        <w:rPr>
          <w:rFonts w:ascii="Verdana" w:hAnsi="Verdana"/>
        </w:rPr>
        <w:t xml:space="preserve"> et al</w:t>
      </w:r>
      <w:r w:rsidR="00860ACA" w:rsidRPr="00860ACA">
        <w:rPr>
          <w:rFonts w:ascii="Verdana" w:hAnsi="Verdana"/>
        </w:rPr>
        <w:t>.</w:t>
      </w:r>
      <w:r w:rsidR="0039167E">
        <w:rPr>
          <w:rFonts w:ascii="Verdana" w:hAnsi="Verdana"/>
        </w:rPr>
        <w:t>,2003)</w:t>
      </w:r>
      <w:r w:rsidR="002F17B3">
        <w:rPr>
          <w:rFonts w:ascii="Verdana" w:hAnsi="Verdana"/>
        </w:rPr>
        <w:t>.</w:t>
      </w:r>
    </w:p>
    <w:p w:rsidR="00EF4D54" w:rsidRDefault="008C2E67" w:rsidP="00DD5812">
      <w:pPr>
        <w:spacing w:line="360" w:lineRule="auto"/>
        <w:ind w:left="709"/>
        <w:jc w:val="both"/>
        <w:rPr>
          <w:rFonts w:ascii="Verdana" w:hAnsi="Verdana"/>
        </w:rPr>
      </w:pPr>
      <w:r w:rsidRPr="008C2E67">
        <w:rPr>
          <w:rFonts w:ascii="Verdana" w:hAnsi="Verdana"/>
        </w:rPr>
        <w:t>Companies that adopt a market responsive supply chain strategy prioriti</w:t>
      </w:r>
      <w:r w:rsidR="00DD5812">
        <w:rPr>
          <w:rFonts w:ascii="Verdana" w:hAnsi="Verdana"/>
        </w:rPr>
        <w:t>s</w:t>
      </w:r>
      <w:r w:rsidRPr="008C2E67">
        <w:rPr>
          <w:rFonts w:ascii="Verdana" w:hAnsi="Verdana"/>
        </w:rPr>
        <w:t xml:space="preserve">e meeting customer delivery requirements, regardless of demand variability. Flexibility and order accuracy are essential elements of this approach (Lee, 2002; Maltz and Maltz, 1998). Such companies use strategically placed inventories to avoid the risks of supply disruptions and adapt to customer, market, and supply uncertainty (Harris and </w:t>
      </w:r>
      <w:proofErr w:type="spellStart"/>
      <w:r w:rsidRPr="008C2E67">
        <w:rPr>
          <w:rFonts w:ascii="Verdana" w:hAnsi="Verdana"/>
        </w:rPr>
        <w:t>Componation</w:t>
      </w:r>
      <w:proofErr w:type="spellEnd"/>
      <w:r w:rsidRPr="008C2E67">
        <w:rPr>
          <w:rFonts w:ascii="Verdana" w:hAnsi="Verdana"/>
        </w:rPr>
        <w:t>, 2005). A market responsive strategy encourages build-to-order and mass customization processes to meet customer expectations. However, there is a higher potential for stock-outs when product demand is uncertain and variable, which can lead to substantial profit loss for products with high profit margins. In such cases, companies redirect their focus towards increasing speed and flexibility by executing a market responsive strategy (Fisher, 1997; Randall</w:t>
      </w:r>
      <w:r w:rsidR="00B11146">
        <w:rPr>
          <w:rFonts w:ascii="Verdana" w:hAnsi="Verdana"/>
        </w:rPr>
        <w:t xml:space="preserve"> et al.</w:t>
      </w:r>
      <w:r w:rsidRPr="008C2E67">
        <w:rPr>
          <w:rFonts w:ascii="Verdana" w:hAnsi="Verdana"/>
        </w:rPr>
        <w:t>, 2003; David</w:t>
      </w:r>
      <w:r w:rsidR="00B11146">
        <w:rPr>
          <w:rFonts w:ascii="Verdana" w:hAnsi="Verdana"/>
        </w:rPr>
        <w:t xml:space="preserve"> et al.</w:t>
      </w:r>
      <w:r w:rsidRPr="008C2E67">
        <w:rPr>
          <w:rFonts w:ascii="Verdana" w:hAnsi="Verdana"/>
        </w:rPr>
        <w:t xml:space="preserve">, 2002). Fisher (1997) suggests that every dollar invested in improving the supply chain's responsiveness to an </w:t>
      </w:r>
      <w:r w:rsidR="00190B41" w:rsidRPr="008C2E67">
        <w:rPr>
          <w:rFonts w:ascii="Verdana" w:hAnsi="Verdana"/>
        </w:rPr>
        <w:t xml:space="preserve">innovative product </w:t>
      </w:r>
      <w:r w:rsidR="00BC2DAB" w:rsidRPr="008C2E67">
        <w:rPr>
          <w:rFonts w:ascii="Verdana" w:hAnsi="Verdana"/>
        </w:rPr>
        <w:t>led</w:t>
      </w:r>
      <w:r w:rsidRPr="008C2E67">
        <w:rPr>
          <w:rFonts w:ascii="Verdana" w:hAnsi="Verdana"/>
        </w:rPr>
        <w:t xml:space="preserve"> to savings of more than a dollar in reduced costs of stock-outs and forced markdowns. A market responsive supply chain network emphasi</w:t>
      </w:r>
      <w:r w:rsidR="00DD5812">
        <w:rPr>
          <w:rFonts w:ascii="Verdana" w:hAnsi="Verdana"/>
        </w:rPr>
        <w:t>s</w:t>
      </w:r>
      <w:r w:rsidRPr="008C2E67">
        <w:rPr>
          <w:rFonts w:ascii="Verdana" w:hAnsi="Verdana"/>
        </w:rPr>
        <w:t>es order cycle time, even at the expense of efficiency.</w:t>
      </w:r>
      <w:r w:rsidR="006E3232">
        <w:rPr>
          <w:rFonts w:ascii="Verdana" w:hAnsi="Verdana"/>
        </w:rPr>
        <w:t xml:space="preserve"> </w:t>
      </w:r>
    </w:p>
    <w:p w:rsidR="009B06E7" w:rsidRPr="00426E54" w:rsidRDefault="009B06E7" w:rsidP="00862388">
      <w:pPr>
        <w:pStyle w:val="Heading3"/>
        <w:spacing w:line="360" w:lineRule="auto"/>
        <w:ind w:left="709"/>
        <w:jc w:val="both"/>
        <w:rPr>
          <w:rFonts w:ascii="Verdana" w:hAnsi="Verdana"/>
          <w:i/>
          <w:iCs/>
          <w:color w:val="auto"/>
          <w:sz w:val="22"/>
          <w:szCs w:val="22"/>
        </w:rPr>
      </w:pPr>
      <w:bookmarkStart w:id="19" w:name="_Toc133778865"/>
      <w:r w:rsidRPr="00426E54">
        <w:rPr>
          <w:rFonts w:ascii="Verdana" w:hAnsi="Verdana"/>
          <w:i/>
          <w:iCs/>
          <w:color w:val="auto"/>
          <w:sz w:val="22"/>
          <w:szCs w:val="22"/>
        </w:rPr>
        <w:lastRenderedPageBreak/>
        <w:t>Figure 12: Fis</w:t>
      </w:r>
      <w:r w:rsidR="009717EC" w:rsidRPr="00426E54">
        <w:rPr>
          <w:rFonts w:ascii="Verdana" w:hAnsi="Verdana"/>
          <w:i/>
          <w:iCs/>
          <w:color w:val="auto"/>
          <w:sz w:val="22"/>
          <w:szCs w:val="22"/>
        </w:rPr>
        <w:t>her’s framework, Matching supply chain</w:t>
      </w:r>
      <w:r w:rsidR="00AC1694">
        <w:rPr>
          <w:rFonts w:ascii="Verdana" w:hAnsi="Verdana"/>
          <w:i/>
          <w:iCs/>
          <w:color w:val="auto"/>
          <w:sz w:val="22"/>
          <w:szCs w:val="22"/>
        </w:rPr>
        <w:t>s</w:t>
      </w:r>
      <w:r w:rsidR="009717EC" w:rsidRPr="00426E54">
        <w:rPr>
          <w:rFonts w:ascii="Verdana" w:hAnsi="Verdana"/>
          <w:i/>
          <w:iCs/>
          <w:color w:val="auto"/>
          <w:sz w:val="22"/>
          <w:szCs w:val="22"/>
        </w:rPr>
        <w:t xml:space="preserve"> with products</w:t>
      </w:r>
      <w:r w:rsidR="00426E54" w:rsidRPr="00426E54">
        <w:rPr>
          <w:rFonts w:ascii="Verdana" w:hAnsi="Verdana"/>
          <w:i/>
          <w:iCs/>
          <w:color w:val="auto"/>
          <w:sz w:val="22"/>
          <w:szCs w:val="22"/>
        </w:rPr>
        <w:t xml:space="preserve"> (Fisher, 1997)</w:t>
      </w:r>
      <w:bookmarkEnd w:id="19"/>
    </w:p>
    <w:p w:rsidR="00426E54" w:rsidRDefault="00426E54" w:rsidP="00862388">
      <w:pPr>
        <w:spacing w:line="360" w:lineRule="auto"/>
        <w:ind w:left="709"/>
        <w:jc w:val="both"/>
        <w:rPr>
          <w:rFonts w:ascii="Verdana" w:hAnsi="Verdana"/>
        </w:rPr>
      </w:pPr>
      <w:r w:rsidRPr="00426E54">
        <w:rPr>
          <w:rFonts w:ascii="Verdana" w:hAnsi="Verdana"/>
          <w:noProof/>
        </w:rPr>
        <w:drawing>
          <wp:inline distT="0" distB="0" distL="0" distR="0" wp14:anchorId="77DFD09E" wp14:editId="60532639">
            <wp:extent cx="4363059" cy="2772162"/>
            <wp:effectExtent l="0" t="0" r="0" b="952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9"/>
                    <a:stretch>
                      <a:fillRect/>
                    </a:stretch>
                  </pic:blipFill>
                  <pic:spPr>
                    <a:xfrm>
                      <a:off x="0" y="0"/>
                      <a:ext cx="4363059" cy="2772162"/>
                    </a:xfrm>
                    <a:prstGeom prst="rect">
                      <a:avLst/>
                    </a:prstGeom>
                  </pic:spPr>
                </pic:pic>
              </a:graphicData>
            </a:graphic>
          </wp:inline>
        </w:drawing>
      </w:r>
    </w:p>
    <w:p w:rsidR="00AD3B29" w:rsidRPr="00AD3B29" w:rsidRDefault="008779D7" w:rsidP="00AD3B29">
      <w:pPr>
        <w:spacing w:line="360" w:lineRule="auto"/>
        <w:ind w:left="709"/>
        <w:jc w:val="both"/>
        <w:rPr>
          <w:rFonts w:ascii="Verdana" w:hAnsi="Verdana"/>
        </w:rPr>
      </w:pPr>
      <w:r w:rsidRPr="008779D7">
        <w:rPr>
          <w:rFonts w:ascii="Verdana" w:hAnsi="Verdana"/>
        </w:rPr>
        <w:t xml:space="preserve">According to Fisher's (1997) model, a lean supply chain approach focuses on reducing supply chain costs by efficiently managing inventory and enhancing supply chain quality, thereby eliminating waste (Huang et al., 2002; Christopher and </w:t>
      </w:r>
      <w:proofErr w:type="spellStart"/>
      <w:r w:rsidRPr="008779D7">
        <w:rPr>
          <w:rFonts w:ascii="Verdana" w:hAnsi="Verdana"/>
        </w:rPr>
        <w:t>Towill</w:t>
      </w:r>
      <w:proofErr w:type="spellEnd"/>
      <w:r w:rsidRPr="008779D7">
        <w:rPr>
          <w:rFonts w:ascii="Verdana" w:hAnsi="Verdana"/>
        </w:rPr>
        <w:t xml:space="preserve">, 2000). Lean supply chain advocates may adopt a just-in-time strategy, which aims to deliver the correct amount of materials at the right time and </w:t>
      </w:r>
      <w:r w:rsidR="00AF3A2D" w:rsidRPr="008779D7">
        <w:rPr>
          <w:rFonts w:ascii="Verdana" w:hAnsi="Verdana"/>
        </w:rPr>
        <w:t>place and</w:t>
      </w:r>
      <w:r w:rsidRPr="008779D7">
        <w:rPr>
          <w:rFonts w:ascii="Verdana" w:hAnsi="Verdana"/>
        </w:rPr>
        <w:t xml:space="preserve"> may choose suppliers based on quality to achieve cost savings (Borgstrom and Hertz, 2011; Qi et al., 2009). </w:t>
      </w:r>
      <w:r w:rsidR="00CC0F24">
        <w:rPr>
          <w:rFonts w:ascii="Verdana" w:hAnsi="Verdana"/>
        </w:rPr>
        <w:t>On the other hand</w:t>
      </w:r>
      <w:r w:rsidR="004B07DB" w:rsidRPr="004B07DB">
        <w:rPr>
          <w:rFonts w:ascii="Verdana" w:hAnsi="Verdana"/>
        </w:rPr>
        <w:t>, an agile supply chain strategy aims to be flexible by adapting rapidly and effectively to ever-changing customer demands</w:t>
      </w:r>
      <w:r w:rsidR="00AD3DA0" w:rsidRPr="00AD3DA0">
        <w:rPr>
          <w:rFonts w:ascii="Verdana" w:hAnsi="Verdana"/>
        </w:rPr>
        <w:t xml:space="preserve"> (Huang et al., 2002; Christopher and </w:t>
      </w:r>
      <w:proofErr w:type="spellStart"/>
      <w:r w:rsidR="00AD3DA0" w:rsidRPr="00AD3DA0">
        <w:rPr>
          <w:rFonts w:ascii="Verdana" w:hAnsi="Verdana"/>
        </w:rPr>
        <w:t>Towill</w:t>
      </w:r>
      <w:proofErr w:type="spellEnd"/>
      <w:r w:rsidR="00AD3DA0" w:rsidRPr="00AD3DA0">
        <w:rPr>
          <w:rFonts w:ascii="Verdana" w:hAnsi="Verdana"/>
        </w:rPr>
        <w:t>, 2000; Lin et al., 2006). In order to offer supply chains with the ability to deliver customised goods to clients, an agile approach implements a "wait-and-see" method to demand, avoiding product commitments until demand becomes transparent (Goldsby et al., 2006).</w:t>
      </w:r>
      <w:r w:rsidR="00FD4F79">
        <w:rPr>
          <w:rFonts w:ascii="Verdana" w:hAnsi="Verdana"/>
        </w:rPr>
        <w:t xml:space="preserve"> Moreover, for </w:t>
      </w:r>
      <w:r w:rsidR="00B66609">
        <w:rPr>
          <w:rFonts w:ascii="Verdana" w:hAnsi="Verdana"/>
        </w:rPr>
        <w:t>the purpose of enhancing</w:t>
      </w:r>
      <w:r w:rsidR="00B66609" w:rsidRPr="00B66609">
        <w:rPr>
          <w:rFonts w:ascii="Verdana" w:hAnsi="Verdana"/>
        </w:rPr>
        <w:t xml:space="preserve"> the responsiveness of the supply chain in a constantly changing market, an agile approach requires a larger capacity buffer to be maintained, as suggested by Qi et al. (2009).</w:t>
      </w:r>
      <w:r w:rsidR="00DD01DA">
        <w:rPr>
          <w:rFonts w:ascii="Verdana" w:hAnsi="Verdana"/>
        </w:rPr>
        <w:t xml:space="preserve"> </w:t>
      </w:r>
    </w:p>
    <w:p w:rsidR="00DD01DA" w:rsidRPr="00DD01DA" w:rsidRDefault="00AD3B29" w:rsidP="00AD3B29">
      <w:pPr>
        <w:spacing w:line="360" w:lineRule="auto"/>
        <w:ind w:left="709"/>
        <w:jc w:val="both"/>
        <w:rPr>
          <w:rFonts w:ascii="Verdana" w:hAnsi="Verdana"/>
        </w:rPr>
      </w:pPr>
      <w:r w:rsidRPr="00AD3B29">
        <w:rPr>
          <w:rFonts w:ascii="Verdana" w:hAnsi="Verdana"/>
        </w:rPr>
        <w:t>Fisher (1997) emphasi</w:t>
      </w:r>
      <w:r w:rsidR="00DD5812">
        <w:rPr>
          <w:rFonts w:ascii="Verdana" w:hAnsi="Verdana"/>
        </w:rPr>
        <w:t>s</w:t>
      </w:r>
      <w:r w:rsidRPr="00AD3B29">
        <w:rPr>
          <w:rFonts w:ascii="Verdana" w:hAnsi="Verdana"/>
        </w:rPr>
        <w:t xml:space="preserve">es the importance of aligning the supply chain structure with product demand dynamics. The incorporation of principles of uncertainty, trade-offs, and buffering mechanisms such as inventory, capacity, and time is essential. This model suggests that an efficient supply chain is suitable for functional products with low customer demand variability, while responsive </w:t>
      </w:r>
      <w:r w:rsidRPr="00AD3B29">
        <w:rPr>
          <w:rFonts w:ascii="Verdana" w:hAnsi="Verdana"/>
        </w:rPr>
        <w:lastRenderedPageBreak/>
        <w:t>supply chains are better suited for innovative products with high demand uncertainty. Functional products are characteri</w:t>
      </w:r>
      <w:r w:rsidR="00DD5812">
        <w:rPr>
          <w:rFonts w:ascii="Verdana" w:hAnsi="Verdana"/>
        </w:rPr>
        <w:t>s</w:t>
      </w:r>
      <w:r w:rsidRPr="00AD3B29">
        <w:rPr>
          <w:rFonts w:ascii="Verdana" w:hAnsi="Verdana"/>
        </w:rPr>
        <w:t>ed by stable and predictable demand and are considered staple items that meet basic customer needs, whereas innovative products are unique and designed to meet special customer needs, making demand unpredictable and difficult to forecast. Cost-wise, functional products are associated with physical costs such as production, transportation, and inventory, while innovative products have market mediation costs caused by missed sales opportunities and dissatisfied customers</w:t>
      </w:r>
      <w:r>
        <w:rPr>
          <w:rFonts w:ascii="Verdana" w:hAnsi="Verdana"/>
        </w:rPr>
        <w:t xml:space="preserve"> </w:t>
      </w:r>
      <w:r w:rsidRPr="00AD3B29">
        <w:rPr>
          <w:rFonts w:ascii="Verdana" w:hAnsi="Verdana"/>
        </w:rPr>
        <w:t>(Fisher, 1997). When supply exceeds demand, the company may need to implement sales at a discounted price to clear inventory.</w:t>
      </w:r>
      <w:r w:rsidR="00DD01DA" w:rsidRPr="00DD01DA">
        <w:rPr>
          <w:rFonts w:ascii="Verdana" w:hAnsi="Verdana"/>
        </w:rPr>
        <w:t xml:space="preserve"> Conversely, when demand exceeds supply, the company loses customers to its competitors</w:t>
      </w:r>
      <w:r w:rsidR="00CC0F24">
        <w:rPr>
          <w:rFonts w:ascii="Verdana" w:hAnsi="Verdana"/>
        </w:rPr>
        <w:t xml:space="preserve"> </w:t>
      </w:r>
      <w:r w:rsidR="00DD01DA" w:rsidRPr="00DD01DA">
        <w:rPr>
          <w:rFonts w:ascii="Verdana" w:hAnsi="Verdana"/>
        </w:rPr>
        <w:t>(Fisher, 1997)</w:t>
      </w:r>
      <w:r w:rsidR="00CC0F24">
        <w:rPr>
          <w:rFonts w:ascii="Verdana" w:hAnsi="Verdana"/>
        </w:rPr>
        <w:t>.</w:t>
      </w:r>
    </w:p>
    <w:p w:rsidR="00CB1B70" w:rsidRDefault="00CB1B70" w:rsidP="00AD3B29">
      <w:pPr>
        <w:spacing w:line="360" w:lineRule="auto"/>
        <w:ind w:left="709"/>
        <w:jc w:val="both"/>
        <w:rPr>
          <w:rFonts w:ascii="Verdana" w:hAnsi="Verdana"/>
        </w:rPr>
      </w:pPr>
      <w:r>
        <w:rPr>
          <w:rFonts w:ascii="Verdana" w:hAnsi="Verdana"/>
        </w:rPr>
        <w:t xml:space="preserve">In </w:t>
      </w:r>
      <w:r w:rsidR="00C372D6">
        <w:rPr>
          <w:rFonts w:ascii="Verdana" w:hAnsi="Verdana"/>
        </w:rPr>
        <w:t>this case</w:t>
      </w:r>
      <w:r>
        <w:rPr>
          <w:rFonts w:ascii="Verdana" w:hAnsi="Verdana"/>
        </w:rPr>
        <w:t>,</w:t>
      </w:r>
      <w:r w:rsidR="00C372D6">
        <w:rPr>
          <w:rFonts w:ascii="Verdana" w:hAnsi="Verdana"/>
        </w:rPr>
        <w:t xml:space="preserve"> </w:t>
      </w:r>
      <w:r w:rsidR="00C372D6" w:rsidRPr="00C372D6">
        <w:rPr>
          <w:rFonts w:ascii="Verdana" w:hAnsi="Verdana"/>
        </w:rPr>
        <w:t>the selection of the product colo</w:t>
      </w:r>
      <w:r w:rsidR="00C372D6">
        <w:rPr>
          <w:rFonts w:ascii="Verdana" w:hAnsi="Verdana"/>
        </w:rPr>
        <w:t>u</w:t>
      </w:r>
      <w:r w:rsidR="00C372D6" w:rsidRPr="00C372D6">
        <w:rPr>
          <w:rFonts w:ascii="Verdana" w:hAnsi="Verdana"/>
        </w:rPr>
        <w:t xml:space="preserve">r is made by the customers at the time of placing their order, which restricts the use of Assemble-to-Order (ATO) or </w:t>
      </w:r>
      <w:proofErr w:type="spellStart"/>
      <w:r w:rsidR="00C372D6" w:rsidRPr="00C372D6">
        <w:rPr>
          <w:rFonts w:ascii="Verdana" w:hAnsi="Verdana"/>
        </w:rPr>
        <w:t>Leagile</w:t>
      </w:r>
      <w:proofErr w:type="spellEnd"/>
      <w:r w:rsidR="00C372D6" w:rsidRPr="00C372D6">
        <w:rPr>
          <w:rFonts w:ascii="Verdana" w:hAnsi="Verdana"/>
        </w:rPr>
        <w:t xml:space="preserve"> supply approaches (</w:t>
      </w:r>
      <w:proofErr w:type="spellStart"/>
      <w:r w:rsidR="00C372D6" w:rsidRPr="00C372D6">
        <w:rPr>
          <w:rFonts w:ascii="Verdana" w:hAnsi="Verdana"/>
        </w:rPr>
        <w:t>Olhager</w:t>
      </w:r>
      <w:proofErr w:type="spellEnd"/>
      <w:r w:rsidR="00C372D6" w:rsidRPr="00C372D6">
        <w:rPr>
          <w:rFonts w:ascii="Verdana" w:hAnsi="Verdana"/>
        </w:rPr>
        <w:t xml:space="preserve">, 2003; Mason-Jones et al., 2000). The company's operations are based on a Make-to-Order (MTO) environment, which increases the difficulty of managing demand uncertainty. </w:t>
      </w:r>
      <w:r w:rsidR="00AD3B29" w:rsidRPr="00AD3B29">
        <w:rPr>
          <w:rFonts w:ascii="Verdana" w:hAnsi="Verdana"/>
        </w:rPr>
        <w:t>To ensure operational stability, the company may require an escalation function for buffer management to identify when the system begins to exhibit chaos (</w:t>
      </w:r>
      <w:proofErr w:type="spellStart"/>
      <w:r w:rsidR="00AD3B29" w:rsidRPr="00AD3B29">
        <w:rPr>
          <w:rFonts w:ascii="Verdana" w:hAnsi="Verdana"/>
        </w:rPr>
        <w:t>Olhager</w:t>
      </w:r>
      <w:proofErr w:type="spellEnd"/>
      <w:r w:rsidR="00AD3B29" w:rsidRPr="00AD3B29">
        <w:rPr>
          <w:rFonts w:ascii="Verdana" w:hAnsi="Verdana"/>
        </w:rPr>
        <w:t>, 2003)</w:t>
      </w:r>
      <w:r w:rsidR="00C372D6" w:rsidRPr="00C372D6">
        <w:rPr>
          <w:rFonts w:ascii="Verdana" w:hAnsi="Verdana"/>
        </w:rPr>
        <w:t>.</w:t>
      </w:r>
      <w:r w:rsidR="00C372D6">
        <w:rPr>
          <w:rFonts w:ascii="Verdana" w:hAnsi="Verdana"/>
        </w:rPr>
        <w:t xml:space="preserve"> In addition,</w:t>
      </w:r>
      <w:r w:rsidR="00F60192">
        <w:rPr>
          <w:rFonts w:ascii="Verdana" w:hAnsi="Verdana"/>
        </w:rPr>
        <w:t xml:space="preserve"> Make-To-Order (MTO) business model in terms of supply chain</w:t>
      </w:r>
      <w:r w:rsidR="00262DFA">
        <w:rPr>
          <w:rFonts w:ascii="Verdana" w:hAnsi="Verdana"/>
        </w:rPr>
        <w:t xml:space="preserve"> which</w:t>
      </w:r>
      <w:r w:rsidR="00262DFA" w:rsidRPr="00262DFA">
        <w:rPr>
          <w:rFonts w:ascii="Verdana" w:hAnsi="Verdana"/>
        </w:rPr>
        <w:t xml:space="preserve"> offers several benefits such as reduced inventory costs, increased flexibility, and improved customer satisfaction (Vonderembse et al., 2006; Grawe et al., 2013). In this model, products are manufactured only when customer orders are received, which eliminates the need for maintaining large inventory levels. This reduces the holding costs and associated risks of inventory obsolescence or spoilage. Additionally, the MTO model allows for greater flexibility in responding to customer demands by producing customi</w:t>
      </w:r>
      <w:r w:rsidR="00DD5812">
        <w:rPr>
          <w:rFonts w:ascii="Verdana" w:hAnsi="Verdana"/>
        </w:rPr>
        <w:t>s</w:t>
      </w:r>
      <w:r w:rsidR="00262DFA" w:rsidRPr="00262DFA">
        <w:rPr>
          <w:rFonts w:ascii="Verdana" w:hAnsi="Verdana"/>
        </w:rPr>
        <w:t>ed products according to their specific requirements. This leads to improved customer satisfaction and loyalty, which is a critical factor for long-term success in the market (Grawe et al., 2013).</w:t>
      </w:r>
    </w:p>
    <w:p w:rsidR="005B0F30" w:rsidRPr="001F04A8" w:rsidRDefault="00D44055" w:rsidP="00862388">
      <w:pPr>
        <w:pStyle w:val="Heading1"/>
        <w:numPr>
          <w:ilvl w:val="0"/>
          <w:numId w:val="3"/>
        </w:numPr>
        <w:spacing w:line="360" w:lineRule="auto"/>
        <w:jc w:val="both"/>
        <w:rPr>
          <w:rFonts w:ascii="Verdana" w:hAnsi="Verdana"/>
          <w:b/>
          <w:color w:val="auto"/>
          <w:sz w:val="22"/>
          <w:szCs w:val="22"/>
        </w:rPr>
      </w:pPr>
      <w:bookmarkStart w:id="20" w:name="_Toc133778866"/>
      <w:bookmarkEnd w:id="3"/>
      <w:r>
        <w:rPr>
          <w:rFonts w:ascii="Verdana" w:hAnsi="Verdana"/>
          <w:b/>
          <w:color w:val="auto"/>
          <w:sz w:val="22"/>
          <w:szCs w:val="22"/>
        </w:rPr>
        <w:t>Predictions of Sales and Demand</w:t>
      </w:r>
      <w:bookmarkEnd w:id="20"/>
      <w:r>
        <w:rPr>
          <w:rFonts w:ascii="Verdana" w:hAnsi="Verdana"/>
          <w:b/>
          <w:color w:val="auto"/>
          <w:sz w:val="22"/>
          <w:szCs w:val="22"/>
        </w:rPr>
        <w:t xml:space="preserve"> </w:t>
      </w:r>
    </w:p>
    <w:p w:rsidR="00844AB7" w:rsidRDefault="00844AB7" w:rsidP="00862388">
      <w:pPr>
        <w:spacing w:line="360" w:lineRule="auto"/>
        <w:ind w:left="709"/>
        <w:jc w:val="both"/>
        <w:rPr>
          <w:rFonts w:ascii="Verdana" w:hAnsi="Verdana"/>
        </w:rPr>
      </w:pPr>
      <w:bookmarkStart w:id="21" w:name="_Hlk133010386"/>
      <w:r w:rsidRPr="00844AB7">
        <w:rPr>
          <w:rFonts w:ascii="Verdana" w:hAnsi="Verdana"/>
        </w:rPr>
        <w:t xml:space="preserve">As per the findings of the exponential smoothing approach, there is a considerable anticipated increase in the sales of </w:t>
      </w:r>
      <w:proofErr w:type="spellStart"/>
      <w:r w:rsidRPr="00844AB7">
        <w:rPr>
          <w:rFonts w:ascii="Verdana" w:hAnsi="Verdana"/>
        </w:rPr>
        <w:t>planterware</w:t>
      </w:r>
      <w:proofErr w:type="spellEnd"/>
      <w:r w:rsidRPr="00844AB7">
        <w:rPr>
          <w:rFonts w:ascii="Verdana" w:hAnsi="Verdana"/>
        </w:rPr>
        <w:t xml:space="preserve"> and special colo</w:t>
      </w:r>
      <w:r w:rsidR="006D7583">
        <w:rPr>
          <w:rFonts w:ascii="Verdana" w:hAnsi="Verdana"/>
        </w:rPr>
        <w:t>u</w:t>
      </w:r>
      <w:r w:rsidRPr="00844AB7">
        <w:rPr>
          <w:rFonts w:ascii="Verdana" w:hAnsi="Verdana"/>
        </w:rPr>
        <w:t xml:space="preserve">red self-watering planters in the upcoming year. It is projected that the </w:t>
      </w:r>
      <w:r w:rsidRPr="00844AB7">
        <w:rPr>
          <w:rFonts w:ascii="Verdana" w:hAnsi="Verdana"/>
        </w:rPr>
        <w:lastRenderedPageBreak/>
        <w:t xml:space="preserve">sales of </w:t>
      </w:r>
      <w:proofErr w:type="spellStart"/>
      <w:r w:rsidRPr="00844AB7">
        <w:rPr>
          <w:rFonts w:ascii="Verdana" w:hAnsi="Verdana"/>
        </w:rPr>
        <w:t>planterware</w:t>
      </w:r>
      <w:proofErr w:type="spellEnd"/>
      <w:r w:rsidRPr="00844AB7">
        <w:rPr>
          <w:rFonts w:ascii="Verdana" w:hAnsi="Verdana"/>
        </w:rPr>
        <w:t xml:space="preserve"> could exceed £</w:t>
      </w:r>
      <w:r w:rsidR="00EB2A08">
        <w:rPr>
          <w:rFonts w:ascii="Verdana" w:hAnsi="Verdana"/>
        </w:rPr>
        <w:t>351</w:t>
      </w:r>
      <w:r w:rsidRPr="00844AB7">
        <w:rPr>
          <w:rFonts w:ascii="Verdana" w:hAnsi="Verdana"/>
        </w:rPr>
        <w:t xml:space="preserve"> thousand</w:t>
      </w:r>
      <w:r w:rsidR="00D801A0">
        <w:rPr>
          <w:rFonts w:ascii="Verdana" w:hAnsi="Verdana"/>
        </w:rPr>
        <w:t xml:space="preserve"> in 201</w:t>
      </w:r>
      <w:r w:rsidR="00C10828">
        <w:rPr>
          <w:rFonts w:ascii="Verdana" w:hAnsi="Verdana"/>
        </w:rPr>
        <w:t>3</w:t>
      </w:r>
      <w:r w:rsidR="00D801A0">
        <w:rPr>
          <w:rFonts w:ascii="Verdana" w:hAnsi="Verdana"/>
        </w:rPr>
        <w:t xml:space="preserve"> and even more than £556 thousand</w:t>
      </w:r>
      <w:r w:rsidR="006834B0">
        <w:rPr>
          <w:rFonts w:ascii="Verdana" w:hAnsi="Verdana"/>
        </w:rPr>
        <w:t xml:space="preserve"> in 2015</w:t>
      </w:r>
      <w:r w:rsidRPr="00844AB7">
        <w:rPr>
          <w:rFonts w:ascii="Verdana" w:hAnsi="Verdana"/>
        </w:rPr>
        <w:t>, whereas the sales of special colo</w:t>
      </w:r>
      <w:r w:rsidR="00ED598A">
        <w:rPr>
          <w:rFonts w:ascii="Verdana" w:hAnsi="Verdana"/>
        </w:rPr>
        <w:t>u</w:t>
      </w:r>
      <w:r w:rsidRPr="00844AB7">
        <w:rPr>
          <w:rFonts w:ascii="Verdana" w:hAnsi="Verdana"/>
        </w:rPr>
        <w:t>red self-watering planters are anticipated to surpass £5</w:t>
      </w:r>
      <w:r w:rsidR="00266ED1">
        <w:rPr>
          <w:rFonts w:ascii="Verdana" w:hAnsi="Verdana"/>
        </w:rPr>
        <w:t>59</w:t>
      </w:r>
      <w:r w:rsidRPr="00844AB7">
        <w:rPr>
          <w:rFonts w:ascii="Verdana" w:hAnsi="Verdana"/>
        </w:rPr>
        <w:t xml:space="preserve"> thousand</w:t>
      </w:r>
      <w:r w:rsidR="00266ED1">
        <w:rPr>
          <w:rFonts w:ascii="Verdana" w:hAnsi="Verdana"/>
        </w:rPr>
        <w:t xml:space="preserve"> in 201</w:t>
      </w:r>
      <w:r w:rsidR="00C10828">
        <w:rPr>
          <w:rFonts w:ascii="Verdana" w:hAnsi="Verdana"/>
        </w:rPr>
        <w:t>3</w:t>
      </w:r>
      <w:r w:rsidR="003B4708">
        <w:rPr>
          <w:rFonts w:ascii="Verdana" w:hAnsi="Verdana"/>
        </w:rPr>
        <w:t>.</w:t>
      </w:r>
    </w:p>
    <w:p w:rsidR="00330054" w:rsidRPr="006834B0" w:rsidRDefault="00330054" w:rsidP="00862388">
      <w:pPr>
        <w:pStyle w:val="Heading3"/>
        <w:spacing w:line="360" w:lineRule="auto"/>
        <w:ind w:left="709"/>
        <w:jc w:val="both"/>
        <w:rPr>
          <w:rFonts w:ascii="Verdana" w:hAnsi="Verdana"/>
          <w:i/>
          <w:iCs/>
          <w:color w:val="auto"/>
          <w:sz w:val="22"/>
          <w:szCs w:val="22"/>
        </w:rPr>
      </w:pPr>
      <w:bookmarkStart w:id="22" w:name="_Toc133778867"/>
      <w:r w:rsidRPr="006834B0">
        <w:rPr>
          <w:rFonts w:ascii="Verdana" w:hAnsi="Verdana"/>
          <w:i/>
          <w:iCs/>
          <w:color w:val="auto"/>
          <w:sz w:val="22"/>
          <w:szCs w:val="22"/>
        </w:rPr>
        <w:t xml:space="preserve">Figure </w:t>
      </w:r>
      <w:r w:rsidR="00BE736F" w:rsidRPr="006834B0">
        <w:rPr>
          <w:rFonts w:ascii="Verdana" w:hAnsi="Verdana"/>
          <w:i/>
          <w:iCs/>
          <w:color w:val="auto"/>
          <w:sz w:val="22"/>
          <w:szCs w:val="22"/>
        </w:rPr>
        <w:t>1</w:t>
      </w:r>
      <w:r w:rsidR="00A726C6">
        <w:rPr>
          <w:rFonts w:ascii="Verdana" w:hAnsi="Verdana"/>
          <w:i/>
          <w:iCs/>
          <w:color w:val="auto"/>
          <w:sz w:val="22"/>
          <w:szCs w:val="22"/>
        </w:rPr>
        <w:t>3</w:t>
      </w:r>
      <w:r w:rsidR="00BE736F" w:rsidRPr="006834B0">
        <w:rPr>
          <w:rFonts w:ascii="Verdana" w:hAnsi="Verdana"/>
          <w:i/>
          <w:iCs/>
          <w:color w:val="auto"/>
          <w:sz w:val="22"/>
          <w:szCs w:val="22"/>
        </w:rPr>
        <w:t xml:space="preserve">: </w:t>
      </w:r>
      <w:r w:rsidR="00E66E96" w:rsidRPr="006834B0">
        <w:rPr>
          <w:rFonts w:ascii="Verdana" w:hAnsi="Verdana"/>
          <w:i/>
          <w:iCs/>
          <w:color w:val="auto"/>
          <w:sz w:val="22"/>
          <w:szCs w:val="22"/>
        </w:rPr>
        <w:t xml:space="preserve">Sales forecast of </w:t>
      </w:r>
      <w:proofErr w:type="spellStart"/>
      <w:r w:rsidR="00E66E96" w:rsidRPr="006834B0">
        <w:rPr>
          <w:rFonts w:ascii="Verdana" w:hAnsi="Verdana"/>
          <w:i/>
          <w:iCs/>
          <w:color w:val="auto"/>
          <w:sz w:val="22"/>
          <w:szCs w:val="22"/>
        </w:rPr>
        <w:t>Planterware</w:t>
      </w:r>
      <w:proofErr w:type="spellEnd"/>
      <w:r w:rsidR="00E66E96" w:rsidRPr="006834B0">
        <w:rPr>
          <w:rFonts w:ascii="Verdana" w:hAnsi="Verdana"/>
          <w:i/>
          <w:iCs/>
          <w:color w:val="auto"/>
          <w:sz w:val="22"/>
          <w:szCs w:val="22"/>
        </w:rPr>
        <w:t xml:space="preserve"> products</w:t>
      </w:r>
      <w:bookmarkEnd w:id="22"/>
      <w:r w:rsidR="00E66E96" w:rsidRPr="006834B0">
        <w:rPr>
          <w:rFonts w:ascii="Verdana" w:hAnsi="Verdana"/>
          <w:i/>
          <w:iCs/>
          <w:color w:val="auto"/>
          <w:sz w:val="22"/>
          <w:szCs w:val="22"/>
        </w:rPr>
        <w:t xml:space="preserve"> </w:t>
      </w:r>
    </w:p>
    <w:p w:rsidR="00E66E96" w:rsidRPr="00844AB7" w:rsidRDefault="00E66E96" w:rsidP="00862388">
      <w:pPr>
        <w:spacing w:line="360" w:lineRule="auto"/>
        <w:ind w:left="709"/>
        <w:jc w:val="both"/>
        <w:rPr>
          <w:rFonts w:ascii="Verdana" w:hAnsi="Verdana"/>
        </w:rPr>
      </w:pPr>
      <w:r>
        <w:rPr>
          <w:rFonts w:ascii="Verdana" w:hAnsi="Verdana"/>
          <w:noProof/>
        </w:rPr>
        <w:drawing>
          <wp:inline distT="0" distB="0" distL="0" distR="0" wp14:anchorId="5C258F4A" wp14:editId="4D4CCC96">
            <wp:extent cx="5394457" cy="31188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1674" cy="3123072"/>
                    </a:xfrm>
                    <a:prstGeom prst="rect">
                      <a:avLst/>
                    </a:prstGeom>
                    <a:noFill/>
                  </pic:spPr>
                </pic:pic>
              </a:graphicData>
            </a:graphic>
          </wp:inline>
        </w:drawing>
      </w:r>
    </w:p>
    <w:p w:rsidR="00844AB7" w:rsidRPr="006647C1" w:rsidRDefault="00CA72F1" w:rsidP="00862388">
      <w:pPr>
        <w:pStyle w:val="Heading3"/>
        <w:spacing w:line="360" w:lineRule="auto"/>
        <w:ind w:left="709"/>
        <w:jc w:val="both"/>
        <w:rPr>
          <w:rFonts w:ascii="Verdana" w:hAnsi="Verdana"/>
          <w:i/>
          <w:iCs/>
          <w:color w:val="auto"/>
          <w:sz w:val="22"/>
          <w:szCs w:val="22"/>
        </w:rPr>
      </w:pPr>
      <w:bookmarkStart w:id="23" w:name="_Toc133778868"/>
      <w:r w:rsidRPr="006647C1">
        <w:rPr>
          <w:rFonts w:ascii="Verdana" w:hAnsi="Verdana"/>
          <w:i/>
          <w:iCs/>
          <w:color w:val="auto"/>
          <w:sz w:val="22"/>
          <w:szCs w:val="22"/>
        </w:rPr>
        <w:t>Figure 1</w:t>
      </w:r>
      <w:r w:rsidR="00A726C6">
        <w:rPr>
          <w:rFonts w:ascii="Verdana" w:hAnsi="Verdana"/>
          <w:i/>
          <w:iCs/>
          <w:color w:val="auto"/>
          <w:sz w:val="22"/>
          <w:szCs w:val="22"/>
        </w:rPr>
        <w:t>4</w:t>
      </w:r>
      <w:r w:rsidRPr="006647C1">
        <w:rPr>
          <w:rFonts w:ascii="Verdana" w:hAnsi="Verdana"/>
          <w:i/>
          <w:iCs/>
          <w:color w:val="auto"/>
          <w:sz w:val="22"/>
          <w:szCs w:val="22"/>
        </w:rPr>
        <w:t xml:space="preserve">: </w:t>
      </w:r>
      <w:r w:rsidR="006647C1">
        <w:rPr>
          <w:rFonts w:ascii="Verdana" w:hAnsi="Verdana"/>
          <w:i/>
          <w:iCs/>
          <w:color w:val="auto"/>
          <w:sz w:val="22"/>
          <w:szCs w:val="22"/>
        </w:rPr>
        <w:t>Sales forecast of Self-watering products with special colours</w:t>
      </w:r>
      <w:bookmarkEnd w:id="23"/>
    </w:p>
    <w:p w:rsidR="00CA72F1" w:rsidRPr="00844AB7" w:rsidRDefault="00266ED1" w:rsidP="00862388">
      <w:pPr>
        <w:spacing w:line="360" w:lineRule="auto"/>
        <w:ind w:left="709"/>
        <w:rPr>
          <w:rFonts w:ascii="Verdana" w:hAnsi="Verdana"/>
        </w:rPr>
      </w:pPr>
      <w:r>
        <w:rPr>
          <w:rFonts w:ascii="Verdana" w:hAnsi="Verdana"/>
          <w:noProof/>
        </w:rPr>
        <w:drawing>
          <wp:inline distT="0" distB="0" distL="0" distR="0" wp14:anchorId="3F6CDD03" wp14:editId="5F2B69FA">
            <wp:extent cx="5727939" cy="31560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9911" cy="3157091"/>
                    </a:xfrm>
                    <a:prstGeom prst="rect">
                      <a:avLst/>
                    </a:prstGeom>
                    <a:noFill/>
                  </pic:spPr>
                </pic:pic>
              </a:graphicData>
            </a:graphic>
          </wp:inline>
        </w:drawing>
      </w:r>
    </w:p>
    <w:p w:rsidR="00844AB7" w:rsidRDefault="00B379F0" w:rsidP="00862388">
      <w:pPr>
        <w:spacing w:line="360" w:lineRule="auto"/>
        <w:ind w:left="709"/>
        <w:jc w:val="both"/>
        <w:rPr>
          <w:rFonts w:ascii="Verdana" w:hAnsi="Verdana"/>
        </w:rPr>
      </w:pPr>
      <w:r w:rsidRPr="00B379F0">
        <w:rPr>
          <w:rFonts w:ascii="Verdana" w:hAnsi="Verdana"/>
        </w:rPr>
        <w:t xml:space="preserve">The surge in demand for innovative products is likely to improve the efficiency of the company's </w:t>
      </w:r>
      <w:r w:rsidR="00AD3B29" w:rsidRPr="00AD3B29">
        <w:rPr>
          <w:rFonts w:ascii="Verdana" w:hAnsi="Verdana"/>
        </w:rPr>
        <w:t xml:space="preserve">production process and increase their revenue. However, this surge in demand also poses a significant threat to the company's supply chain management. The increase in demand may put a strain on the capacity </w:t>
      </w:r>
      <w:r w:rsidR="00AD3B29" w:rsidRPr="00AD3B29">
        <w:rPr>
          <w:rFonts w:ascii="Verdana" w:hAnsi="Verdana"/>
        </w:rPr>
        <w:lastRenderedPageBreak/>
        <w:t>resources of the supply chain, especially since the company operates on a make-to-order (MTO) business model. In such a model, there is a risk of obsolescence and excess supplier costs, which require capacity buffering to mitigate. This, in turn, can impact the overall supply chain performance, and lead to delays in delivering products to customers, which could cause customer dissatisfaction and loss of business. Thus, the company needs to be proactive in anticipating the increased demand and plan accordingly to ensure that their supply chain is capable of meeting the demand while maintaining operational stability. This may involve implementing capacity buffering strategies and investing in new production technologies to increase their production capacity and streamline their supply chain processes</w:t>
      </w:r>
      <w:r w:rsidRPr="00B379F0">
        <w:rPr>
          <w:rFonts w:ascii="Verdana" w:hAnsi="Verdana"/>
        </w:rPr>
        <w:t>.</w:t>
      </w:r>
    </w:p>
    <w:p w:rsidR="00B379F0" w:rsidRPr="006F59C7" w:rsidRDefault="00B379F0" w:rsidP="00862388">
      <w:pPr>
        <w:pStyle w:val="Heading3"/>
        <w:spacing w:line="360" w:lineRule="auto"/>
        <w:ind w:left="709"/>
        <w:jc w:val="both"/>
        <w:rPr>
          <w:rFonts w:ascii="Verdana" w:hAnsi="Verdana"/>
          <w:i/>
          <w:iCs/>
          <w:color w:val="auto"/>
          <w:sz w:val="22"/>
          <w:szCs w:val="22"/>
        </w:rPr>
      </w:pPr>
      <w:bookmarkStart w:id="24" w:name="_Toc133778869"/>
      <w:r w:rsidRPr="006F59C7">
        <w:rPr>
          <w:rFonts w:ascii="Verdana" w:hAnsi="Verdana"/>
          <w:i/>
          <w:iCs/>
          <w:color w:val="auto"/>
          <w:sz w:val="22"/>
          <w:szCs w:val="22"/>
        </w:rPr>
        <w:t>Figure 1</w:t>
      </w:r>
      <w:r w:rsidR="00A726C6">
        <w:rPr>
          <w:rFonts w:ascii="Verdana" w:hAnsi="Verdana"/>
          <w:i/>
          <w:iCs/>
          <w:color w:val="auto"/>
          <w:sz w:val="22"/>
          <w:szCs w:val="22"/>
        </w:rPr>
        <w:t>5</w:t>
      </w:r>
      <w:r w:rsidRPr="006F59C7">
        <w:rPr>
          <w:rFonts w:ascii="Verdana" w:hAnsi="Verdana"/>
          <w:i/>
          <w:iCs/>
          <w:color w:val="auto"/>
          <w:sz w:val="22"/>
          <w:szCs w:val="22"/>
        </w:rPr>
        <w:t>:</w:t>
      </w:r>
      <w:r w:rsidR="0019558F" w:rsidRPr="006F59C7">
        <w:rPr>
          <w:rFonts w:ascii="Verdana" w:hAnsi="Verdana"/>
          <w:i/>
          <w:iCs/>
          <w:color w:val="auto"/>
          <w:sz w:val="22"/>
          <w:szCs w:val="22"/>
        </w:rPr>
        <w:t xml:space="preserve"> Typical </w:t>
      </w:r>
      <w:r w:rsidR="002E5781" w:rsidRPr="006F59C7">
        <w:rPr>
          <w:rFonts w:ascii="Verdana" w:hAnsi="Verdana"/>
          <w:i/>
          <w:iCs/>
          <w:color w:val="auto"/>
          <w:sz w:val="22"/>
          <w:szCs w:val="22"/>
        </w:rPr>
        <w:t xml:space="preserve">demand distribution for </w:t>
      </w:r>
      <w:r w:rsidR="006F59C7" w:rsidRPr="006F59C7">
        <w:rPr>
          <w:rFonts w:ascii="Verdana" w:hAnsi="Verdana"/>
          <w:i/>
          <w:iCs/>
          <w:color w:val="auto"/>
          <w:sz w:val="22"/>
          <w:szCs w:val="22"/>
        </w:rPr>
        <w:t>product family.</w:t>
      </w:r>
      <w:bookmarkEnd w:id="24"/>
      <w:r w:rsidR="006F59C7" w:rsidRPr="006F59C7">
        <w:rPr>
          <w:rFonts w:ascii="Verdana" w:hAnsi="Verdana"/>
          <w:i/>
          <w:iCs/>
          <w:color w:val="auto"/>
          <w:sz w:val="22"/>
          <w:szCs w:val="22"/>
        </w:rPr>
        <w:t xml:space="preserve"> </w:t>
      </w:r>
      <w:r w:rsidRPr="006F59C7">
        <w:rPr>
          <w:rFonts w:ascii="Verdana" w:hAnsi="Verdana"/>
          <w:i/>
          <w:iCs/>
          <w:color w:val="auto"/>
          <w:sz w:val="22"/>
          <w:szCs w:val="22"/>
        </w:rPr>
        <w:t xml:space="preserve"> </w:t>
      </w:r>
    </w:p>
    <w:p w:rsidR="0019558F" w:rsidRPr="00844AB7" w:rsidRDefault="0019558F" w:rsidP="00862388">
      <w:pPr>
        <w:spacing w:line="360" w:lineRule="auto"/>
        <w:ind w:left="709"/>
        <w:jc w:val="both"/>
        <w:rPr>
          <w:rFonts w:ascii="Verdana" w:hAnsi="Verdana"/>
        </w:rPr>
      </w:pPr>
      <w:r>
        <w:rPr>
          <w:rFonts w:ascii="Verdana" w:hAnsi="Verdana"/>
          <w:noProof/>
        </w:rPr>
        <w:drawing>
          <wp:inline distT="0" distB="0" distL="0" distR="0" wp14:anchorId="57DB4883" wp14:editId="79151A49">
            <wp:extent cx="5578475" cy="32372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8475" cy="3237230"/>
                    </a:xfrm>
                    <a:prstGeom prst="rect">
                      <a:avLst/>
                    </a:prstGeom>
                    <a:noFill/>
                  </pic:spPr>
                </pic:pic>
              </a:graphicData>
            </a:graphic>
          </wp:inline>
        </w:drawing>
      </w:r>
    </w:p>
    <w:p w:rsidR="00844AB7" w:rsidRDefault="00AC6701" w:rsidP="00862388">
      <w:pPr>
        <w:spacing w:line="360" w:lineRule="auto"/>
        <w:ind w:left="709"/>
        <w:jc w:val="both"/>
        <w:rPr>
          <w:rFonts w:ascii="Verdana" w:hAnsi="Verdana"/>
        </w:rPr>
      </w:pPr>
      <w:r w:rsidRPr="00AC6701">
        <w:rPr>
          <w:rFonts w:ascii="Verdana" w:hAnsi="Verdana"/>
        </w:rPr>
        <w:t xml:space="preserve">Furthermore, the demand for planters is seasonal, meaning that sales are heavily reliant on the time of year. </w:t>
      </w:r>
      <w:r w:rsidR="00EB13F2" w:rsidRPr="00EB13F2">
        <w:rPr>
          <w:rFonts w:ascii="Verdana" w:hAnsi="Verdana"/>
        </w:rPr>
        <w:t xml:space="preserve">Hence, the demand for planter products, which are primarily sold during Spring, puts significant pressure on the company's capacity during that period. The distribution of demand for planter and bin products throughout the year can be observed in Figure 14, which shows a clear seasonal pattern for planters. Specifically, planter sales surge during Spring (January to March) and remain steady throughout the Summer, before tapering off during Autumn and Winter. From February to August, the demand for planter products constitutes a significant proportion of the company's annual sales, with the peak demand period occurring in April and </w:t>
      </w:r>
      <w:r w:rsidR="00EB13F2" w:rsidRPr="00EB13F2">
        <w:rPr>
          <w:rFonts w:ascii="Verdana" w:hAnsi="Verdana"/>
        </w:rPr>
        <w:lastRenderedPageBreak/>
        <w:t>May, accounting for 36% of total yearly sales. In contrast, demand for bins follows an opposite trend to planters, which enables the company to handle both product families simultaneously. Nonetheless, bins are not seasonal products, and their demand may not be predictable in the future, posing a challenge to the company's capacity planning if the high demand for bins overlaps with the peak season of planters. The company's capacity constraint is also reflected in the product's due date performance, which currently stands at 95%, indicating that the company fulfils only 95% of customer orders by the promised due date</w:t>
      </w:r>
      <w:r w:rsidRPr="00AC6701">
        <w:rPr>
          <w:rFonts w:ascii="Verdana" w:hAnsi="Verdana"/>
        </w:rPr>
        <w:t xml:space="preserve">. </w:t>
      </w:r>
      <w:r w:rsidR="00AD3B29">
        <w:rPr>
          <w:rFonts w:ascii="Verdana" w:hAnsi="Verdana"/>
        </w:rPr>
        <w:t>As a result</w:t>
      </w:r>
      <w:r w:rsidRPr="00AC6701">
        <w:rPr>
          <w:rFonts w:ascii="Verdana" w:hAnsi="Verdana"/>
        </w:rPr>
        <w:t xml:space="preserve">, customers may seek other suppliers to fulfil their needs, increasing mediation costs as the company loses customers to competitors. Ultimately, </w:t>
      </w:r>
      <w:r w:rsidR="00EB13F2">
        <w:rPr>
          <w:rFonts w:ascii="Verdana" w:hAnsi="Verdana"/>
        </w:rPr>
        <w:t>t</w:t>
      </w:r>
      <w:r w:rsidR="00EB13F2" w:rsidRPr="00EB13F2">
        <w:rPr>
          <w:rFonts w:ascii="Verdana" w:hAnsi="Verdana"/>
        </w:rPr>
        <w:t xml:space="preserve">he sustainability of the company's sales performance in the future is uncertain due to the possibility of competitors replicating its innovative products, which would diminish the company's competitive advantage based on its make-to-order (MTO) business </w:t>
      </w:r>
      <w:proofErr w:type="gramStart"/>
      <w:r w:rsidR="00EB13F2" w:rsidRPr="00EB13F2">
        <w:rPr>
          <w:rFonts w:ascii="Verdana" w:hAnsi="Verdana"/>
        </w:rPr>
        <w:t>model.</w:t>
      </w:r>
      <w:r w:rsidRPr="00AC6701">
        <w:rPr>
          <w:rFonts w:ascii="Verdana" w:hAnsi="Verdana"/>
        </w:rPr>
        <w:t>.</w:t>
      </w:r>
      <w:proofErr w:type="gramEnd"/>
    </w:p>
    <w:p w:rsidR="00D25820" w:rsidRPr="00862388" w:rsidRDefault="00862388" w:rsidP="00862388">
      <w:pPr>
        <w:spacing w:line="360" w:lineRule="auto"/>
        <w:ind w:left="709"/>
        <w:jc w:val="both"/>
        <w:rPr>
          <w:rFonts w:ascii="Verdana" w:hAnsi="Verdana"/>
        </w:rPr>
      </w:pPr>
      <w:r w:rsidRPr="00862388">
        <w:rPr>
          <w:rFonts w:ascii="Verdana" w:hAnsi="Verdana"/>
        </w:rPr>
        <w:t>Utilizing a yearly total sales trend instead of a seasonal trend can display a more apparent pattern in demand prediction, as the seasonal ratio data remains constant. Figure 16 illustrates the predictions, indicating the potential for demand to either increase or decrease.</w:t>
      </w:r>
      <w:r w:rsidR="007C6AB1" w:rsidRPr="00862388">
        <w:rPr>
          <w:rFonts w:ascii="Verdana" w:hAnsi="Verdana"/>
        </w:rPr>
        <w:t xml:space="preserve"> </w:t>
      </w:r>
    </w:p>
    <w:p w:rsidR="00B35FDB" w:rsidRPr="00893797" w:rsidRDefault="00030FFB" w:rsidP="00862388">
      <w:pPr>
        <w:pStyle w:val="Heading3"/>
        <w:spacing w:line="360" w:lineRule="auto"/>
        <w:ind w:left="709"/>
        <w:jc w:val="both"/>
        <w:rPr>
          <w:rFonts w:ascii="Verdana" w:hAnsi="Verdana"/>
          <w:i/>
          <w:iCs/>
          <w:color w:val="auto"/>
          <w:sz w:val="22"/>
          <w:szCs w:val="22"/>
        </w:rPr>
      </w:pPr>
      <w:bookmarkStart w:id="25" w:name="_Toc133778870"/>
      <w:r w:rsidRPr="00893797">
        <w:rPr>
          <w:rFonts w:ascii="Verdana" w:hAnsi="Verdana"/>
          <w:i/>
          <w:iCs/>
          <w:color w:val="auto"/>
          <w:sz w:val="22"/>
          <w:szCs w:val="22"/>
        </w:rPr>
        <w:t>Figure 1</w:t>
      </w:r>
      <w:r w:rsidR="00A726C6">
        <w:rPr>
          <w:rFonts w:ascii="Verdana" w:hAnsi="Verdana"/>
          <w:i/>
          <w:iCs/>
          <w:color w:val="auto"/>
          <w:sz w:val="22"/>
          <w:szCs w:val="22"/>
        </w:rPr>
        <w:t>6</w:t>
      </w:r>
      <w:r w:rsidRPr="00893797">
        <w:rPr>
          <w:rFonts w:ascii="Verdana" w:hAnsi="Verdana"/>
          <w:i/>
          <w:iCs/>
          <w:color w:val="auto"/>
          <w:sz w:val="22"/>
          <w:szCs w:val="22"/>
        </w:rPr>
        <w:t xml:space="preserve">: </w:t>
      </w:r>
      <w:r w:rsidR="00C459F4" w:rsidRPr="00893797">
        <w:rPr>
          <w:rFonts w:ascii="Verdana" w:hAnsi="Verdana"/>
          <w:i/>
          <w:iCs/>
          <w:color w:val="auto"/>
          <w:sz w:val="22"/>
          <w:szCs w:val="22"/>
        </w:rPr>
        <w:t>3-year forecast for the demand of each product family.</w:t>
      </w:r>
      <w:bookmarkEnd w:id="25"/>
      <w:r w:rsidR="00C459F4" w:rsidRPr="00893797">
        <w:rPr>
          <w:rFonts w:ascii="Verdana" w:hAnsi="Verdana"/>
          <w:i/>
          <w:iCs/>
          <w:color w:val="auto"/>
          <w:sz w:val="22"/>
          <w:szCs w:val="22"/>
        </w:rPr>
        <w:t xml:space="preserve"> </w:t>
      </w:r>
    </w:p>
    <w:p w:rsidR="00C459F4" w:rsidRDefault="0081048B" w:rsidP="00862388">
      <w:pPr>
        <w:spacing w:line="360" w:lineRule="auto"/>
        <w:ind w:left="709"/>
        <w:jc w:val="both"/>
        <w:rPr>
          <w:rFonts w:ascii="Verdana" w:hAnsi="Verdana"/>
        </w:rPr>
      </w:pPr>
      <w:r>
        <w:rPr>
          <w:rFonts w:ascii="Verdana" w:hAnsi="Verdana"/>
          <w:noProof/>
        </w:rPr>
        <w:drawing>
          <wp:inline distT="0" distB="0" distL="0" distR="0" wp14:anchorId="7759E974" wp14:editId="66080499">
            <wp:extent cx="4537494" cy="286374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0649" cy="2878361"/>
                    </a:xfrm>
                    <a:prstGeom prst="rect">
                      <a:avLst/>
                    </a:prstGeom>
                    <a:noFill/>
                  </pic:spPr>
                </pic:pic>
              </a:graphicData>
            </a:graphic>
          </wp:inline>
        </w:drawing>
      </w:r>
    </w:p>
    <w:p w:rsidR="0081048B" w:rsidRDefault="0081048B" w:rsidP="00862388">
      <w:pPr>
        <w:spacing w:line="360" w:lineRule="auto"/>
        <w:ind w:left="709"/>
        <w:jc w:val="both"/>
        <w:rPr>
          <w:rFonts w:ascii="Verdana" w:hAnsi="Verdana"/>
        </w:rPr>
      </w:pPr>
      <w:r>
        <w:rPr>
          <w:rFonts w:ascii="Verdana" w:hAnsi="Verdana"/>
          <w:noProof/>
        </w:rPr>
        <w:lastRenderedPageBreak/>
        <w:drawing>
          <wp:inline distT="0" distB="0" distL="0" distR="0" wp14:anchorId="02703F2E" wp14:editId="75BE744D">
            <wp:extent cx="4537075" cy="30295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6668" cy="3042668"/>
                    </a:xfrm>
                    <a:prstGeom prst="rect">
                      <a:avLst/>
                    </a:prstGeom>
                    <a:noFill/>
                  </pic:spPr>
                </pic:pic>
              </a:graphicData>
            </a:graphic>
          </wp:inline>
        </w:drawing>
      </w:r>
    </w:p>
    <w:p w:rsidR="00893797" w:rsidRDefault="00893797" w:rsidP="00862388">
      <w:pPr>
        <w:spacing w:line="360" w:lineRule="auto"/>
        <w:ind w:left="709"/>
        <w:jc w:val="both"/>
        <w:rPr>
          <w:rFonts w:ascii="Verdana" w:hAnsi="Verdana"/>
        </w:rPr>
      </w:pPr>
      <w:r>
        <w:rPr>
          <w:rFonts w:ascii="Verdana" w:hAnsi="Verdana"/>
          <w:noProof/>
        </w:rPr>
        <w:drawing>
          <wp:inline distT="0" distB="0" distL="0" distR="0" wp14:anchorId="5543AA2D" wp14:editId="51EC7691">
            <wp:extent cx="4563373" cy="29584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6154" cy="2966751"/>
                    </a:xfrm>
                    <a:prstGeom prst="rect">
                      <a:avLst/>
                    </a:prstGeom>
                    <a:noFill/>
                  </pic:spPr>
                </pic:pic>
              </a:graphicData>
            </a:graphic>
          </wp:inline>
        </w:drawing>
      </w:r>
    </w:p>
    <w:p w:rsidR="005B0F30" w:rsidRDefault="00CD7309" w:rsidP="00862388">
      <w:pPr>
        <w:pStyle w:val="Heading1"/>
        <w:numPr>
          <w:ilvl w:val="0"/>
          <w:numId w:val="3"/>
        </w:numPr>
        <w:spacing w:line="360" w:lineRule="auto"/>
        <w:jc w:val="both"/>
        <w:rPr>
          <w:rFonts w:ascii="Verdana" w:hAnsi="Verdana"/>
          <w:b/>
          <w:color w:val="auto"/>
          <w:sz w:val="22"/>
          <w:szCs w:val="22"/>
        </w:rPr>
      </w:pPr>
      <w:bookmarkStart w:id="26" w:name="_Toc133778871"/>
      <w:bookmarkEnd w:id="21"/>
      <w:r>
        <w:rPr>
          <w:rFonts w:ascii="Verdana" w:hAnsi="Verdana"/>
          <w:b/>
          <w:color w:val="auto"/>
          <w:sz w:val="22"/>
          <w:szCs w:val="22"/>
        </w:rPr>
        <w:t>Recommendations</w:t>
      </w:r>
      <w:bookmarkEnd w:id="26"/>
      <w:r>
        <w:rPr>
          <w:rFonts w:ascii="Verdana" w:hAnsi="Verdana"/>
          <w:b/>
          <w:color w:val="auto"/>
          <w:sz w:val="22"/>
          <w:szCs w:val="22"/>
        </w:rPr>
        <w:t xml:space="preserve"> </w:t>
      </w:r>
    </w:p>
    <w:p w:rsidR="00CF1277" w:rsidRPr="0040012B" w:rsidRDefault="00432557" w:rsidP="00862388">
      <w:pPr>
        <w:pStyle w:val="ListParagraph"/>
        <w:numPr>
          <w:ilvl w:val="1"/>
          <w:numId w:val="3"/>
        </w:numPr>
        <w:spacing w:line="360" w:lineRule="auto"/>
        <w:ind w:left="1418" w:hanging="709"/>
        <w:jc w:val="both"/>
        <w:outlineLvl w:val="1"/>
        <w:rPr>
          <w:rFonts w:ascii="Verdana" w:hAnsi="Verdana"/>
          <w:i/>
          <w:iCs/>
          <w:u w:val="single"/>
        </w:rPr>
      </w:pPr>
      <w:bookmarkStart w:id="27" w:name="_Toc133778872"/>
      <w:r>
        <w:rPr>
          <w:rFonts w:ascii="Verdana" w:hAnsi="Verdana"/>
          <w:i/>
          <w:iCs/>
          <w:u w:val="single"/>
        </w:rPr>
        <w:t>C</w:t>
      </w:r>
      <w:r w:rsidR="0065396E" w:rsidRPr="0040012B">
        <w:rPr>
          <w:rFonts w:ascii="Verdana" w:hAnsi="Verdana"/>
          <w:i/>
          <w:iCs/>
          <w:u w:val="single"/>
        </w:rPr>
        <w:t xml:space="preserve">oordinated </w:t>
      </w:r>
      <w:r w:rsidR="002F0240" w:rsidRPr="0040012B">
        <w:rPr>
          <w:rFonts w:ascii="Verdana" w:hAnsi="Verdana"/>
          <w:i/>
          <w:iCs/>
          <w:u w:val="single"/>
        </w:rPr>
        <w:t>strategies.</w:t>
      </w:r>
      <w:bookmarkEnd w:id="27"/>
      <w:r w:rsidR="0065396E" w:rsidRPr="0040012B">
        <w:rPr>
          <w:rFonts w:ascii="Verdana" w:hAnsi="Verdana"/>
          <w:i/>
          <w:iCs/>
          <w:u w:val="single"/>
        </w:rPr>
        <w:t xml:space="preserve"> </w:t>
      </w:r>
    </w:p>
    <w:p w:rsidR="00E21FC2" w:rsidRDefault="00E6411D" w:rsidP="00862388">
      <w:pPr>
        <w:pStyle w:val="ListParagraph"/>
        <w:spacing w:line="360" w:lineRule="auto"/>
        <w:jc w:val="both"/>
        <w:rPr>
          <w:rFonts w:ascii="Verdana" w:hAnsi="Verdana"/>
        </w:rPr>
      </w:pPr>
      <w:r w:rsidRPr="00E6411D">
        <w:rPr>
          <w:rFonts w:ascii="Verdana" w:hAnsi="Verdana"/>
        </w:rPr>
        <w:t xml:space="preserve">According to the analysis results that reveal capacity constraints, forecasts indicating demand growth, and discussions on the possible consequences of misalignment, the current strategy of the company needs to be revised to avoid negative implications. As the company introduces new colours and product ranges, it is expected that the sales demand will continue to grow across all product families. </w:t>
      </w:r>
      <w:r w:rsidR="00EB13F2" w:rsidRPr="00EB13F2">
        <w:rPr>
          <w:rFonts w:ascii="Verdana" w:hAnsi="Verdana"/>
        </w:rPr>
        <w:t xml:space="preserve">Hence, it may be advantageous for the company to implement a strategy that separates functional and innovative products, enabling them to manage capacity constraints effectively. This can be </w:t>
      </w:r>
      <w:r w:rsidR="00EB13F2" w:rsidRPr="00EB13F2">
        <w:rPr>
          <w:rFonts w:ascii="Verdana" w:hAnsi="Verdana"/>
        </w:rPr>
        <w:lastRenderedPageBreak/>
        <w:t>accomplished by piloting an efficient supply chain strategy on a specific product and gradually expanding it to other products if successful. By doing so, the company can gain a better understanding of how to manage demand uncertainty and reduce the risk of obsolescence and excess supplier costs. Such an approach would also help the company maintain a competitive edge as it navigates through an increasingly dynamic market</w:t>
      </w:r>
      <w:r w:rsidRPr="00E6411D">
        <w:rPr>
          <w:rFonts w:ascii="Verdana" w:hAnsi="Verdana"/>
        </w:rPr>
        <w:t>.</w:t>
      </w:r>
      <w:r>
        <w:rPr>
          <w:rFonts w:ascii="Verdana" w:hAnsi="Verdana"/>
        </w:rPr>
        <w:t xml:space="preserve"> </w:t>
      </w:r>
      <w:r w:rsidR="00E21FC2" w:rsidRPr="00E21FC2">
        <w:rPr>
          <w:rFonts w:ascii="Verdana" w:hAnsi="Verdana"/>
        </w:rPr>
        <w:t xml:space="preserve">According to Fisher (1997), </w:t>
      </w:r>
      <w:r w:rsidR="008969B9">
        <w:rPr>
          <w:rFonts w:ascii="Verdana" w:hAnsi="Verdana"/>
        </w:rPr>
        <w:t>c</w:t>
      </w:r>
      <w:r w:rsidR="00E21FC2" w:rsidRPr="00E21FC2">
        <w:rPr>
          <w:rFonts w:ascii="Verdana" w:hAnsi="Verdana"/>
        </w:rPr>
        <w:t>oordinated strateg</w:t>
      </w:r>
      <w:r w:rsidR="008969B9">
        <w:rPr>
          <w:rFonts w:ascii="Verdana" w:hAnsi="Verdana"/>
        </w:rPr>
        <w:t>ies</w:t>
      </w:r>
      <w:r w:rsidR="00E21FC2" w:rsidRPr="00E21FC2">
        <w:rPr>
          <w:rFonts w:ascii="Verdana" w:hAnsi="Verdana"/>
        </w:rPr>
        <w:t xml:space="preserve"> can help balance inventory and service level costs, leading to optimal supply chain performance. MTO strategy can be implemented to reduce inventory levels and eliminate the need for unnecessary capacity by producing goods only when there is demand. </w:t>
      </w:r>
      <w:r w:rsidR="00507099">
        <w:rPr>
          <w:rFonts w:ascii="Verdana" w:hAnsi="Verdana"/>
        </w:rPr>
        <w:t xml:space="preserve">However, </w:t>
      </w:r>
      <w:r w:rsidR="00507099" w:rsidRPr="00507099">
        <w:rPr>
          <w:rFonts w:ascii="Verdana" w:hAnsi="Verdana"/>
        </w:rPr>
        <w:t>make-to-order (MTO) production strategy is suitable for products with a predictable level of demand (Zhang and Zhang, 2010). Therefore, by implementing MTA, companies can achieve better control over inventory levels and minimi</w:t>
      </w:r>
      <w:r w:rsidR="00507099">
        <w:rPr>
          <w:rFonts w:ascii="Verdana" w:hAnsi="Verdana"/>
        </w:rPr>
        <w:t>s</w:t>
      </w:r>
      <w:r w:rsidR="00507099" w:rsidRPr="00507099">
        <w:rPr>
          <w:rFonts w:ascii="Verdana" w:hAnsi="Verdana"/>
        </w:rPr>
        <w:t>e the risk of overproduction, while also improving delivery times through frequent replenishment (</w:t>
      </w:r>
      <w:proofErr w:type="spellStart"/>
      <w:r w:rsidR="00507099" w:rsidRPr="00507099">
        <w:rPr>
          <w:rFonts w:ascii="Verdana" w:hAnsi="Verdana"/>
        </w:rPr>
        <w:t>Mellat-Parast</w:t>
      </w:r>
      <w:proofErr w:type="spellEnd"/>
      <w:r w:rsidR="00507099" w:rsidRPr="00507099">
        <w:rPr>
          <w:rFonts w:ascii="Verdana" w:hAnsi="Verdana"/>
        </w:rPr>
        <w:t xml:space="preserve"> and Spillan, 2014).</w:t>
      </w:r>
      <w:r w:rsidR="0022396B">
        <w:rPr>
          <w:rFonts w:ascii="Verdana" w:hAnsi="Verdana"/>
        </w:rPr>
        <w:t xml:space="preserve"> </w:t>
      </w:r>
    </w:p>
    <w:p w:rsidR="0022396B" w:rsidRPr="0022396B" w:rsidRDefault="0022396B" w:rsidP="0022396B">
      <w:pPr>
        <w:pStyle w:val="ListParagraph"/>
        <w:spacing w:line="360" w:lineRule="auto"/>
        <w:jc w:val="both"/>
        <w:rPr>
          <w:rFonts w:ascii="Verdana" w:hAnsi="Verdana"/>
        </w:rPr>
      </w:pPr>
      <w:r w:rsidRPr="0022396B">
        <w:rPr>
          <w:rFonts w:ascii="Verdana" w:hAnsi="Verdana"/>
        </w:rPr>
        <w:t xml:space="preserve">Make-to-assemble (MTA) is a manufacturing strategy that focuses on producing components and subassemblies based on actual customer orders and assembling them into final products only when demand is </w:t>
      </w:r>
      <w:r w:rsidR="00DD5812">
        <w:rPr>
          <w:rFonts w:ascii="Verdana" w:hAnsi="Verdana"/>
        </w:rPr>
        <w:t>identified</w:t>
      </w:r>
      <w:r w:rsidRPr="0022396B">
        <w:rPr>
          <w:rFonts w:ascii="Verdana" w:hAnsi="Verdana"/>
        </w:rPr>
        <w:t>. In addition to reducing inventory levels and minimi</w:t>
      </w:r>
      <w:r w:rsidR="005D14BC">
        <w:rPr>
          <w:rFonts w:ascii="Verdana" w:hAnsi="Verdana"/>
        </w:rPr>
        <w:t>s</w:t>
      </w:r>
      <w:r w:rsidRPr="0022396B">
        <w:rPr>
          <w:rFonts w:ascii="Verdana" w:hAnsi="Verdana"/>
        </w:rPr>
        <w:t>ing the risk of overproduction, the MTA strategy also offers other benefits in aligning products with the supply chain. For instance, the MTA strategy enables companies to increase customization of products, reduce lead times, and improve customer service levels (Barnes and Greenfield, 2009). Moreover, MTA can also enable companies to better manage capacity constraints, by producing and stocking subassemblies with long lead times, and then assembling them into finished products only when customer orders are received (Rostami-Tabar et al., 2013). Another advantage of MTA is its ability to improve the coordination of supply chain activities by integrating suppliers, manufacturers, and distributors into a single system, thereby reducing transaction costs and improving supply chain performance (Gunasekaran et al., 2011). Furthermore, MTA can also lead to a reduction in the total cost of production, as it allows for better management of resources and production planning (</w:t>
      </w:r>
      <w:proofErr w:type="spellStart"/>
      <w:r w:rsidRPr="0022396B">
        <w:rPr>
          <w:rFonts w:ascii="Verdana" w:hAnsi="Verdana"/>
        </w:rPr>
        <w:t>Jharkharia</w:t>
      </w:r>
      <w:proofErr w:type="spellEnd"/>
      <w:r w:rsidRPr="0022396B">
        <w:rPr>
          <w:rFonts w:ascii="Verdana" w:hAnsi="Verdana"/>
        </w:rPr>
        <w:t xml:space="preserve"> and Shankar, 2007).</w:t>
      </w:r>
    </w:p>
    <w:p w:rsidR="008969B9" w:rsidRPr="00507099" w:rsidRDefault="008969B9" w:rsidP="00862388">
      <w:pPr>
        <w:pStyle w:val="ListParagraph"/>
        <w:spacing w:line="360" w:lineRule="auto"/>
        <w:jc w:val="both"/>
        <w:rPr>
          <w:rFonts w:ascii="Verdana" w:hAnsi="Verdana"/>
        </w:rPr>
      </w:pPr>
      <w:r w:rsidRPr="008969B9">
        <w:rPr>
          <w:rFonts w:ascii="Verdana" w:hAnsi="Verdana"/>
        </w:rPr>
        <w:t xml:space="preserve">The significance of lean supply in the supply chain literature was soon recognised as important in emphasizing demand stability throughout the </w:t>
      </w:r>
      <w:r w:rsidRPr="008969B9">
        <w:rPr>
          <w:rFonts w:ascii="Verdana" w:hAnsi="Verdana"/>
        </w:rPr>
        <w:lastRenderedPageBreak/>
        <w:t>supply chain (Ohno, 1988; Stalk and Hout, 1990). Fisher's (1997) research model, shown in Figure 1</w:t>
      </w:r>
      <w:r>
        <w:rPr>
          <w:rFonts w:ascii="Verdana" w:hAnsi="Verdana"/>
        </w:rPr>
        <w:t>2</w:t>
      </w:r>
      <w:r w:rsidRPr="008969B9">
        <w:rPr>
          <w:rFonts w:ascii="Verdana" w:hAnsi="Verdana"/>
        </w:rPr>
        <w:t xml:space="preserve">, highlighted the importance of aligning supply chain design with product demand, taking into account uncertainty, trade-offs, and buffering mechanisms (capacity, inventory, and customer tolerance time). Fisher's (1997) case research illustrated the trade-off between various levels of demand uncertainty and the decision between efficiency and responsiveness in supply chain design (Fisher et al., 1997). </w:t>
      </w:r>
      <w:r w:rsidR="00EB13F2" w:rsidRPr="00EB13F2">
        <w:rPr>
          <w:rFonts w:ascii="Verdana" w:hAnsi="Verdana"/>
        </w:rPr>
        <w:t>The notion of an efficient supply chain is connected to the idea of minimi</w:t>
      </w:r>
      <w:r w:rsidR="005D14BC">
        <w:rPr>
          <w:rFonts w:ascii="Verdana" w:hAnsi="Verdana"/>
        </w:rPr>
        <w:t>s</w:t>
      </w:r>
      <w:r w:rsidR="00EB13F2" w:rsidRPr="00EB13F2">
        <w:rPr>
          <w:rFonts w:ascii="Verdana" w:hAnsi="Verdana"/>
        </w:rPr>
        <w:t xml:space="preserve">ing buffering and is suitable for functional products that have minimal demand variability and uncertainty. On the other hand, innovative products have unpredictable demand and necessitate responsive supply chains that require strategic buffering. </w:t>
      </w:r>
      <w:proofErr w:type="spellStart"/>
      <w:r w:rsidR="00EB13F2" w:rsidRPr="00EB13F2">
        <w:rPr>
          <w:rFonts w:ascii="Verdana" w:hAnsi="Verdana"/>
        </w:rPr>
        <w:t>Hopp</w:t>
      </w:r>
      <w:proofErr w:type="spellEnd"/>
      <w:r w:rsidR="00EB13F2" w:rsidRPr="00EB13F2">
        <w:rPr>
          <w:rFonts w:ascii="Verdana" w:hAnsi="Verdana"/>
        </w:rPr>
        <w:t xml:space="preserve"> and Spearman (2000) explain that the concept of minimal buffering is integral to achieving an efficient supply chain, which is only feasible for functional products that have a stable and predictable demand. </w:t>
      </w:r>
      <w:r w:rsidR="00EB13F2">
        <w:rPr>
          <w:rFonts w:ascii="Verdana" w:hAnsi="Verdana"/>
        </w:rPr>
        <w:t>Nonetheless</w:t>
      </w:r>
      <w:r w:rsidR="00EB13F2" w:rsidRPr="00EB13F2">
        <w:rPr>
          <w:rFonts w:ascii="Verdana" w:hAnsi="Verdana"/>
        </w:rPr>
        <w:t>, innovative products often have uncertain demand patterns and require responsive supply chains with strategic buffering to handle fluctuations in demand</w:t>
      </w:r>
      <w:r w:rsidRPr="008969B9">
        <w:rPr>
          <w:rFonts w:ascii="Verdana" w:hAnsi="Verdana"/>
        </w:rPr>
        <w:t>.</w:t>
      </w:r>
    </w:p>
    <w:p w:rsidR="008969B9" w:rsidRDefault="008969B9" w:rsidP="00862388">
      <w:pPr>
        <w:pStyle w:val="ListParagraph"/>
        <w:numPr>
          <w:ilvl w:val="0"/>
          <w:numId w:val="16"/>
        </w:numPr>
        <w:spacing w:line="360" w:lineRule="auto"/>
        <w:jc w:val="both"/>
        <w:rPr>
          <w:rFonts w:ascii="Verdana" w:hAnsi="Verdana"/>
        </w:rPr>
      </w:pPr>
      <w:r>
        <w:rPr>
          <w:rFonts w:ascii="Verdana" w:hAnsi="Verdana"/>
        </w:rPr>
        <w:t>Separate</w:t>
      </w:r>
      <w:r w:rsidR="002C3C32">
        <w:rPr>
          <w:rFonts w:ascii="Verdana" w:hAnsi="Verdana"/>
        </w:rPr>
        <w:t xml:space="preserve">/ Postpone: </w:t>
      </w:r>
      <w:r w:rsidR="002C3C32" w:rsidRPr="002C3C32">
        <w:rPr>
          <w:rFonts w:ascii="Verdana" w:hAnsi="Verdana"/>
        </w:rPr>
        <w:t>To minimi</w:t>
      </w:r>
      <w:r w:rsidR="002C3C32">
        <w:rPr>
          <w:rFonts w:ascii="Verdana" w:hAnsi="Verdana"/>
        </w:rPr>
        <w:t>s</w:t>
      </w:r>
      <w:r w:rsidR="002C3C32" w:rsidRPr="002C3C32">
        <w:rPr>
          <w:rFonts w:ascii="Verdana" w:hAnsi="Verdana"/>
        </w:rPr>
        <w:t>e the impact of demand uncertainty, it is recommended to separate functional products with stable demand from innovative products with uncertain demand and postpone distribution until demand is reali</w:t>
      </w:r>
      <w:r w:rsidR="002C3C32">
        <w:rPr>
          <w:rFonts w:ascii="Verdana" w:hAnsi="Verdana"/>
        </w:rPr>
        <w:t>s</w:t>
      </w:r>
      <w:r w:rsidR="002C3C32" w:rsidRPr="002C3C32">
        <w:rPr>
          <w:rFonts w:ascii="Verdana" w:hAnsi="Verdana"/>
        </w:rPr>
        <w:t>ed through the use of make-to-availability (MTA) and third-party logistics (3PL) (Lee et al., 1997; Van Hoek, 2001).</w:t>
      </w:r>
      <w:r w:rsidR="002C3C32">
        <w:rPr>
          <w:rFonts w:ascii="Verdana" w:hAnsi="Verdana"/>
        </w:rPr>
        <w:t xml:space="preserve"> </w:t>
      </w:r>
      <w:r w:rsidR="002C3C32" w:rsidRPr="002C3C32">
        <w:rPr>
          <w:rFonts w:ascii="Verdana" w:hAnsi="Verdana"/>
        </w:rPr>
        <w:t>By delaying distribution until demand is known, companies can reduce inventory levels and minimi</w:t>
      </w:r>
      <w:r w:rsidR="002C3C32">
        <w:rPr>
          <w:rFonts w:ascii="Verdana" w:hAnsi="Verdana"/>
        </w:rPr>
        <w:t>s</w:t>
      </w:r>
      <w:r w:rsidR="002C3C32" w:rsidRPr="002C3C32">
        <w:rPr>
          <w:rFonts w:ascii="Verdana" w:hAnsi="Verdana"/>
        </w:rPr>
        <w:t>e the risk of overproduction, while also increasing the speed of replenishment through frequent low-batch replenishment (</w:t>
      </w:r>
      <w:proofErr w:type="spellStart"/>
      <w:r w:rsidR="002C3C32" w:rsidRPr="002C3C32">
        <w:rPr>
          <w:rFonts w:ascii="Verdana" w:hAnsi="Verdana"/>
        </w:rPr>
        <w:t>Mellat-Parast</w:t>
      </w:r>
      <w:proofErr w:type="spellEnd"/>
      <w:r w:rsidR="002C3C32" w:rsidRPr="002C3C32">
        <w:rPr>
          <w:rFonts w:ascii="Verdana" w:hAnsi="Verdana"/>
        </w:rPr>
        <w:t xml:space="preserve"> and Spillan, 2014).</w:t>
      </w:r>
    </w:p>
    <w:p w:rsidR="00507099" w:rsidRDefault="00507099" w:rsidP="00862388">
      <w:pPr>
        <w:pStyle w:val="ListParagraph"/>
        <w:numPr>
          <w:ilvl w:val="0"/>
          <w:numId w:val="16"/>
        </w:numPr>
        <w:spacing w:line="360" w:lineRule="auto"/>
        <w:jc w:val="both"/>
        <w:rPr>
          <w:rFonts w:ascii="Verdana" w:hAnsi="Verdana"/>
        </w:rPr>
      </w:pPr>
      <w:r>
        <w:rPr>
          <w:rFonts w:ascii="Verdana" w:hAnsi="Verdana"/>
        </w:rPr>
        <w:t>Reduce: applying make-to-availability (MTA) can also help in reducing variability as it relies on inventory levels rather than demand forecasting (Van Hoek, 2001).</w:t>
      </w:r>
    </w:p>
    <w:p w:rsidR="008969B9" w:rsidRPr="008969B9" w:rsidRDefault="008969B9" w:rsidP="00862388">
      <w:pPr>
        <w:pStyle w:val="ListParagraph"/>
        <w:numPr>
          <w:ilvl w:val="0"/>
          <w:numId w:val="16"/>
        </w:numPr>
        <w:spacing w:line="360" w:lineRule="auto"/>
        <w:jc w:val="both"/>
        <w:rPr>
          <w:rFonts w:ascii="Verdana" w:hAnsi="Verdana"/>
        </w:rPr>
      </w:pPr>
      <w:r>
        <w:rPr>
          <w:rFonts w:ascii="Verdana" w:hAnsi="Verdana"/>
        </w:rPr>
        <w:t xml:space="preserve">Buffer: </w:t>
      </w:r>
      <w:r w:rsidRPr="008969B9">
        <w:rPr>
          <w:rFonts w:ascii="Verdana" w:hAnsi="Verdana"/>
        </w:rPr>
        <w:t>Buffering capacity</w:t>
      </w:r>
      <w:r>
        <w:rPr>
          <w:rFonts w:ascii="Verdana" w:hAnsi="Verdana"/>
        </w:rPr>
        <w:t xml:space="preserve"> by outsourcing bins</w:t>
      </w:r>
      <w:r w:rsidRPr="008969B9">
        <w:rPr>
          <w:rFonts w:ascii="Verdana" w:hAnsi="Verdana"/>
        </w:rPr>
        <w:t xml:space="preserve"> can be utilised to handle demand uncertainty and prevent stockouts, which can be detrimental to customer satisfaction and profit margins.</w:t>
      </w:r>
    </w:p>
    <w:p w:rsidR="00E21FC2" w:rsidRPr="00E21FC2" w:rsidRDefault="00E21FC2" w:rsidP="00862388">
      <w:pPr>
        <w:spacing w:line="360" w:lineRule="auto"/>
        <w:ind w:left="709"/>
        <w:jc w:val="both"/>
        <w:rPr>
          <w:rFonts w:ascii="Verdana" w:eastAsia="Arial" w:hAnsi="Verdana" w:cs="Arial"/>
        </w:rPr>
      </w:pPr>
      <w:r w:rsidRPr="00E21FC2">
        <w:rPr>
          <w:rFonts w:ascii="Verdana" w:eastAsia="Arial" w:hAnsi="Verdana" w:cs="Arial"/>
        </w:rPr>
        <w:t xml:space="preserve">The company can also utilise advanced planning and scheduling software to optimise the production process. The software can help plan and schedule production runs, reduce lead times, and manage resources effectively (Gunasekaran et al., 2005). Furthermore, adopting a Just-in-Time (JIT) </w:t>
      </w:r>
      <w:r w:rsidRPr="00E21FC2">
        <w:rPr>
          <w:rFonts w:ascii="Verdana" w:eastAsia="Arial" w:hAnsi="Verdana" w:cs="Arial"/>
        </w:rPr>
        <w:lastRenderedPageBreak/>
        <w:t>approach to production can help reduce inventory levels and increase efficiency by delivering products just when they are needed. By reducing inventory levels and eliminating unnecessary capacity, the company can focus on producing products only when they are required, thereby reducing the risk of overproduction, capacity constraints, and associated costs.</w:t>
      </w:r>
    </w:p>
    <w:p w:rsidR="00AC1694" w:rsidRPr="00AC1694" w:rsidRDefault="00AC1694" w:rsidP="00862388">
      <w:pPr>
        <w:pStyle w:val="Heading3"/>
        <w:spacing w:line="360" w:lineRule="auto"/>
        <w:ind w:left="709"/>
        <w:jc w:val="both"/>
        <w:rPr>
          <w:rFonts w:ascii="Verdana" w:hAnsi="Verdana"/>
          <w:i/>
          <w:iCs/>
          <w:color w:val="auto"/>
          <w:sz w:val="22"/>
          <w:szCs w:val="22"/>
        </w:rPr>
      </w:pPr>
      <w:bookmarkStart w:id="28" w:name="_Toc133778873"/>
      <w:r w:rsidRPr="00AC1694">
        <w:rPr>
          <w:rFonts w:ascii="Verdana" w:hAnsi="Verdana"/>
          <w:i/>
          <w:iCs/>
          <w:color w:val="auto"/>
          <w:sz w:val="22"/>
          <w:szCs w:val="22"/>
        </w:rPr>
        <w:t xml:space="preserve">Figure 17: </w:t>
      </w:r>
      <w:r w:rsidR="00032965">
        <w:rPr>
          <w:rFonts w:ascii="Verdana" w:hAnsi="Verdana"/>
          <w:i/>
          <w:iCs/>
          <w:color w:val="auto"/>
          <w:sz w:val="22"/>
          <w:szCs w:val="22"/>
        </w:rPr>
        <w:t>Coordinated Strategies</w:t>
      </w:r>
      <w:r w:rsidRPr="00AC1694">
        <w:rPr>
          <w:rFonts w:ascii="Verdana" w:hAnsi="Verdana"/>
          <w:i/>
          <w:iCs/>
          <w:color w:val="auto"/>
          <w:sz w:val="22"/>
          <w:szCs w:val="22"/>
        </w:rPr>
        <w:t>.</w:t>
      </w:r>
      <w:bookmarkEnd w:id="28"/>
    </w:p>
    <w:p w:rsidR="00AC1694" w:rsidRPr="00F51038" w:rsidRDefault="00AC1694" w:rsidP="00862388">
      <w:pPr>
        <w:spacing w:line="360" w:lineRule="auto"/>
        <w:ind w:left="709"/>
        <w:jc w:val="both"/>
        <w:rPr>
          <w:rFonts w:ascii="Verdana" w:eastAsia="Arial" w:hAnsi="Verdana" w:cs="Arial"/>
        </w:rPr>
      </w:pPr>
      <w:r w:rsidRPr="00AC1694">
        <w:rPr>
          <w:rFonts w:ascii="Verdana" w:eastAsia="Arial" w:hAnsi="Verdana" w:cs="Arial"/>
          <w:noProof/>
        </w:rPr>
        <w:drawing>
          <wp:inline distT="0" distB="0" distL="0" distR="0" wp14:anchorId="1F75EBFD" wp14:editId="26B2104F">
            <wp:extent cx="3640347" cy="2692220"/>
            <wp:effectExtent l="0" t="0" r="0" b="0"/>
            <wp:docPr id="78000000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00001" name="Picture 1" descr="Diagram&#10;&#10;Description automatically generated"/>
                    <pic:cNvPicPr/>
                  </pic:nvPicPr>
                  <pic:blipFill>
                    <a:blip r:embed="rId26"/>
                    <a:stretch>
                      <a:fillRect/>
                    </a:stretch>
                  </pic:blipFill>
                  <pic:spPr>
                    <a:xfrm>
                      <a:off x="0" y="0"/>
                      <a:ext cx="3650716" cy="2699888"/>
                    </a:xfrm>
                    <a:prstGeom prst="rect">
                      <a:avLst/>
                    </a:prstGeom>
                  </pic:spPr>
                </pic:pic>
              </a:graphicData>
            </a:graphic>
          </wp:inline>
        </w:drawing>
      </w:r>
    </w:p>
    <w:p w:rsidR="00F134D0" w:rsidRPr="0039073A" w:rsidRDefault="0039073A" w:rsidP="00862388">
      <w:pPr>
        <w:pStyle w:val="ListParagraph"/>
        <w:numPr>
          <w:ilvl w:val="1"/>
          <w:numId w:val="3"/>
        </w:numPr>
        <w:spacing w:line="360" w:lineRule="auto"/>
        <w:ind w:left="1418" w:hanging="709"/>
        <w:jc w:val="both"/>
        <w:outlineLvl w:val="1"/>
        <w:rPr>
          <w:rFonts w:ascii="Verdana" w:hAnsi="Verdana"/>
          <w:i/>
          <w:iCs/>
          <w:u w:val="single"/>
        </w:rPr>
      </w:pPr>
      <w:bookmarkStart w:id="29" w:name="_Toc133778874"/>
      <w:r>
        <w:rPr>
          <w:rFonts w:ascii="Verdana" w:hAnsi="Verdana"/>
          <w:i/>
          <w:iCs/>
          <w:u w:val="single"/>
        </w:rPr>
        <w:t>Realigning the supply chain</w:t>
      </w:r>
      <w:bookmarkEnd w:id="29"/>
      <w:r>
        <w:rPr>
          <w:rFonts w:ascii="Verdana" w:hAnsi="Verdana"/>
          <w:i/>
          <w:iCs/>
          <w:u w:val="single"/>
        </w:rPr>
        <w:t xml:space="preserve"> </w:t>
      </w:r>
    </w:p>
    <w:p w:rsidR="007838BA" w:rsidRPr="007838BA" w:rsidRDefault="00DB7EAD" w:rsidP="00267808">
      <w:pPr>
        <w:spacing w:line="360" w:lineRule="auto"/>
        <w:ind w:left="709"/>
        <w:jc w:val="both"/>
        <w:rPr>
          <w:rFonts w:ascii="Verdana" w:hAnsi="Verdana"/>
        </w:rPr>
      </w:pPr>
      <w:r>
        <w:rPr>
          <w:rFonts w:ascii="Verdana" w:hAnsi="Verdana"/>
        </w:rPr>
        <w:t>T</w:t>
      </w:r>
      <w:r w:rsidR="007838BA" w:rsidRPr="007838BA">
        <w:rPr>
          <w:rFonts w:ascii="Verdana" w:hAnsi="Verdana"/>
        </w:rPr>
        <w:t xml:space="preserve">he company was found to have a misalignment issue where they were producing bins under a responsive supply chain, which was not </w:t>
      </w:r>
      <w:r w:rsidR="000E5015">
        <w:rPr>
          <w:rFonts w:ascii="Verdana" w:hAnsi="Verdana"/>
        </w:rPr>
        <w:t>common</w:t>
      </w:r>
      <w:r w:rsidR="007838BA" w:rsidRPr="007838BA">
        <w:rPr>
          <w:rFonts w:ascii="Verdana" w:hAnsi="Verdana"/>
        </w:rPr>
        <w:t xml:space="preserve"> due </w:t>
      </w:r>
      <w:r w:rsidR="000E5015" w:rsidRPr="000E5015">
        <w:rPr>
          <w:rFonts w:ascii="Verdana" w:hAnsi="Verdana"/>
        </w:rPr>
        <w:t>to the greater costs involved in creating a product with a poor margin</w:t>
      </w:r>
      <w:r w:rsidR="007838BA" w:rsidRPr="007838BA">
        <w:rPr>
          <w:rFonts w:ascii="Verdana" w:hAnsi="Verdana"/>
        </w:rPr>
        <w:t xml:space="preserve">. </w:t>
      </w:r>
      <w:r w:rsidR="000E5015" w:rsidRPr="000E5015">
        <w:rPr>
          <w:rFonts w:ascii="Verdana" w:hAnsi="Verdana"/>
        </w:rPr>
        <w:t>Meanwhile, the driving force behind this approach was to optimise capacity utilisation</w:t>
      </w:r>
      <w:r w:rsidR="007838BA" w:rsidRPr="007838BA">
        <w:rPr>
          <w:rFonts w:ascii="Verdana" w:hAnsi="Verdana"/>
        </w:rPr>
        <w:t xml:space="preserve">. </w:t>
      </w:r>
      <w:r w:rsidR="000E5015" w:rsidRPr="000E5015">
        <w:rPr>
          <w:rFonts w:ascii="Verdana" w:hAnsi="Verdana"/>
        </w:rPr>
        <w:t>The company's bigger variety necessitates quick replies, therefore capacity ought to be released even though this method is beneficial for efficient supply chain designs. The business can use outsourcing as a solution to this problem by delivering bins to merchants before they are assembled. As a result, there will be a growing stock of finished goods that will need to be controlled further</w:t>
      </w:r>
      <w:r w:rsidR="007838BA" w:rsidRPr="007838BA">
        <w:rPr>
          <w:rFonts w:ascii="Verdana" w:hAnsi="Verdana"/>
        </w:rPr>
        <w:t xml:space="preserve">. </w:t>
      </w:r>
      <w:r w:rsidR="00B04E9A" w:rsidRPr="00B04E9A">
        <w:rPr>
          <w:rFonts w:ascii="Verdana" w:hAnsi="Verdana"/>
        </w:rPr>
        <w:t>Additionally, in order to make bins accessible on shop floors, third-party logistics will be utilised for dispensing them. Customers will choose availability over brand comparison because they won't wait for functional products, which will eventually result in more sales. On the other hand, if planters are restricted to use the same production line, capacity will be released, allowing for a boost in the number of planters as well as buffering capacity in order to satisfy seasonal demand peaks while providing MTO products priority</w:t>
      </w:r>
      <w:r w:rsidR="007838BA" w:rsidRPr="007838BA">
        <w:rPr>
          <w:rFonts w:ascii="Verdana" w:hAnsi="Verdana"/>
        </w:rPr>
        <w:t>.</w:t>
      </w:r>
      <w:r w:rsidR="00267808">
        <w:rPr>
          <w:rFonts w:ascii="Verdana" w:hAnsi="Verdana"/>
        </w:rPr>
        <w:t xml:space="preserve"> </w:t>
      </w:r>
      <w:r w:rsidR="0034517B" w:rsidRPr="0034517B">
        <w:rPr>
          <w:rFonts w:ascii="Verdana" w:hAnsi="Verdana"/>
        </w:rPr>
        <w:t xml:space="preserve">Despite the fact that planters will be delivered via a </w:t>
      </w:r>
      <w:r w:rsidR="0034517B" w:rsidRPr="0034517B">
        <w:rPr>
          <w:rFonts w:ascii="Verdana" w:hAnsi="Verdana"/>
        </w:rPr>
        <w:lastRenderedPageBreak/>
        <w:t>responsive supply chain, with the additional capacity improving responsiveness, further adjustments to the business model should be took into consideration. For extremely low volumes or unique objects, MTO settings are the most appropriate. As a result of the extra capacity buffering, more sales will be possible because the bottleneck will be elevated even though the products of the planters appear to be produced in low amounts. In order to assure alignment, this change necessitates more modifications</w:t>
      </w:r>
      <w:r w:rsidR="007838BA" w:rsidRPr="007838BA">
        <w:rPr>
          <w:rFonts w:ascii="Verdana" w:hAnsi="Verdana"/>
        </w:rPr>
        <w:t>.</w:t>
      </w:r>
    </w:p>
    <w:p w:rsidR="007838BA" w:rsidRPr="0034517B" w:rsidRDefault="0034517B" w:rsidP="002F0240">
      <w:pPr>
        <w:spacing w:line="360" w:lineRule="auto"/>
        <w:ind w:left="709"/>
        <w:jc w:val="both"/>
        <w:rPr>
          <w:rFonts w:ascii="Verdana" w:hAnsi="Verdana"/>
        </w:rPr>
      </w:pPr>
      <w:r w:rsidRPr="0034517B">
        <w:rPr>
          <w:rFonts w:ascii="Verdana" w:hAnsi="Verdana"/>
        </w:rPr>
        <w:t>The essay suggests an MTA business model that makes use of a "Pull System" to replenish high-volume planter orders in accordance with stock levels while employing extra capacity to produce MTO orders concurrently. The application of dynamic buffer management techniques ensures that MTO orders are prioritised, resulting in shorter lead times.</w:t>
      </w:r>
      <w:r>
        <w:rPr>
          <w:rFonts w:ascii="Verdana" w:hAnsi="Verdana"/>
        </w:rPr>
        <w:t xml:space="preserve"> Besides, o</w:t>
      </w:r>
      <w:r w:rsidRPr="0034517B">
        <w:rPr>
          <w:rFonts w:ascii="Verdana" w:hAnsi="Verdana"/>
        </w:rPr>
        <w:t>utsourcing logistics to a 3PL distributor is recommended to postpone delivery till demand is discovered. In order to facilitate information sharing and reduce lead times, new IT systems must be implemented. By maintaining product availability, lowering inventory levels, and shortening lead times, MTA logistics may give businesses a competitive edge and lower expenses</w:t>
      </w:r>
      <w:r w:rsidR="007838BA" w:rsidRPr="0034517B">
        <w:rPr>
          <w:rFonts w:ascii="Verdana" w:hAnsi="Verdana"/>
        </w:rPr>
        <w:t>.</w:t>
      </w:r>
    </w:p>
    <w:p w:rsidR="00CF1277" w:rsidRPr="000E687D" w:rsidRDefault="00BF75A2" w:rsidP="00862388">
      <w:pPr>
        <w:pStyle w:val="ListParagraph"/>
        <w:numPr>
          <w:ilvl w:val="1"/>
          <w:numId w:val="3"/>
        </w:numPr>
        <w:spacing w:after="160" w:line="360" w:lineRule="auto"/>
        <w:ind w:left="1418"/>
        <w:jc w:val="both"/>
        <w:outlineLvl w:val="1"/>
        <w:rPr>
          <w:rFonts w:ascii="Verdana" w:hAnsi="Verdana"/>
          <w:i/>
          <w:iCs/>
          <w:u w:val="single"/>
        </w:rPr>
      </w:pPr>
      <w:bookmarkStart w:id="30" w:name="_Toc133778875"/>
      <w:r w:rsidRPr="000E687D">
        <w:rPr>
          <w:rFonts w:ascii="Verdana" w:hAnsi="Verdana"/>
          <w:i/>
          <w:iCs/>
          <w:u w:val="single"/>
        </w:rPr>
        <w:t>Economic Order Quantity model</w:t>
      </w:r>
      <w:bookmarkEnd w:id="30"/>
      <w:r w:rsidRPr="000E687D">
        <w:rPr>
          <w:rFonts w:ascii="Verdana" w:hAnsi="Verdana"/>
          <w:i/>
          <w:iCs/>
          <w:u w:val="single"/>
        </w:rPr>
        <w:t xml:space="preserve"> </w:t>
      </w:r>
    </w:p>
    <w:p w:rsidR="00BF75A2" w:rsidRDefault="00BF75A2" w:rsidP="002F0240">
      <w:pPr>
        <w:spacing w:line="360" w:lineRule="auto"/>
        <w:ind w:left="709"/>
        <w:jc w:val="both"/>
        <w:rPr>
          <w:rFonts w:ascii="Verdana" w:hAnsi="Verdana"/>
        </w:rPr>
      </w:pPr>
      <w:r w:rsidRPr="00BF75A2">
        <w:rPr>
          <w:rFonts w:ascii="Verdana" w:hAnsi="Verdana"/>
        </w:rPr>
        <w:t>Based on the capacity constraints issue, it is recommended to use the Economic Order Quantity (EOQ) model to optimi</w:t>
      </w:r>
      <w:r>
        <w:rPr>
          <w:rFonts w:ascii="Verdana" w:hAnsi="Verdana"/>
        </w:rPr>
        <w:t>s</w:t>
      </w:r>
      <w:r w:rsidRPr="00BF75A2">
        <w:rPr>
          <w:rFonts w:ascii="Verdana" w:hAnsi="Verdana"/>
        </w:rPr>
        <w:t>e the resources. The EOQ model is a useful tool for companies to minimi</w:t>
      </w:r>
      <w:r>
        <w:rPr>
          <w:rFonts w:ascii="Verdana" w:hAnsi="Verdana"/>
        </w:rPr>
        <w:t>s</w:t>
      </w:r>
      <w:r w:rsidRPr="00BF75A2">
        <w:rPr>
          <w:rFonts w:ascii="Verdana" w:hAnsi="Verdana"/>
        </w:rPr>
        <w:t xml:space="preserve">e the total cost of inventory </w:t>
      </w:r>
      <w:r>
        <w:rPr>
          <w:rFonts w:ascii="Verdana" w:hAnsi="Verdana"/>
        </w:rPr>
        <w:t xml:space="preserve">by </w:t>
      </w:r>
      <w:r w:rsidRPr="00BF75A2">
        <w:rPr>
          <w:rFonts w:ascii="Verdana" w:hAnsi="Verdana"/>
        </w:rPr>
        <w:t>balancing the costs of holding inventory, ordering and shortages while maintaining the desired level of service (Silver et al., 2019).</w:t>
      </w:r>
    </w:p>
    <w:p w:rsidR="00BF75A2" w:rsidRPr="006C48F0" w:rsidRDefault="00BF75A2" w:rsidP="002F0240">
      <w:pPr>
        <w:spacing w:line="360" w:lineRule="auto"/>
        <w:ind w:left="709"/>
        <w:jc w:val="both"/>
        <w:rPr>
          <w:rFonts w:ascii="Verdana" w:hAnsi="Verdana"/>
        </w:rPr>
      </w:pPr>
      <w:r>
        <w:rPr>
          <w:rFonts w:ascii="Verdana" w:hAnsi="Verdana"/>
        </w:rPr>
        <w:t>To implement the EOQ model, the company needs to determine the ideal order quantity that minimise inventory costs and satisfies the customer demand. In this case, the powder weight EOQ</w:t>
      </w:r>
      <w:r w:rsidR="006C48F0">
        <w:rPr>
          <w:rFonts w:ascii="Verdana" w:hAnsi="Verdana"/>
        </w:rPr>
        <w:t>s</w:t>
      </w:r>
      <w:r>
        <w:rPr>
          <w:rFonts w:ascii="Verdana" w:hAnsi="Verdana"/>
        </w:rPr>
        <w:t xml:space="preserve"> calculated for both planters and bins </w:t>
      </w:r>
      <w:r w:rsidR="006C48F0">
        <w:rPr>
          <w:rFonts w:ascii="Verdana" w:hAnsi="Verdana"/>
        </w:rPr>
        <w:t>are</w:t>
      </w:r>
      <w:r>
        <w:rPr>
          <w:rFonts w:ascii="Verdana" w:hAnsi="Verdana"/>
        </w:rPr>
        <w:t xml:space="preserve"> </w:t>
      </w:r>
      <w:r w:rsidR="006C48F0">
        <w:rPr>
          <w:rFonts w:ascii="Verdana" w:hAnsi="Verdana"/>
        </w:rPr>
        <w:t>approximately 13,593kg, 27.18 pallets, and 3 containers. Hence, the total revenue and total cost are around £2,333,425 and £929 thousand respectively, so the profit would be £1,404,357</w:t>
      </w:r>
      <w:r w:rsidRPr="006C48F0">
        <w:rPr>
          <w:rFonts w:ascii="Verdana" w:hAnsi="Verdana"/>
        </w:rPr>
        <w:t xml:space="preserve"> </w:t>
      </w:r>
      <w:r w:rsidR="006C48F0">
        <w:rPr>
          <w:rFonts w:ascii="Verdana" w:hAnsi="Verdana"/>
        </w:rPr>
        <w:t>(find: EOQ sheet in Excel document).</w:t>
      </w:r>
    </w:p>
    <w:p w:rsidR="00BF75A2" w:rsidRPr="00BF75A2" w:rsidRDefault="00BF75A2" w:rsidP="002F0240">
      <w:pPr>
        <w:spacing w:line="360" w:lineRule="auto"/>
        <w:ind w:left="709"/>
        <w:jc w:val="both"/>
        <w:rPr>
          <w:rFonts w:ascii="Verdana" w:hAnsi="Verdana"/>
        </w:rPr>
      </w:pPr>
      <w:r w:rsidRPr="00BF75A2">
        <w:rPr>
          <w:rFonts w:ascii="Verdana" w:hAnsi="Verdana"/>
        </w:rPr>
        <w:t>The company can use the EOQ model to determine the optimal amount of inventory to order at a time, which can help in reducing the frequency of ordering and associated costs such as ordering cost and transportation cost. Additionally, the model can help in minimi</w:t>
      </w:r>
      <w:r>
        <w:rPr>
          <w:rFonts w:ascii="Verdana" w:hAnsi="Verdana"/>
        </w:rPr>
        <w:t>s</w:t>
      </w:r>
      <w:r w:rsidRPr="00BF75A2">
        <w:rPr>
          <w:rFonts w:ascii="Verdana" w:hAnsi="Verdana"/>
        </w:rPr>
        <w:t xml:space="preserve">ing the holding cost by ensuring </w:t>
      </w:r>
      <w:r w:rsidRPr="00BF75A2">
        <w:rPr>
          <w:rFonts w:ascii="Verdana" w:hAnsi="Verdana"/>
        </w:rPr>
        <w:lastRenderedPageBreak/>
        <w:t>that the inventory levels are not excessive, and the required level of service is maintained. The implementation of the EOQ model can also help the company to reduce the risk of stock-outs, which can negatively impact the company's reputation and sales revenue.</w:t>
      </w:r>
    </w:p>
    <w:p w:rsidR="00C71602" w:rsidRPr="000D6C10" w:rsidRDefault="005B0F30" w:rsidP="00862388">
      <w:pPr>
        <w:pStyle w:val="Heading1"/>
        <w:spacing w:line="360" w:lineRule="auto"/>
        <w:ind w:left="720"/>
        <w:jc w:val="both"/>
        <w:rPr>
          <w:rFonts w:ascii="Verdana" w:hAnsi="Verdana"/>
          <w:b/>
          <w:color w:val="auto"/>
          <w:sz w:val="22"/>
          <w:szCs w:val="22"/>
        </w:rPr>
      </w:pPr>
      <w:bookmarkStart w:id="31" w:name="_Toc133778876"/>
      <w:r w:rsidRPr="005E47E8">
        <w:rPr>
          <w:rFonts w:ascii="Verdana" w:hAnsi="Verdana"/>
          <w:b/>
          <w:color w:val="auto"/>
          <w:sz w:val="22"/>
          <w:szCs w:val="22"/>
        </w:rPr>
        <w:t>References</w:t>
      </w:r>
      <w:bookmarkEnd w:id="31"/>
    </w:p>
    <w:p w:rsidR="0022396B" w:rsidRDefault="0022396B" w:rsidP="00862388">
      <w:pPr>
        <w:spacing w:line="360" w:lineRule="auto"/>
        <w:ind w:left="720" w:hanging="11"/>
        <w:jc w:val="both"/>
        <w:rPr>
          <w:rFonts w:ascii="Verdana" w:hAnsi="Verdana"/>
        </w:rPr>
      </w:pPr>
      <w:bookmarkStart w:id="32" w:name="_Hlk133013824"/>
      <w:r w:rsidRPr="0022396B">
        <w:rPr>
          <w:rFonts w:ascii="Verdana" w:hAnsi="Verdana"/>
        </w:rPr>
        <w:t>Barnes, D. and Greenfield, D. (2009) ‘Make to Assemble: The New Manufacturing Reality’, Harvard Business Review, vol. 87, no. 4, pp. 105-111.</w:t>
      </w:r>
    </w:p>
    <w:p w:rsidR="008053B5" w:rsidRDefault="008053B5" w:rsidP="00862388">
      <w:pPr>
        <w:spacing w:line="360" w:lineRule="auto"/>
        <w:ind w:left="720" w:hanging="11"/>
        <w:jc w:val="both"/>
        <w:rPr>
          <w:rFonts w:ascii="Verdana" w:hAnsi="Verdana"/>
        </w:rPr>
      </w:pPr>
      <w:r w:rsidRPr="008053B5">
        <w:rPr>
          <w:rFonts w:ascii="Verdana" w:hAnsi="Verdana"/>
        </w:rPr>
        <w:t>Borgstrom, B. and Hertz, S. (2011), “Supply chain strategies: changes in customer order-based production”, Journal of Business Logistics, Vol. 32 No. 4, pp. 361-373.</w:t>
      </w:r>
    </w:p>
    <w:p w:rsidR="008053B5" w:rsidRDefault="008053B5" w:rsidP="00862388">
      <w:pPr>
        <w:spacing w:line="360" w:lineRule="auto"/>
        <w:ind w:left="720" w:hanging="11"/>
        <w:jc w:val="both"/>
        <w:rPr>
          <w:rFonts w:ascii="Verdana" w:hAnsi="Verdana"/>
        </w:rPr>
      </w:pPr>
      <w:r w:rsidRPr="008053B5">
        <w:rPr>
          <w:rFonts w:ascii="Verdana" w:hAnsi="Verdana"/>
        </w:rPr>
        <w:t xml:space="preserve">Christopher, M. and </w:t>
      </w:r>
      <w:proofErr w:type="spellStart"/>
      <w:r w:rsidRPr="008053B5">
        <w:rPr>
          <w:rFonts w:ascii="Verdana" w:hAnsi="Verdana"/>
        </w:rPr>
        <w:t>Towill</w:t>
      </w:r>
      <w:proofErr w:type="spellEnd"/>
      <w:r w:rsidRPr="008053B5">
        <w:rPr>
          <w:rFonts w:ascii="Verdana" w:hAnsi="Verdana"/>
        </w:rPr>
        <w:t>, D.R. (2000), “Supply chain migration from lean and functional to agile and customised”, Supply Chain Management: An International Journal, Vol. 5 No. 4, pp. 206-213.</w:t>
      </w:r>
    </w:p>
    <w:p w:rsidR="008053B5" w:rsidRPr="008053B5" w:rsidRDefault="008053B5" w:rsidP="00862388">
      <w:pPr>
        <w:spacing w:line="360" w:lineRule="auto"/>
        <w:ind w:left="720" w:hanging="11"/>
        <w:jc w:val="both"/>
        <w:rPr>
          <w:rFonts w:ascii="Verdana" w:hAnsi="Verdana"/>
        </w:rPr>
      </w:pPr>
      <w:proofErr w:type="spellStart"/>
      <w:r w:rsidRPr="008053B5">
        <w:rPr>
          <w:rFonts w:ascii="Verdana" w:hAnsi="Verdana"/>
        </w:rPr>
        <w:t>Cigolini</w:t>
      </w:r>
      <w:proofErr w:type="spellEnd"/>
      <w:r w:rsidRPr="008053B5">
        <w:rPr>
          <w:rFonts w:ascii="Verdana" w:hAnsi="Verdana"/>
        </w:rPr>
        <w:t>, Roberto, Marco Cozzi, and Marco Perona (2004), “A New Framework for Supply Chain   Management: Conceptual Model and Empirical Test,” International Journal of Operations &amp; Production Management, 24:1/2, pp. 7-41.</w:t>
      </w:r>
    </w:p>
    <w:p w:rsidR="008053B5" w:rsidRDefault="008053B5" w:rsidP="00862388">
      <w:pPr>
        <w:spacing w:line="360" w:lineRule="auto"/>
        <w:ind w:left="720" w:hanging="11"/>
        <w:jc w:val="both"/>
        <w:rPr>
          <w:rFonts w:ascii="Verdana" w:hAnsi="Verdana"/>
        </w:rPr>
      </w:pPr>
      <w:r w:rsidRPr="008053B5">
        <w:rPr>
          <w:rFonts w:ascii="Verdana" w:hAnsi="Verdana"/>
          <w:lang w:val="de-DE"/>
        </w:rPr>
        <w:t xml:space="preserve">David, Julie S., Yuchang Hwang, and Buck K.W.  </w:t>
      </w:r>
      <w:r w:rsidRPr="008053B5">
        <w:rPr>
          <w:rFonts w:ascii="Verdana" w:hAnsi="Verdana"/>
        </w:rPr>
        <w:t>Pei (2002), “The Performance   Effects   of   Congruence   Between   Product Competitive    Strategies    and    Purchasing    Management Design,” Management Science,48:7, pp. 866-885.</w:t>
      </w:r>
    </w:p>
    <w:p w:rsidR="008053B5" w:rsidRDefault="008053B5" w:rsidP="00862388">
      <w:pPr>
        <w:spacing w:line="360" w:lineRule="auto"/>
        <w:ind w:left="720" w:hanging="11"/>
        <w:jc w:val="both"/>
        <w:rPr>
          <w:rFonts w:ascii="Verdana" w:hAnsi="Verdana"/>
        </w:rPr>
      </w:pPr>
      <w:r w:rsidRPr="008053B5">
        <w:rPr>
          <w:rFonts w:ascii="Verdana" w:hAnsi="Verdana"/>
        </w:rPr>
        <w:t>Fisher, Marshall L. (1997), “What Is the Right Supply Chain for Your Product?” Harvard Business</w:t>
      </w:r>
      <w:r>
        <w:rPr>
          <w:rFonts w:ascii="Verdana" w:hAnsi="Verdana"/>
        </w:rPr>
        <w:t xml:space="preserve"> </w:t>
      </w:r>
      <w:r w:rsidRPr="008053B5">
        <w:rPr>
          <w:rFonts w:ascii="Verdana" w:hAnsi="Verdana"/>
        </w:rPr>
        <w:t>Review, pp. 105-116</w:t>
      </w:r>
      <w:r w:rsidR="008866B6" w:rsidRPr="008866B6">
        <w:rPr>
          <w:rFonts w:ascii="Verdana" w:hAnsi="Verdana"/>
        </w:rPr>
        <w:t>.</w:t>
      </w:r>
      <w:r w:rsidR="008866B6">
        <w:rPr>
          <w:rFonts w:ascii="Verdana" w:hAnsi="Verdana"/>
        </w:rPr>
        <w:t xml:space="preserve"> </w:t>
      </w:r>
    </w:p>
    <w:p w:rsidR="008053B5" w:rsidRDefault="008053B5" w:rsidP="00862388">
      <w:pPr>
        <w:spacing w:line="360" w:lineRule="auto"/>
        <w:ind w:left="720" w:hanging="11"/>
        <w:jc w:val="both"/>
        <w:rPr>
          <w:rFonts w:ascii="Verdana" w:hAnsi="Verdana"/>
        </w:rPr>
      </w:pPr>
      <w:proofErr w:type="spellStart"/>
      <w:r w:rsidRPr="008053B5">
        <w:rPr>
          <w:rFonts w:ascii="Verdana" w:hAnsi="Verdana"/>
        </w:rPr>
        <w:t>Giannoccaro</w:t>
      </w:r>
      <w:proofErr w:type="spellEnd"/>
      <w:r w:rsidRPr="008053B5">
        <w:rPr>
          <w:rFonts w:ascii="Verdana" w:hAnsi="Verdana"/>
        </w:rPr>
        <w:t xml:space="preserve">, Ilaria, and </w:t>
      </w:r>
      <w:proofErr w:type="spellStart"/>
      <w:r w:rsidRPr="008053B5">
        <w:rPr>
          <w:rFonts w:ascii="Verdana" w:hAnsi="Verdana"/>
        </w:rPr>
        <w:t>Pierpalolo</w:t>
      </w:r>
      <w:proofErr w:type="spellEnd"/>
      <w:r w:rsidRPr="008053B5">
        <w:rPr>
          <w:rFonts w:ascii="Verdana" w:hAnsi="Verdana"/>
        </w:rPr>
        <w:t xml:space="preserve"> </w:t>
      </w:r>
      <w:proofErr w:type="spellStart"/>
      <w:r w:rsidRPr="008053B5">
        <w:rPr>
          <w:rFonts w:ascii="Verdana" w:hAnsi="Verdana"/>
        </w:rPr>
        <w:t>Pontrandolfo</w:t>
      </w:r>
      <w:proofErr w:type="spellEnd"/>
      <w:r w:rsidRPr="008053B5">
        <w:rPr>
          <w:rFonts w:ascii="Verdana" w:hAnsi="Verdana"/>
        </w:rPr>
        <w:t xml:space="preserve"> (2003), “The Organizational Perspective in Supply Chain Management: An Empirical   Analysis in Southern Italy,” International Journal of Logistics: Research &amp; Applications, 6: 3, pp. 107-123.</w:t>
      </w:r>
    </w:p>
    <w:p w:rsidR="008053B5" w:rsidRDefault="008053B5" w:rsidP="00862388">
      <w:pPr>
        <w:spacing w:line="360" w:lineRule="auto"/>
        <w:ind w:left="720" w:hanging="11"/>
        <w:jc w:val="both"/>
        <w:rPr>
          <w:rFonts w:ascii="Verdana" w:hAnsi="Verdana"/>
        </w:rPr>
      </w:pPr>
      <w:r w:rsidRPr="008053B5">
        <w:rPr>
          <w:rFonts w:ascii="Verdana" w:hAnsi="Verdana"/>
        </w:rPr>
        <w:t>Goldratt, E. M. (1984). The Goal: A Process of Ongoing Improvement. North River Press.</w:t>
      </w:r>
    </w:p>
    <w:p w:rsidR="008053B5" w:rsidRDefault="008053B5" w:rsidP="00862388">
      <w:pPr>
        <w:spacing w:line="360" w:lineRule="auto"/>
        <w:ind w:left="720" w:hanging="11"/>
        <w:jc w:val="both"/>
        <w:rPr>
          <w:rFonts w:ascii="Verdana" w:hAnsi="Verdana"/>
        </w:rPr>
      </w:pPr>
      <w:r w:rsidRPr="008053B5">
        <w:rPr>
          <w:rFonts w:ascii="Verdana" w:hAnsi="Verdana"/>
        </w:rPr>
        <w:t>Goldsby, T.J., Stanley, E.G. and Anthony, S.R. (2006), “</w:t>
      </w:r>
      <w:proofErr w:type="spellStart"/>
      <w:r w:rsidRPr="008053B5">
        <w:rPr>
          <w:rFonts w:ascii="Verdana" w:hAnsi="Verdana"/>
        </w:rPr>
        <w:t>Modeling</w:t>
      </w:r>
      <w:proofErr w:type="spellEnd"/>
      <w:r w:rsidRPr="008053B5">
        <w:rPr>
          <w:rFonts w:ascii="Verdana" w:hAnsi="Verdana"/>
        </w:rPr>
        <w:t xml:space="preserve"> lean, agile, and league supply chain strategies”, Journal of Business Logistics, Vol. 27 No. 1, pp. 57-58.</w:t>
      </w:r>
    </w:p>
    <w:p w:rsidR="008053B5" w:rsidRDefault="008053B5" w:rsidP="00862388">
      <w:pPr>
        <w:spacing w:line="360" w:lineRule="auto"/>
        <w:ind w:left="720" w:hanging="11"/>
        <w:jc w:val="both"/>
        <w:rPr>
          <w:rFonts w:ascii="Verdana" w:hAnsi="Verdana"/>
        </w:rPr>
      </w:pPr>
      <w:r w:rsidRPr="008053B5">
        <w:rPr>
          <w:rFonts w:ascii="Verdana" w:hAnsi="Verdana"/>
        </w:rPr>
        <w:lastRenderedPageBreak/>
        <w:t>Grawe, S. J., Daugherty, P. J., &amp; Richey, R. G. (2013). Make-to-order or make-to-stock: The decoupling point in the supply chain. Journal of Business Logistics, 34(2), 161-173.</w:t>
      </w:r>
    </w:p>
    <w:p w:rsidR="0022396B" w:rsidRDefault="0022396B" w:rsidP="00862388">
      <w:pPr>
        <w:spacing w:line="360" w:lineRule="auto"/>
        <w:ind w:left="720" w:hanging="11"/>
        <w:jc w:val="both"/>
        <w:rPr>
          <w:rFonts w:ascii="Verdana" w:hAnsi="Verdana"/>
        </w:rPr>
      </w:pPr>
      <w:r w:rsidRPr="0022396B">
        <w:rPr>
          <w:rFonts w:ascii="Verdana" w:hAnsi="Verdana"/>
        </w:rPr>
        <w:t>Gunasekaran, A., Keah, C. P., Papadopoulos, T., and Childe, S. J. (2011) ‘Supply chain management in the cloud: challenges and opportunities’, Decision Support Systems, vol. 51, no. 1, pp. 105-117.</w:t>
      </w:r>
    </w:p>
    <w:p w:rsidR="008053B5" w:rsidRDefault="008053B5" w:rsidP="00862388">
      <w:pPr>
        <w:spacing w:line="360" w:lineRule="auto"/>
        <w:ind w:left="720" w:hanging="11"/>
        <w:jc w:val="both"/>
        <w:rPr>
          <w:rFonts w:ascii="Verdana" w:hAnsi="Verdana"/>
        </w:rPr>
      </w:pPr>
      <w:proofErr w:type="spellStart"/>
      <w:r w:rsidRPr="008053B5">
        <w:rPr>
          <w:rFonts w:ascii="Verdana" w:hAnsi="Verdana"/>
          <w:lang w:val="es-ES_tradnl"/>
        </w:rPr>
        <w:t>Gunasekaran</w:t>
      </w:r>
      <w:proofErr w:type="spellEnd"/>
      <w:r w:rsidRPr="008053B5">
        <w:rPr>
          <w:rFonts w:ascii="Verdana" w:hAnsi="Verdana"/>
          <w:lang w:val="es-ES_tradnl"/>
        </w:rPr>
        <w:t xml:space="preserve">, A., Patel, C., &amp; </w:t>
      </w:r>
      <w:proofErr w:type="spellStart"/>
      <w:r w:rsidRPr="008053B5">
        <w:rPr>
          <w:rFonts w:ascii="Verdana" w:hAnsi="Verdana"/>
          <w:lang w:val="es-ES_tradnl"/>
        </w:rPr>
        <w:t>Tirtiroglu</w:t>
      </w:r>
      <w:proofErr w:type="spellEnd"/>
      <w:r w:rsidRPr="008053B5">
        <w:rPr>
          <w:rFonts w:ascii="Verdana" w:hAnsi="Verdana"/>
          <w:lang w:val="es-ES_tradnl"/>
        </w:rPr>
        <w:t xml:space="preserve">, E. (2005). </w:t>
      </w:r>
      <w:r w:rsidRPr="008053B5">
        <w:rPr>
          <w:rFonts w:ascii="Verdana" w:hAnsi="Verdana"/>
        </w:rPr>
        <w:t>Performance measures and metrics in a supply chain environment. International journal of operations &amp; production management, 25(4), 303-313.</w:t>
      </w:r>
    </w:p>
    <w:p w:rsidR="008053B5" w:rsidRDefault="008053B5" w:rsidP="00862388">
      <w:pPr>
        <w:spacing w:line="360" w:lineRule="auto"/>
        <w:ind w:left="720" w:hanging="11"/>
        <w:jc w:val="both"/>
        <w:rPr>
          <w:rFonts w:ascii="Verdana" w:hAnsi="Verdana"/>
        </w:rPr>
      </w:pPr>
      <w:r w:rsidRPr="008053B5">
        <w:rPr>
          <w:rFonts w:ascii="Verdana" w:hAnsi="Verdana"/>
        </w:rPr>
        <w:t xml:space="preserve">Harris, Gregory A., and Paul J.  </w:t>
      </w:r>
      <w:proofErr w:type="spellStart"/>
      <w:r w:rsidRPr="008053B5">
        <w:rPr>
          <w:rFonts w:ascii="Verdana" w:hAnsi="Verdana"/>
        </w:rPr>
        <w:t>Componation</w:t>
      </w:r>
      <w:proofErr w:type="spellEnd"/>
      <w:r w:rsidRPr="008053B5">
        <w:rPr>
          <w:rFonts w:ascii="Verdana" w:hAnsi="Verdana"/>
        </w:rPr>
        <w:t xml:space="preserve"> (2005), “Aligning Supply Chain Strategy with Product</w:t>
      </w:r>
      <w:r>
        <w:rPr>
          <w:rFonts w:ascii="Verdana" w:hAnsi="Verdana"/>
        </w:rPr>
        <w:t xml:space="preserve"> </w:t>
      </w:r>
      <w:r w:rsidRPr="008053B5">
        <w:rPr>
          <w:rFonts w:ascii="Verdana" w:hAnsi="Verdana"/>
        </w:rPr>
        <w:t>Demand Characteristics,” Proceedings of the Huntsville Simulation Conference, Conference CD.</w:t>
      </w:r>
    </w:p>
    <w:p w:rsidR="008053B5" w:rsidRDefault="008053B5" w:rsidP="00862388">
      <w:pPr>
        <w:spacing w:line="360" w:lineRule="auto"/>
        <w:ind w:left="720" w:hanging="11"/>
        <w:jc w:val="both"/>
        <w:rPr>
          <w:rFonts w:ascii="Verdana" w:hAnsi="Verdana"/>
        </w:rPr>
      </w:pPr>
      <w:r w:rsidRPr="008053B5">
        <w:rPr>
          <w:rFonts w:ascii="Verdana" w:hAnsi="Verdana"/>
        </w:rPr>
        <w:t>Huang, S.H., Uppal, M. and Shi, J. (2002), “A product driven approach to manufacturing supply chain selection”, Supply Chain Management: An International Journal, Vol. 7 No. 4, pp. 189-199.</w:t>
      </w:r>
    </w:p>
    <w:p w:rsidR="0022396B" w:rsidRDefault="0022396B" w:rsidP="00862388">
      <w:pPr>
        <w:spacing w:line="360" w:lineRule="auto"/>
        <w:ind w:left="720" w:hanging="11"/>
        <w:jc w:val="both"/>
        <w:rPr>
          <w:rFonts w:ascii="Verdana" w:hAnsi="Verdana"/>
        </w:rPr>
      </w:pPr>
      <w:proofErr w:type="spellStart"/>
      <w:r w:rsidRPr="0022396B">
        <w:rPr>
          <w:rFonts w:ascii="Verdana" w:hAnsi="Verdana"/>
        </w:rPr>
        <w:t>Jharkharia</w:t>
      </w:r>
      <w:proofErr w:type="spellEnd"/>
      <w:r w:rsidRPr="0022396B">
        <w:rPr>
          <w:rFonts w:ascii="Verdana" w:hAnsi="Verdana"/>
        </w:rPr>
        <w:t>, S. and Shankar, R. (2007) ‘Selection of logistics service provider: An analytic network process (ANP) approach’, Omega, vol. 35, no. 3, pp. 274-289.</w:t>
      </w:r>
    </w:p>
    <w:p w:rsidR="008053B5" w:rsidRDefault="008053B5" w:rsidP="00862388">
      <w:pPr>
        <w:spacing w:line="360" w:lineRule="auto"/>
        <w:ind w:left="720" w:hanging="11"/>
        <w:jc w:val="both"/>
        <w:rPr>
          <w:rFonts w:ascii="Verdana" w:hAnsi="Verdana"/>
        </w:rPr>
      </w:pPr>
      <w:r w:rsidRPr="008053B5">
        <w:rPr>
          <w:rFonts w:ascii="Verdana" w:hAnsi="Verdana"/>
        </w:rPr>
        <w:t>Lee, Hau L. (2002), “Aligning Supply Chain Strategies with Product Uncertainties,” California Management Review, 44:3, pp. 105-119.</w:t>
      </w:r>
    </w:p>
    <w:p w:rsidR="00432557" w:rsidRDefault="00432557" w:rsidP="00862388">
      <w:pPr>
        <w:spacing w:line="360" w:lineRule="auto"/>
        <w:ind w:left="720" w:hanging="11"/>
        <w:jc w:val="both"/>
        <w:rPr>
          <w:rFonts w:ascii="Verdana" w:hAnsi="Verdana"/>
        </w:rPr>
      </w:pPr>
      <w:r w:rsidRPr="00432557">
        <w:rPr>
          <w:rFonts w:ascii="Verdana" w:hAnsi="Verdana"/>
        </w:rPr>
        <w:t>Lee, H. L., Padmanabhan, V., &amp; Whang, S. (1997). The bullwhip effect in supply chains. Sloan Management Review, 38(3), 93-102.</w:t>
      </w:r>
    </w:p>
    <w:p w:rsidR="008053B5" w:rsidRDefault="008053B5" w:rsidP="00862388">
      <w:pPr>
        <w:spacing w:line="360" w:lineRule="auto"/>
        <w:ind w:left="720" w:hanging="11"/>
        <w:jc w:val="both"/>
        <w:rPr>
          <w:rFonts w:ascii="Verdana" w:hAnsi="Verdana"/>
        </w:rPr>
      </w:pPr>
      <w:r w:rsidRPr="008053B5">
        <w:rPr>
          <w:rFonts w:ascii="Verdana" w:hAnsi="Verdana"/>
        </w:rPr>
        <w:t>Lin, C., Chiu, H. and Chu, P. (2006), “Agility index in the supply chain”, International Journal of Production Economics, Vol. 100 No. 2, pp. 285-299.</w:t>
      </w:r>
    </w:p>
    <w:p w:rsidR="008053B5" w:rsidRDefault="008053B5" w:rsidP="00862388">
      <w:pPr>
        <w:spacing w:line="360" w:lineRule="auto"/>
        <w:ind w:left="720" w:hanging="11"/>
        <w:jc w:val="both"/>
        <w:rPr>
          <w:rFonts w:ascii="Verdana" w:hAnsi="Verdana"/>
        </w:rPr>
      </w:pPr>
      <w:r w:rsidRPr="008053B5">
        <w:rPr>
          <w:rFonts w:ascii="Verdana" w:hAnsi="Verdana"/>
        </w:rPr>
        <w:t xml:space="preserve">Maltz, Arnold, and Elliot Maltz (1998), “Customer Service </w:t>
      </w:r>
      <w:proofErr w:type="gramStart"/>
      <w:r w:rsidRPr="008053B5">
        <w:rPr>
          <w:rFonts w:ascii="Verdana" w:hAnsi="Verdana"/>
        </w:rPr>
        <w:t>In</w:t>
      </w:r>
      <w:proofErr w:type="gramEnd"/>
      <w:r w:rsidRPr="008053B5">
        <w:rPr>
          <w:rFonts w:ascii="Verdana" w:hAnsi="Verdana"/>
        </w:rPr>
        <w:t xml:space="preserve"> The Distributor Channel Empirical Findings,” Journal of Business Logistics, 19:2, pp. 103-129.</w:t>
      </w:r>
    </w:p>
    <w:p w:rsidR="00432557" w:rsidRDefault="00432557" w:rsidP="00862388">
      <w:pPr>
        <w:spacing w:line="360" w:lineRule="auto"/>
        <w:ind w:left="720" w:hanging="11"/>
        <w:jc w:val="both"/>
        <w:rPr>
          <w:rFonts w:ascii="Verdana" w:hAnsi="Verdana"/>
        </w:rPr>
      </w:pPr>
      <w:r w:rsidRPr="00432557">
        <w:rPr>
          <w:rFonts w:ascii="Verdana" w:hAnsi="Verdana"/>
        </w:rPr>
        <w:t xml:space="preserve">Mason-Jones, R., Naylor, B., &amp; </w:t>
      </w:r>
      <w:proofErr w:type="spellStart"/>
      <w:r w:rsidRPr="00432557">
        <w:rPr>
          <w:rFonts w:ascii="Verdana" w:hAnsi="Verdana"/>
        </w:rPr>
        <w:t>Towill</w:t>
      </w:r>
      <w:proofErr w:type="spellEnd"/>
      <w:r w:rsidRPr="00432557">
        <w:rPr>
          <w:rFonts w:ascii="Verdana" w:hAnsi="Verdana"/>
        </w:rPr>
        <w:t xml:space="preserve">, D. (2000). Lean, agile or </w:t>
      </w:r>
      <w:proofErr w:type="spellStart"/>
      <w:r w:rsidRPr="00432557">
        <w:rPr>
          <w:rFonts w:ascii="Verdana" w:hAnsi="Verdana"/>
        </w:rPr>
        <w:t>leagile</w:t>
      </w:r>
      <w:proofErr w:type="spellEnd"/>
      <w:r w:rsidRPr="00432557">
        <w:rPr>
          <w:rFonts w:ascii="Verdana" w:hAnsi="Verdana"/>
        </w:rPr>
        <w:t>? Matching your supply chain to the marketplace. International Journal of Production Research, 38(17), 4061-4070.</w:t>
      </w:r>
    </w:p>
    <w:p w:rsidR="00432557" w:rsidRDefault="00432557" w:rsidP="00862388">
      <w:pPr>
        <w:spacing w:line="360" w:lineRule="auto"/>
        <w:ind w:left="720" w:hanging="11"/>
        <w:jc w:val="both"/>
        <w:rPr>
          <w:rFonts w:ascii="Verdana" w:hAnsi="Verdana"/>
        </w:rPr>
      </w:pPr>
      <w:proofErr w:type="spellStart"/>
      <w:r w:rsidRPr="00D44055">
        <w:rPr>
          <w:rFonts w:ascii="Verdana" w:hAnsi="Verdana"/>
        </w:rPr>
        <w:lastRenderedPageBreak/>
        <w:t>Mellat-Parast</w:t>
      </w:r>
      <w:proofErr w:type="spellEnd"/>
      <w:r w:rsidRPr="00D44055">
        <w:rPr>
          <w:rFonts w:ascii="Verdana" w:hAnsi="Verdana"/>
        </w:rPr>
        <w:t xml:space="preserve">, M., &amp; Spillan, J. E. (2014). </w:t>
      </w:r>
      <w:r w:rsidRPr="00432557">
        <w:rPr>
          <w:rFonts w:ascii="Verdana" w:hAnsi="Verdana"/>
        </w:rPr>
        <w:t>A decision support model for the design and implementation of supply chain strategies. Journal of Business Research, 67(2), 121-127.</w:t>
      </w:r>
    </w:p>
    <w:p w:rsidR="00432557" w:rsidRDefault="00432557" w:rsidP="00862388">
      <w:pPr>
        <w:spacing w:line="360" w:lineRule="auto"/>
        <w:ind w:left="720" w:hanging="11"/>
        <w:jc w:val="both"/>
        <w:rPr>
          <w:rFonts w:ascii="Verdana" w:hAnsi="Verdana"/>
        </w:rPr>
      </w:pPr>
      <w:proofErr w:type="spellStart"/>
      <w:r w:rsidRPr="00D44055">
        <w:rPr>
          <w:rFonts w:ascii="Verdana" w:hAnsi="Verdana"/>
        </w:rPr>
        <w:t>Mellat-Parast</w:t>
      </w:r>
      <w:proofErr w:type="spellEnd"/>
      <w:r w:rsidRPr="00D44055">
        <w:rPr>
          <w:rFonts w:ascii="Verdana" w:hAnsi="Verdana"/>
        </w:rPr>
        <w:t xml:space="preserve">, M., &amp; Spillan, J. E. (2014). </w:t>
      </w:r>
      <w:r w:rsidRPr="00432557">
        <w:rPr>
          <w:rFonts w:ascii="Verdana" w:hAnsi="Verdana"/>
        </w:rPr>
        <w:t>Lean six sigma for supply chain management. Springer.</w:t>
      </w:r>
    </w:p>
    <w:p w:rsidR="00432557" w:rsidRDefault="00432557" w:rsidP="00862388">
      <w:pPr>
        <w:spacing w:line="360" w:lineRule="auto"/>
        <w:ind w:left="720" w:hanging="11"/>
        <w:jc w:val="both"/>
        <w:rPr>
          <w:rFonts w:ascii="Verdana" w:hAnsi="Verdana"/>
        </w:rPr>
      </w:pPr>
      <w:proofErr w:type="spellStart"/>
      <w:r w:rsidRPr="00432557">
        <w:rPr>
          <w:rFonts w:ascii="Verdana" w:hAnsi="Verdana"/>
        </w:rPr>
        <w:t>Olhager</w:t>
      </w:r>
      <w:proofErr w:type="spellEnd"/>
      <w:r w:rsidRPr="00432557">
        <w:rPr>
          <w:rFonts w:ascii="Verdana" w:hAnsi="Verdana"/>
        </w:rPr>
        <w:t>, J. (2003). Strategic positioning of the order penetration point. International Journal of Operations &amp; Production Management, 23(9), 994-1011.</w:t>
      </w:r>
    </w:p>
    <w:p w:rsidR="008053B5" w:rsidRDefault="008053B5" w:rsidP="00862388">
      <w:pPr>
        <w:spacing w:line="360" w:lineRule="auto"/>
        <w:ind w:left="720" w:hanging="11"/>
        <w:jc w:val="both"/>
        <w:rPr>
          <w:rFonts w:ascii="Verdana" w:hAnsi="Verdana"/>
        </w:rPr>
      </w:pPr>
      <w:r w:rsidRPr="008053B5">
        <w:rPr>
          <w:rFonts w:ascii="Verdana" w:hAnsi="Verdana"/>
        </w:rPr>
        <w:t>Qi, Y., Boyer, K.K. and Zhao, X. (2009), “Supply chain strategy, product characteristics, and performance impact: evidence from Chinese manufacturers”, Decision Sciences, Vol. 40 No. 4, pp. 667-695.</w:t>
      </w:r>
    </w:p>
    <w:p w:rsidR="008053B5" w:rsidRDefault="008053B5" w:rsidP="00862388">
      <w:pPr>
        <w:spacing w:line="360" w:lineRule="auto"/>
        <w:ind w:left="720" w:hanging="11"/>
        <w:jc w:val="both"/>
        <w:rPr>
          <w:rFonts w:ascii="Verdana" w:hAnsi="Verdana"/>
        </w:rPr>
      </w:pPr>
      <w:r w:rsidRPr="008053B5">
        <w:rPr>
          <w:rFonts w:ascii="Verdana" w:hAnsi="Verdana"/>
        </w:rPr>
        <w:t>Randall, Taylor R., Ruskin M.  Morgan, and Alysse R. Morton (2003), “Efficient   versus   Responsive   Supply   Chain   Choice:   An Empirical   Examination   of   Influential   Factors,” Journal of   Product   Innovation   Management, 20:6, pp. 430-443.</w:t>
      </w:r>
    </w:p>
    <w:p w:rsidR="0022396B" w:rsidRDefault="0022396B" w:rsidP="00862388">
      <w:pPr>
        <w:spacing w:line="360" w:lineRule="auto"/>
        <w:ind w:left="720" w:hanging="11"/>
        <w:jc w:val="both"/>
        <w:rPr>
          <w:rFonts w:ascii="Verdana" w:hAnsi="Verdana"/>
        </w:rPr>
      </w:pPr>
      <w:r w:rsidRPr="0022396B">
        <w:rPr>
          <w:rFonts w:ascii="Verdana" w:hAnsi="Verdana"/>
        </w:rPr>
        <w:t>Rostami-Tabar, B., Babai, M. Z., and Lowe, T. (2013) ‘A hybrid simulation-optimization approach for supply chain planning under uncertainty’, European Journal of Operational Research, vol. 229, no. 1, pp. 25-41.</w:t>
      </w:r>
    </w:p>
    <w:p w:rsidR="00432557" w:rsidRDefault="00432557" w:rsidP="00862388">
      <w:pPr>
        <w:spacing w:line="360" w:lineRule="auto"/>
        <w:ind w:left="720" w:hanging="11"/>
        <w:jc w:val="both"/>
        <w:rPr>
          <w:rFonts w:ascii="Verdana" w:hAnsi="Verdana"/>
        </w:rPr>
      </w:pPr>
      <w:r w:rsidRPr="00432557">
        <w:rPr>
          <w:rFonts w:ascii="Verdana" w:hAnsi="Verdana"/>
        </w:rPr>
        <w:t>Silver, E.A., Pyke, D.F. and Peterson, R., 2019. Inventory management and production planning and scheduling. John Wiley &amp; Sons.</w:t>
      </w:r>
    </w:p>
    <w:p w:rsidR="00432557" w:rsidRDefault="00432557" w:rsidP="00862388">
      <w:pPr>
        <w:spacing w:line="360" w:lineRule="auto"/>
        <w:ind w:left="720" w:hanging="11"/>
        <w:jc w:val="both"/>
        <w:rPr>
          <w:rFonts w:ascii="Verdana" w:hAnsi="Verdana"/>
        </w:rPr>
      </w:pPr>
      <w:r w:rsidRPr="00432557">
        <w:rPr>
          <w:rFonts w:ascii="Verdana" w:hAnsi="Verdana"/>
        </w:rPr>
        <w:t>Van Hoek, R. I. (2001). Measuring the unmeasurable: A review of reliability and validity of external factors affecting logistics and supply chain performance. International Journal of Physical Distribution &amp; Logistics Management, 31(10), 745-770.</w:t>
      </w:r>
    </w:p>
    <w:p w:rsidR="008053B5" w:rsidRDefault="008053B5" w:rsidP="00862388">
      <w:pPr>
        <w:spacing w:line="360" w:lineRule="auto"/>
        <w:ind w:left="720" w:hanging="11"/>
        <w:jc w:val="both"/>
        <w:rPr>
          <w:rFonts w:ascii="Verdana" w:hAnsi="Verdana"/>
        </w:rPr>
      </w:pPr>
      <w:r w:rsidRPr="008053B5">
        <w:rPr>
          <w:rFonts w:ascii="Verdana" w:hAnsi="Verdana"/>
        </w:rPr>
        <w:t>Vonderembse, M. A., Uppal, M., Huang, S. H., &amp; Dismukes, J. P. (2006). Designing supply chains: Towards theory development. International Journal of Production Economics, 100(2), 223-238.</w:t>
      </w:r>
    </w:p>
    <w:p w:rsidR="008053B5" w:rsidRDefault="008053B5" w:rsidP="00862388">
      <w:pPr>
        <w:spacing w:line="360" w:lineRule="auto"/>
        <w:ind w:left="720" w:hanging="11"/>
        <w:jc w:val="both"/>
        <w:rPr>
          <w:rFonts w:ascii="Verdana" w:hAnsi="Verdana"/>
        </w:rPr>
      </w:pPr>
      <w:r w:rsidRPr="008053B5">
        <w:rPr>
          <w:rFonts w:ascii="Verdana" w:hAnsi="Verdana"/>
        </w:rPr>
        <w:t xml:space="preserve">Wong, Chew Yew, Jan Stentoft </w:t>
      </w:r>
      <w:proofErr w:type="spellStart"/>
      <w:r w:rsidRPr="008053B5">
        <w:rPr>
          <w:rFonts w:ascii="Verdana" w:hAnsi="Verdana"/>
        </w:rPr>
        <w:t>Arlbjǿrn</w:t>
      </w:r>
      <w:proofErr w:type="spellEnd"/>
      <w:r w:rsidRPr="008053B5">
        <w:rPr>
          <w:rFonts w:ascii="Verdana" w:hAnsi="Verdana"/>
        </w:rPr>
        <w:t>, Hans-Henrick Hvolby, and John Johansen (2005), “Assessing Responsiveness of a Volatile and Seasonal Supply Chain: A Case Study,” International Journal of Production Economics, 104:2, pp. 709-721.</w:t>
      </w:r>
    </w:p>
    <w:p w:rsidR="008053B5" w:rsidRDefault="008053B5" w:rsidP="00862388">
      <w:pPr>
        <w:spacing w:line="360" w:lineRule="auto"/>
        <w:ind w:left="720" w:hanging="11"/>
        <w:jc w:val="both"/>
        <w:rPr>
          <w:rFonts w:ascii="Verdana" w:hAnsi="Verdana"/>
        </w:rPr>
      </w:pPr>
      <w:r w:rsidRPr="008053B5">
        <w:rPr>
          <w:rFonts w:ascii="Verdana" w:hAnsi="Verdana"/>
        </w:rPr>
        <w:lastRenderedPageBreak/>
        <w:t xml:space="preserve">Yang, Biao, Neil D. Burns, and Chris J. Backhouse, “Postponement: </w:t>
      </w:r>
      <w:proofErr w:type="gramStart"/>
      <w:r w:rsidRPr="008053B5">
        <w:rPr>
          <w:rFonts w:ascii="Verdana" w:hAnsi="Verdana"/>
        </w:rPr>
        <w:t>a</w:t>
      </w:r>
      <w:proofErr w:type="gramEnd"/>
      <w:r w:rsidRPr="008053B5">
        <w:rPr>
          <w:rFonts w:ascii="Verdana" w:hAnsi="Verdana"/>
        </w:rPr>
        <w:t xml:space="preserve"> Review and an Integrated Framework,” International Journal of Operations &amp; Production Management, 24:5 (2004), pp. 468-487.</w:t>
      </w:r>
    </w:p>
    <w:p w:rsidR="00432557" w:rsidRDefault="00432557" w:rsidP="00862388">
      <w:pPr>
        <w:spacing w:line="360" w:lineRule="auto"/>
        <w:ind w:left="720" w:hanging="11"/>
        <w:jc w:val="both"/>
        <w:rPr>
          <w:rFonts w:ascii="Verdana" w:hAnsi="Verdana"/>
        </w:rPr>
      </w:pPr>
      <w:r w:rsidRPr="00432557">
        <w:rPr>
          <w:rFonts w:ascii="Verdana" w:hAnsi="Verdana"/>
        </w:rPr>
        <w:t>Zhang, L., &amp; Zhang, J. (2010). Make-to-order or make-to-availability: A strategic decision for manufacturing firms with both demand and supply uncertainties. International Journal of Production Economics, 124(2), 427-436.</w:t>
      </w:r>
    </w:p>
    <w:p w:rsidR="00166A48" w:rsidRDefault="005B0F30" w:rsidP="00862388">
      <w:pPr>
        <w:pStyle w:val="Heading1"/>
        <w:spacing w:line="360" w:lineRule="auto"/>
        <w:ind w:left="720"/>
        <w:jc w:val="both"/>
        <w:rPr>
          <w:rFonts w:ascii="Verdana" w:hAnsi="Verdana"/>
          <w:b/>
          <w:color w:val="auto"/>
          <w:sz w:val="22"/>
          <w:szCs w:val="22"/>
        </w:rPr>
      </w:pPr>
      <w:bookmarkStart w:id="33" w:name="_Toc133778877"/>
      <w:bookmarkEnd w:id="32"/>
      <w:r w:rsidRPr="005E47E8">
        <w:rPr>
          <w:rFonts w:ascii="Verdana" w:hAnsi="Verdana"/>
          <w:b/>
          <w:color w:val="auto"/>
          <w:sz w:val="22"/>
          <w:szCs w:val="22"/>
        </w:rPr>
        <w:t>Appendi</w:t>
      </w:r>
      <w:r w:rsidR="00267808">
        <w:rPr>
          <w:rFonts w:ascii="Verdana" w:hAnsi="Verdana"/>
          <w:b/>
          <w:color w:val="auto"/>
          <w:sz w:val="22"/>
          <w:szCs w:val="22"/>
        </w:rPr>
        <w:t>ces</w:t>
      </w:r>
      <w:bookmarkEnd w:id="33"/>
    </w:p>
    <w:p w:rsidR="00267808" w:rsidRPr="00267808" w:rsidRDefault="00267808" w:rsidP="00267808">
      <w:pPr>
        <w:pStyle w:val="Heading2"/>
        <w:spacing w:line="360" w:lineRule="auto"/>
        <w:ind w:left="709"/>
        <w:jc w:val="both"/>
        <w:rPr>
          <w:rFonts w:ascii="Verdana" w:hAnsi="Verdana"/>
          <w:color w:val="auto"/>
          <w:sz w:val="22"/>
          <w:szCs w:val="22"/>
        </w:rPr>
      </w:pPr>
      <w:bookmarkStart w:id="34" w:name="_Toc133778878"/>
      <w:r w:rsidRPr="00267808">
        <w:rPr>
          <w:rFonts w:ascii="Verdana" w:hAnsi="Verdana"/>
          <w:color w:val="auto"/>
          <w:sz w:val="22"/>
          <w:szCs w:val="22"/>
        </w:rPr>
        <w:t xml:space="preserve">Appendix 1: </w:t>
      </w:r>
      <w:r>
        <w:rPr>
          <w:rFonts w:ascii="Verdana" w:hAnsi="Verdana"/>
          <w:color w:val="auto"/>
          <w:sz w:val="22"/>
          <w:szCs w:val="22"/>
        </w:rPr>
        <w:t>Data Types</w:t>
      </w:r>
      <w:bookmarkEnd w:id="34"/>
    </w:p>
    <w:tbl>
      <w:tblPr>
        <w:tblStyle w:val="TableGrid"/>
        <w:tblW w:w="8505" w:type="dxa"/>
        <w:tblInd w:w="704" w:type="dxa"/>
        <w:tblLook w:val="04A0" w:firstRow="1" w:lastRow="0" w:firstColumn="1" w:lastColumn="0" w:noHBand="0" w:noVBand="1"/>
      </w:tblPr>
      <w:tblGrid>
        <w:gridCol w:w="4675"/>
        <w:gridCol w:w="3830"/>
      </w:tblGrid>
      <w:tr w:rsidR="00267808" w:rsidRPr="00267808" w:rsidTr="00267808">
        <w:tc>
          <w:tcPr>
            <w:tcW w:w="4675" w:type="dxa"/>
          </w:tcPr>
          <w:p w:rsidR="00267808" w:rsidRPr="00267808" w:rsidRDefault="00267808" w:rsidP="00EA350C">
            <w:pPr>
              <w:pStyle w:val="ListParagraph"/>
              <w:spacing w:line="360" w:lineRule="auto"/>
              <w:ind w:left="0"/>
              <w:jc w:val="both"/>
              <w:rPr>
                <w:rFonts w:ascii="Verdana" w:hAnsi="Verdana"/>
                <w:b/>
                <w:bCs/>
              </w:rPr>
            </w:pPr>
            <w:r w:rsidRPr="00267808">
              <w:rPr>
                <w:rFonts w:ascii="Verdana" w:hAnsi="Verdana"/>
                <w:b/>
                <w:bCs/>
              </w:rPr>
              <w:t xml:space="preserve">Data </w:t>
            </w:r>
          </w:p>
        </w:tc>
        <w:tc>
          <w:tcPr>
            <w:tcW w:w="3830" w:type="dxa"/>
          </w:tcPr>
          <w:p w:rsidR="00267808" w:rsidRPr="00267808" w:rsidRDefault="00267808" w:rsidP="00EA350C">
            <w:pPr>
              <w:pStyle w:val="ListParagraph"/>
              <w:spacing w:line="360" w:lineRule="auto"/>
              <w:ind w:left="0"/>
              <w:jc w:val="both"/>
              <w:rPr>
                <w:rFonts w:ascii="Verdana" w:hAnsi="Verdana"/>
                <w:b/>
                <w:bCs/>
              </w:rPr>
            </w:pPr>
            <w:r w:rsidRPr="00267808">
              <w:rPr>
                <w:rFonts w:ascii="Verdana" w:hAnsi="Verdana"/>
                <w:b/>
                <w:bCs/>
              </w:rPr>
              <w:t xml:space="preserve">Data Type </w:t>
            </w:r>
          </w:p>
        </w:tc>
      </w:tr>
      <w:tr w:rsidR="00267808" w:rsidRPr="00267808" w:rsidTr="00267808">
        <w:tc>
          <w:tcPr>
            <w:tcW w:w="4675" w:type="dxa"/>
          </w:tcPr>
          <w:p w:rsidR="00267808" w:rsidRPr="00267808" w:rsidRDefault="00267808" w:rsidP="00EA350C">
            <w:pPr>
              <w:spacing w:line="360" w:lineRule="auto"/>
              <w:jc w:val="both"/>
              <w:rPr>
                <w:rFonts w:ascii="Verdana" w:hAnsi="Verdana" w:cs="Calibri"/>
                <w:color w:val="000000"/>
              </w:rPr>
            </w:pPr>
            <w:r w:rsidRPr="00267808">
              <w:rPr>
                <w:rFonts w:ascii="Verdana" w:hAnsi="Verdana" w:cs="Calibri"/>
                <w:color w:val="000000"/>
              </w:rPr>
              <w:t xml:space="preserve">Product </w:t>
            </w:r>
          </w:p>
        </w:tc>
        <w:tc>
          <w:tcPr>
            <w:tcW w:w="3830" w:type="dxa"/>
          </w:tcPr>
          <w:p w:rsidR="00267808" w:rsidRPr="00267808" w:rsidRDefault="00267808" w:rsidP="00EA350C">
            <w:pPr>
              <w:pStyle w:val="ListParagraph"/>
              <w:spacing w:line="360" w:lineRule="auto"/>
              <w:ind w:left="0"/>
              <w:jc w:val="both"/>
              <w:rPr>
                <w:rFonts w:ascii="Verdana" w:hAnsi="Verdana"/>
              </w:rPr>
            </w:pPr>
            <w:r>
              <w:rPr>
                <w:rFonts w:ascii="Verdana" w:hAnsi="Verdana"/>
              </w:rPr>
              <w:t xml:space="preserve">Nominal </w:t>
            </w:r>
          </w:p>
        </w:tc>
      </w:tr>
      <w:tr w:rsidR="00267808" w:rsidRPr="00267808" w:rsidTr="00267808">
        <w:tc>
          <w:tcPr>
            <w:tcW w:w="4675" w:type="dxa"/>
          </w:tcPr>
          <w:p w:rsidR="00267808" w:rsidRPr="00267808" w:rsidRDefault="00267808" w:rsidP="00EA350C">
            <w:pPr>
              <w:spacing w:line="360" w:lineRule="auto"/>
              <w:rPr>
                <w:rFonts w:ascii="Verdana" w:hAnsi="Verdana" w:cs="Calibri"/>
                <w:color w:val="000000"/>
              </w:rPr>
            </w:pPr>
            <w:r w:rsidRPr="00267808">
              <w:rPr>
                <w:rFonts w:ascii="Verdana" w:hAnsi="Verdana" w:cs="Calibri"/>
                <w:color w:val="000000"/>
              </w:rPr>
              <w:t>Description</w:t>
            </w:r>
          </w:p>
        </w:tc>
        <w:tc>
          <w:tcPr>
            <w:tcW w:w="3830" w:type="dxa"/>
          </w:tcPr>
          <w:p w:rsidR="00267808" w:rsidRPr="00267808" w:rsidRDefault="00267808" w:rsidP="00EA350C">
            <w:pPr>
              <w:pStyle w:val="ListParagraph"/>
              <w:spacing w:line="360" w:lineRule="auto"/>
              <w:ind w:left="0"/>
              <w:jc w:val="both"/>
              <w:rPr>
                <w:rFonts w:ascii="Verdana" w:hAnsi="Verdana"/>
              </w:rPr>
            </w:pPr>
            <w:r>
              <w:rPr>
                <w:rFonts w:ascii="Verdana" w:hAnsi="Verdana"/>
              </w:rPr>
              <w:t xml:space="preserve">Nominal </w:t>
            </w:r>
          </w:p>
        </w:tc>
      </w:tr>
      <w:tr w:rsidR="00267808" w:rsidRPr="00267808" w:rsidTr="00267808">
        <w:tc>
          <w:tcPr>
            <w:tcW w:w="4675" w:type="dxa"/>
          </w:tcPr>
          <w:p w:rsidR="00267808" w:rsidRPr="00267808" w:rsidRDefault="00267808" w:rsidP="00EA350C">
            <w:pPr>
              <w:spacing w:line="360" w:lineRule="auto"/>
              <w:jc w:val="both"/>
              <w:rPr>
                <w:rFonts w:ascii="Verdana" w:hAnsi="Verdana" w:cs="Calibri"/>
                <w:color w:val="000000"/>
              </w:rPr>
            </w:pPr>
            <w:r w:rsidRPr="00267808">
              <w:rPr>
                <w:rFonts w:ascii="Verdana" w:hAnsi="Verdana" w:cs="Calibri"/>
                <w:color w:val="000000"/>
              </w:rPr>
              <w:t>Colour</w:t>
            </w:r>
          </w:p>
        </w:tc>
        <w:tc>
          <w:tcPr>
            <w:tcW w:w="3830" w:type="dxa"/>
          </w:tcPr>
          <w:p w:rsidR="00267808" w:rsidRPr="00267808" w:rsidRDefault="00267808" w:rsidP="00EA350C">
            <w:pPr>
              <w:pStyle w:val="ListParagraph"/>
              <w:spacing w:line="360" w:lineRule="auto"/>
              <w:ind w:left="0"/>
              <w:jc w:val="both"/>
              <w:rPr>
                <w:rFonts w:ascii="Verdana" w:hAnsi="Verdana"/>
              </w:rPr>
            </w:pPr>
            <w:r>
              <w:rPr>
                <w:rFonts w:ascii="Verdana" w:hAnsi="Verdana"/>
              </w:rPr>
              <w:t xml:space="preserve">Nominal </w:t>
            </w:r>
          </w:p>
        </w:tc>
      </w:tr>
      <w:tr w:rsidR="00267808" w:rsidRPr="00267808" w:rsidTr="00267808">
        <w:tc>
          <w:tcPr>
            <w:tcW w:w="4675" w:type="dxa"/>
          </w:tcPr>
          <w:p w:rsidR="00267808" w:rsidRPr="00267808" w:rsidRDefault="00267808" w:rsidP="00EA350C">
            <w:pPr>
              <w:pStyle w:val="ListParagraph"/>
              <w:tabs>
                <w:tab w:val="left" w:pos="1576"/>
              </w:tabs>
              <w:spacing w:line="360" w:lineRule="auto"/>
              <w:ind w:left="0"/>
              <w:jc w:val="both"/>
              <w:rPr>
                <w:rFonts w:ascii="Verdana" w:hAnsi="Verdana"/>
              </w:rPr>
            </w:pPr>
            <w:r w:rsidRPr="00267808">
              <w:rPr>
                <w:rFonts w:ascii="Verdana" w:hAnsi="Verdana" w:cs="Calibri"/>
                <w:color w:val="000000"/>
              </w:rPr>
              <w:t>Powder weight (kg)</w:t>
            </w:r>
          </w:p>
        </w:tc>
        <w:tc>
          <w:tcPr>
            <w:tcW w:w="3830" w:type="dxa"/>
          </w:tcPr>
          <w:p w:rsidR="00267808" w:rsidRPr="00267808" w:rsidRDefault="00267808" w:rsidP="00EA350C">
            <w:pPr>
              <w:pStyle w:val="ListParagraph"/>
              <w:spacing w:line="360" w:lineRule="auto"/>
              <w:ind w:left="0"/>
              <w:jc w:val="both"/>
              <w:rPr>
                <w:rFonts w:ascii="Verdana" w:hAnsi="Verdana"/>
              </w:rPr>
            </w:pPr>
            <w:r>
              <w:rPr>
                <w:rFonts w:ascii="Verdana" w:hAnsi="Verdana"/>
              </w:rPr>
              <w:t>Ratio</w:t>
            </w:r>
          </w:p>
        </w:tc>
      </w:tr>
      <w:tr w:rsidR="00267808" w:rsidRPr="00267808" w:rsidTr="00267808">
        <w:tc>
          <w:tcPr>
            <w:tcW w:w="4675" w:type="dxa"/>
          </w:tcPr>
          <w:p w:rsidR="00267808" w:rsidRPr="00267808" w:rsidRDefault="00267808" w:rsidP="00EA350C">
            <w:pPr>
              <w:pStyle w:val="ListParagraph"/>
              <w:tabs>
                <w:tab w:val="left" w:pos="1114"/>
              </w:tabs>
              <w:spacing w:line="360" w:lineRule="auto"/>
              <w:ind w:left="0"/>
              <w:jc w:val="both"/>
              <w:rPr>
                <w:rFonts w:ascii="Verdana" w:hAnsi="Verdana"/>
              </w:rPr>
            </w:pPr>
            <w:r w:rsidRPr="00267808">
              <w:rPr>
                <w:rFonts w:ascii="Verdana" w:hAnsi="Verdana" w:cs="Calibri"/>
                <w:color w:val="000000"/>
              </w:rPr>
              <w:t>Selling Price (£)</w:t>
            </w:r>
          </w:p>
        </w:tc>
        <w:tc>
          <w:tcPr>
            <w:tcW w:w="3830" w:type="dxa"/>
          </w:tcPr>
          <w:p w:rsidR="00267808" w:rsidRPr="00267808" w:rsidRDefault="00267808" w:rsidP="00EA350C">
            <w:pPr>
              <w:pStyle w:val="ListParagraph"/>
              <w:spacing w:line="360" w:lineRule="auto"/>
              <w:ind w:left="0"/>
              <w:jc w:val="both"/>
              <w:rPr>
                <w:rFonts w:ascii="Verdana" w:hAnsi="Verdana"/>
              </w:rPr>
            </w:pPr>
            <w:r>
              <w:rPr>
                <w:rFonts w:ascii="Verdana" w:hAnsi="Verdana"/>
              </w:rPr>
              <w:t>Ratio</w:t>
            </w:r>
          </w:p>
        </w:tc>
      </w:tr>
      <w:tr w:rsidR="00267808" w:rsidRPr="00267808" w:rsidTr="00267808">
        <w:tc>
          <w:tcPr>
            <w:tcW w:w="4675" w:type="dxa"/>
          </w:tcPr>
          <w:p w:rsidR="00267808" w:rsidRPr="00267808" w:rsidRDefault="00267808" w:rsidP="00EA350C">
            <w:pPr>
              <w:spacing w:line="360" w:lineRule="auto"/>
              <w:jc w:val="both"/>
              <w:rPr>
                <w:rFonts w:ascii="Verdana" w:hAnsi="Verdana" w:cs="Calibri"/>
                <w:color w:val="000000"/>
              </w:rPr>
            </w:pPr>
            <w:r w:rsidRPr="00267808">
              <w:rPr>
                <w:rFonts w:ascii="Verdana" w:hAnsi="Verdana" w:cs="Calibri"/>
                <w:color w:val="000000"/>
              </w:rPr>
              <w:t xml:space="preserve">Number of Sales 2006 </w:t>
            </w:r>
          </w:p>
        </w:tc>
        <w:tc>
          <w:tcPr>
            <w:tcW w:w="3830" w:type="dxa"/>
          </w:tcPr>
          <w:p w:rsidR="00267808" w:rsidRPr="00267808" w:rsidRDefault="00267808" w:rsidP="00EA350C">
            <w:pPr>
              <w:pStyle w:val="ListParagraph"/>
              <w:spacing w:line="360" w:lineRule="auto"/>
              <w:ind w:left="0"/>
              <w:jc w:val="both"/>
              <w:rPr>
                <w:rFonts w:ascii="Verdana" w:hAnsi="Verdana"/>
              </w:rPr>
            </w:pPr>
            <w:r>
              <w:rPr>
                <w:rFonts w:ascii="Verdana" w:hAnsi="Verdana"/>
              </w:rPr>
              <w:t xml:space="preserve">Interval </w:t>
            </w:r>
          </w:p>
        </w:tc>
      </w:tr>
      <w:tr w:rsidR="00267808" w:rsidRPr="00267808" w:rsidTr="00267808">
        <w:tc>
          <w:tcPr>
            <w:tcW w:w="4675" w:type="dxa"/>
          </w:tcPr>
          <w:p w:rsidR="00267808" w:rsidRPr="00267808" w:rsidRDefault="00267808" w:rsidP="00EA350C">
            <w:pPr>
              <w:spacing w:line="360" w:lineRule="auto"/>
              <w:jc w:val="both"/>
              <w:rPr>
                <w:rFonts w:ascii="Verdana" w:hAnsi="Verdana" w:cs="Calibri"/>
                <w:color w:val="000000"/>
              </w:rPr>
            </w:pPr>
            <w:r w:rsidRPr="00267808">
              <w:rPr>
                <w:rFonts w:ascii="Verdana" w:hAnsi="Verdana" w:cs="Calibri"/>
                <w:color w:val="000000"/>
              </w:rPr>
              <w:t>Number of Sales 2007</w:t>
            </w:r>
          </w:p>
        </w:tc>
        <w:tc>
          <w:tcPr>
            <w:tcW w:w="3830" w:type="dxa"/>
          </w:tcPr>
          <w:p w:rsidR="00267808" w:rsidRPr="00267808" w:rsidRDefault="00267808" w:rsidP="00EA350C">
            <w:pPr>
              <w:pStyle w:val="ListParagraph"/>
              <w:spacing w:line="360" w:lineRule="auto"/>
              <w:ind w:left="0"/>
              <w:jc w:val="both"/>
              <w:rPr>
                <w:rFonts w:ascii="Verdana" w:hAnsi="Verdana"/>
              </w:rPr>
            </w:pPr>
            <w:r>
              <w:rPr>
                <w:rFonts w:ascii="Verdana" w:hAnsi="Verdana"/>
              </w:rPr>
              <w:t>Interval</w:t>
            </w:r>
          </w:p>
        </w:tc>
      </w:tr>
      <w:tr w:rsidR="00267808" w:rsidRPr="00267808" w:rsidTr="00267808">
        <w:tc>
          <w:tcPr>
            <w:tcW w:w="4675" w:type="dxa"/>
          </w:tcPr>
          <w:p w:rsidR="00267808" w:rsidRPr="00267808" w:rsidRDefault="00267808" w:rsidP="00EA350C">
            <w:pPr>
              <w:spacing w:line="360" w:lineRule="auto"/>
              <w:jc w:val="both"/>
              <w:rPr>
                <w:rFonts w:ascii="Verdana" w:hAnsi="Verdana" w:cs="Calibri"/>
                <w:color w:val="000000"/>
              </w:rPr>
            </w:pPr>
            <w:r w:rsidRPr="00267808">
              <w:rPr>
                <w:rFonts w:ascii="Verdana" w:hAnsi="Verdana" w:cs="Calibri"/>
                <w:color w:val="000000"/>
              </w:rPr>
              <w:t>Number of Sales 2008</w:t>
            </w:r>
          </w:p>
        </w:tc>
        <w:tc>
          <w:tcPr>
            <w:tcW w:w="3830" w:type="dxa"/>
          </w:tcPr>
          <w:p w:rsidR="00267808" w:rsidRPr="00267808" w:rsidRDefault="00267808" w:rsidP="00EA350C">
            <w:pPr>
              <w:pStyle w:val="ListParagraph"/>
              <w:spacing w:line="360" w:lineRule="auto"/>
              <w:ind w:left="0"/>
              <w:jc w:val="both"/>
              <w:rPr>
                <w:rFonts w:ascii="Verdana" w:hAnsi="Verdana"/>
              </w:rPr>
            </w:pPr>
            <w:r>
              <w:rPr>
                <w:rFonts w:ascii="Verdana" w:hAnsi="Verdana"/>
              </w:rPr>
              <w:t>Interval</w:t>
            </w:r>
          </w:p>
        </w:tc>
      </w:tr>
      <w:tr w:rsidR="00267808" w:rsidRPr="00267808" w:rsidTr="00267808">
        <w:tc>
          <w:tcPr>
            <w:tcW w:w="4675" w:type="dxa"/>
          </w:tcPr>
          <w:p w:rsidR="00267808" w:rsidRPr="00267808" w:rsidRDefault="00267808" w:rsidP="00EA350C">
            <w:pPr>
              <w:spacing w:line="360" w:lineRule="auto"/>
              <w:jc w:val="both"/>
              <w:rPr>
                <w:rFonts w:ascii="Verdana" w:hAnsi="Verdana" w:cs="Calibri"/>
                <w:color w:val="000000"/>
              </w:rPr>
            </w:pPr>
            <w:r w:rsidRPr="00267808">
              <w:rPr>
                <w:rFonts w:ascii="Verdana" w:hAnsi="Verdana" w:cs="Calibri"/>
                <w:color w:val="000000"/>
              </w:rPr>
              <w:t>Number of Sales 2009</w:t>
            </w:r>
          </w:p>
        </w:tc>
        <w:tc>
          <w:tcPr>
            <w:tcW w:w="3830" w:type="dxa"/>
          </w:tcPr>
          <w:p w:rsidR="00267808" w:rsidRPr="00267808" w:rsidRDefault="00267808" w:rsidP="00EA350C">
            <w:pPr>
              <w:pStyle w:val="ListParagraph"/>
              <w:spacing w:line="360" w:lineRule="auto"/>
              <w:ind w:left="0"/>
              <w:jc w:val="both"/>
              <w:rPr>
                <w:rFonts w:ascii="Verdana" w:hAnsi="Verdana"/>
              </w:rPr>
            </w:pPr>
            <w:r>
              <w:rPr>
                <w:rFonts w:ascii="Verdana" w:hAnsi="Verdana"/>
              </w:rPr>
              <w:t>Interval</w:t>
            </w:r>
          </w:p>
        </w:tc>
      </w:tr>
      <w:tr w:rsidR="00267808" w:rsidRPr="00267808" w:rsidTr="00267808">
        <w:tc>
          <w:tcPr>
            <w:tcW w:w="4675" w:type="dxa"/>
          </w:tcPr>
          <w:p w:rsidR="00267808" w:rsidRPr="00267808" w:rsidRDefault="00267808" w:rsidP="00EA350C">
            <w:pPr>
              <w:spacing w:line="360" w:lineRule="auto"/>
              <w:jc w:val="both"/>
              <w:rPr>
                <w:rFonts w:ascii="Verdana" w:hAnsi="Verdana" w:cs="Calibri"/>
                <w:color w:val="000000"/>
              </w:rPr>
            </w:pPr>
            <w:r w:rsidRPr="00267808">
              <w:rPr>
                <w:rFonts w:ascii="Verdana" w:hAnsi="Verdana" w:cs="Calibri"/>
                <w:color w:val="000000"/>
              </w:rPr>
              <w:t>Number of Sales 2010</w:t>
            </w:r>
          </w:p>
        </w:tc>
        <w:tc>
          <w:tcPr>
            <w:tcW w:w="3830" w:type="dxa"/>
          </w:tcPr>
          <w:p w:rsidR="00267808" w:rsidRPr="00267808" w:rsidRDefault="00267808" w:rsidP="00EA350C">
            <w:pPr>
              <w:pStyle w:val="ListParagraph"/>
              <w:spacing w:line="360" w:lineRule="auto"/>
              <w:ind w:left="0"/>
              <w:jc w:val="both"/>
              <w:rPr>
                <w:rFonts w:ascii="Verdana" w:hAnsi="Verdana"/>
              </w:rPr>
            </w:pPr>
            <w:r>
              <w:rPr>
                <w:rFonts w:ascii="Verdana" w:hAnsi="Verdana"/>
              </w:rPr>
              <w:t>Interval</w:t>
            </w:r>
          </w:p>
        </w:tc>
      </w:tr>
      <w:tr w:rsidR="00267808" w:rsidRPr="00267808" w:rsidTr="00267808">
        <w:tc>
          <w:tcPr>
            <w:tcW w:w="4675" w:type="dxa"/>
          </w:tcPr>
          <w:p w:rsidR="00267808" w:rsidRPr="00267808" w:rsidRDefault="00267808" w:rsidP="00EA350C">
            <w:pPr>
              <w:spacing w:line="360" w:lineRule="auto"/>
              <w:jc w:val="both"/>
              <w:rPr>
                <w:rFonts w:ascii="Verdana" w:hAnsi="Verdana" w:cs="Calibri"/>
                <w:color w:val="000000"/>
              </w:rPr>
            </w:pPr>
            <w:r w:rsidRPr="00267808">
              <w:rPr>
                <w:rFonts w:ascii="Verdana" w:hAnsi="Verdana" w:cs="Calibri"/>
                <w:color w:val="000000"/>
              </w:rPr>
              <w:t>Number of Sales 2011</w:t>
            </w:r>
          </w:p>
        </w:tc>
        <w:tc>
          <w:tcPr>
            <w:tcW w:w="3830" w:type="dxa"/>
          </w:tcPr>
          <w:p w:rsidR="00267808" w:rsidRPr="00267808" w:rsidRDefault="00267808" w:rsidP="00EA350C">
            <w:pPr>
              <w:pStyle w:val="ListParagraph"/>
              <w:spacing w:line="360" w:lineRule="auto"/>
              <w:ind w:left="0"/>
              <w:jc w:val="both"/>
              <w:rPr>
                <w:rFonts w:ascii="Verdana" w:hAnsi="Verdana"/>
              </w:rPr>
            </w:pPr>
            <w:r>
              <w:rPr>
                <w:rFonts w:ascii="Verdana" w:hAnsi="Verdana"/>
              </w:rPr>
              <w:t>Interval</w:t>
            </w:r>
          </w:p>
        </w:tc>
      </w:tr>
      <w:tr w:rsidR="00267808" w:rsidRPr="00267808" w:rsidTr="00267808">
        <w:tc>
          <w:tcPr>
            <w:tcW w:w="4675" w:type="dxa"/>
          </w:tcPr>
          <w:p w:rsidR="00267808" w:rsidRPr="00267808" w:rsidRDefault="00267808" w:rsidP="00EA350C">
            <w:pPr>
              <w:spacing w:line="360" w:lineRule="auto"/>
              <w:jc w:val="both"/>
              <w:rPr>
                <w:rFonts w:ascii="Verdana" w:hAnsi="Verdana" w:cs="Calibri"/>
                <w:color w:val="000000"/>
              </w:rPr>
            </w:pPr>
            <w:r w:rsidRPr="00267808">
              <w:rPr>
                <w:rFonts w:ascii="Verdana" w:hAnsi="Verdana" w:cs="Calibri"/>
                <w:color w:val="000000"/>
              </w:rPr>
              <w:t>Number of Sales 2012</w:t>
            </w:r>
          </w:p>
        </w:tc>
        <w:tc>
          <w:tcPr>
            <w:tcW w:w="3830" w:type="dxa"/>
          </w:tcPr>
          <w:p w:rsidR="00267808" w:rsidRPr="00267808" w:rsidRDefault="00267808" w:rsidP="00EA350C">
            <w:pPr>
              <w:pStyle w:val="ListParagraph"/>
              <w:spacing w:line="360" w:lineRule="auto"/>
              <w:ind w:left="0"/>
              <w:jc w:val="both"/>
              <w:rPr>
                <w:rFonts w:ascii="Verdana" w:hAnsi="Verdana"/>
              </w:rPr>
            </w:pPr>
            <w:r>
              <w:rPr>
                <w:rFonts w:ascii="Verdana" w:hAnsi="Verdana"/>
              </w:rPr>
              <w:t>Interval</w:t>
            </w:r>
          </w:p>
        </w:tc>
      </w:tr>
      <w:tr w:rsidR="00267808" w:rsidRPr="00267808" w:rsidTr="00267808">
        <w:tc>
          <w:tcPr>
            <w:tcW w:w="4675" w:type="dxa"/>
          </w:tcPr>
          <w:p w:rsidR="00267808" w:rsidRPr="00267808" w:rsidRDefault="00267808" w:rsidP="00EA350C">
            <w:pPr>
              <w:spacing w:line="360" w:lineRule="auto"/>
              <w:jc w:val="both"/>
              <w:rPr>
                <w:rFonts w:ascii="Verdana" w:hAnsi="Verdana" w:cs="Calibri"/>
                <w:color w:val="000000"/>
              </w:rPr>
            </w:pPr>
            <w:r w:rsidRPr="00267808">
              <w:rPr>
                <w:rFonts w:ascii="Verdana" w:hAnsi="Verdana" w:cs="Calibri"/>
                <w:color w:val="000000"/>
              </w:rPr>
              <w:t xml:space="preserve">Product Family </w:t>
            </w:r>
          </w:p>
        </w:tc>
        <w:tc>
          <w:tcPr>
            <w:tcW w:w="3830" w:type="dxa"/>
          </w:tcPr>
          <w:p w:rsidR="00267808" w:rsidRPr="00267808" w:rsidRDefault="00267808" w:rsidP="00EA350C">
            <w:pPr>
              <w:pStyle w:val="ListParagraph"/>
              <w:spacing w:line="360" w:lineRule="auto"/>
              <w:ind w:left="0"/>
              <w:jc w:val="both"/>
              <w:rPr>
                <w:rFonts w:ascii="Verdana" w:hAnsi="Verdana"/>
              </w:rPr>
            </w:pPr>
            <w:r>
              <w:rPr>
                <w:rFonts w:ascii="Verdana" w:hAnsi="Verdana"/>
              </w:rPr>
              <w:t xml:space="preserve">Nominal </w:t>
            </w:r>
          </w:p>
        </w:tc>
      </w:tr>
      <w:tr w:rsidR="00267808" w:rsidRPr="00267808" w:rsidTr="00267808">
        <w:tc>
          <w:tcPr>
            <w:tcW w:w="4675" w:type="dxa"/>
          </w:tcPr>
          <w:p w:rsidR="00267808" w:rsidRPr="00267808" w:rsidRDefault="00267808" w:rsidP="00EA350C">
            <w:pPr>
              <w:spacing w:line="360" w:lineRule="auto"/>
              <w:jc w:val="both"/>
              <w:rPr>
                <w:rFonts w:ascii="Verdana" w:hAnsi="Verdana" w:cs="Calibri"/>
                <w:color w:val="000000"/>
              </w:rPr>
            </w:pPr>
            <w:r w:rsidRPr="00267808">
              <w:rPr>
                <w:rFonts w:ascii="Verdana" w:hAnsi="Verdana" w:cs="Calibri"/>
                <w:color w:val="000000"/>
              </w:rPr>
              <w:t>Due Date Performance %</w:t>
            </w:r>
          </w:p>
        </w:tc>
        <w:tc>
          <w:tcPr>
            <w:tcW w:w="3830" w:type="dxa"/>
          </w:tcPr>
          <w:p w:rsidR="00267808" w:rsidRPr="00267808" w:rsidRDefault="00267808" w:rsidP="00EA350C">
            <w:pPr>
              <w:pStyle w:val="ListParagraph"/>
              <w:spacing w:line="360" w:lineRule="auto"/>
              <w:ind w:left="0"/>
              <w:jc w:val="both"/>
              <w:rPr>
                <w:rFonts w:ascii="Verdana" w:hAnsi="Verdana"/>
              </w:rPr>
            </w:pPr>
            <w:r>
              <w:rPr>
                <w:rFonts w:ascii="Verdana" w:hAnsi="Verdana"/>
              </w:rPr>
              <w:t xml:space="preserve">Ordinal </w:t>
            </w:r>
          </w:p>
        </w:tc>
      </w:tr>
    </w:tbl>
    <w:p w:rsidR="00267808" w:rsidRPr="00267808" w:rsidRDefault="00267808" w:rsidP="00267808">
      <w:pPr>
        <w:ind w:left="709"/>
      </w:pPr>
    </w:p>
    <w:p w:rsidR="0012363D" w:rsidRDefault="009F5990" w:rsidP="00862388">
      <w:pPr>
        <w:pStyle w:val="Heading2"/>
        <w:spacing w:line="360" w:lineRule="auto"/>
        <w:ind w:left="709"/>
        <w:jc w:val="both"/>
        <w:rPr>
          <w:rFonts w:ascii="Verdana" w:hAnsi="Verdana"/>
          <w:color w:val="auto"/>
          <w:sz w:val="22"/>
          <w:szCs w:val="22"/>
        </w:rPr>
      </w:pPr>
      <w:bookmarkStart w:id="35" w:name="_Toc133778879"/>
      <w:r w:rsidRPr="005E47E8">
        <w:rPr>
          <w:rFonts w:ascii="Verdana" w:hAnsi="Verdana"/>
          <w:color w:val="auto"/>
          <w:sz w:val="22"/>
          <w:szCs w:val="22"/>
        </w:rPr>
        <w:t xml:space="preserve">Appendix </w:t>
      </w:r>
      <w:r w:rsidR="00267808">
        <w:rPr>
          <w:rFonts w:ascii="Verdana" w:hAnsi="Verdana"/>
          <w:color w:val="auto"/>
          <w:sz w:val="22"/>
          <w:szCs w:val="22"/>
        </w:rPr>
        <w:t>2</w:t>
      </w:r>
      <w:r w:rsidRPr="005E47E8">
        <w:rPr>
          <w:rFonts w:ascii="Verdana" w:hAnsi="Verdana"/>
          <w:color w:val="auto"/>
          <w:sz w:val="22"/>
          <w:szCs w:val="22"/>
        </w:rPr>
        <w:t xml:space="preserve">: </w:t>
      </w:r>
      <w:r w:rsidR="00A36FEA">
        <w:rPr>
          <w:rFonts w:ascii="Verdana" w:hAnsi="Verdana"/>
          <w:color w:val="auto"/>
          <w:sz w:val="22"/>
          <w:szCs w:val="22"/>
        </w:rPr>
        <w:t>Descriptive statistics of Due Date Performance</w:t>
      </w:r>
      <w:bookmarkEnd w:id="35"/>
    </w:p>
    <w:tbl>
      <w:tblPr>
        <w:tblW w:w="5528" w:type="dxa"/>
        <w:tblInd w:w="709" w:type="dxa"/>
        <w:tblLook w:val="04A0" w:firstRow="1" w:lastRow="0" w:firstColumn="1" w:lastColumn="0" w:noHBand="0" w:noVBand="1"/>
      </w:tblPr>
      <w:tblGrid>
        <w:gridCol w:w="3119"/>
        <w:gridCol w:w="2409"/>
      </w:tblGrid>
      <w:tr w:rsidR="00C47D25" w:rsidRPr="00C47D25" w:rsidTr="00953F04">
        <w:trPr>
          <w:trHeight w:val="300"/>
        </w:trPr>
        <w:tc>
          <w:tcPr>
            <w:tcW w:w="5523" w:type="dxa"/>
            <w:gridSpan w:val="2"/>
            <w:tcBorders>
              <w:top w:val="single" w:sz="8" w:space="0" w:color="auto"/>
              <w:left w:val="nil"/>
              <w:bottom w:val="single" w:sz="4" w:space="0" w:color="auto"/>
              <w:right w:val="nil"/>
            </w:tcBorders>
            <w:shd w:val="clear" w:color="auto" w:fill="auto"/>
            <w:noWrap/>
            <w:vAlign w:val="bottom"/>
            <w:hideMark/>
          </w:tcPr>
          <w:p w:rsidR="00C47D25" w:rsidRPr="00C47D25" w:rsidRDefault="00C47D25" w:rsidP="00862388">
            <w:pPr>
              <w:spacing w:after="0" w:line="360" w:lineRule="auto"/>
              <w:jc w:val="center"/>
              <w:rPr>
                <w:rFonts w:ascii="Calibri" w:eastAsia="Times New Roman" w:hAnsi="Calibri" w:cs="Calibri"/>
                <w:i/>
                <w:iCs/>
                <w:color w:val="000000"/>
                <w:lang w:eastAsia="zh-CN"/>
              </w:rPr>
            </w:pPr>
            <w:r w:rsidRPr="00C47D25">
              <w:rPr>
                <w:rFonts w:ascii="Calibri" w:eastAsia="Times New Roman" w:hAnsi="Calibri" w:cs="Calibri"/>
                <w:i/>
                <w:iCs/>
                <w:color w:val="000000"/>
                <w:lang w:eastAsia="zh-CN"/>
              </w:rPr>
              <w:t>Due Date Performance/%</w:t>
            </w:r>
          </w:p>
        </w:tc>
      </w:tr>
      <w:tr w:rsidR="00C47D25" w:rsidRPr="00C47D25" w:rsidTr="00953F04">
        <w:trPr>
          <w:trHeight w:val="300"/>
        </w:trPr>
        <w:tc>
          <w:tcPr>
            <w:tcW w:w="311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jc w:val="center"/>
              <w:rPr>
                <w:rFonts w:ascii="Calibri" w:eastAsia="Times New Roman" w:hAnsi="Calibri" w:cs="Calibri"/>
                <w:i/>
                <w:iCs/>
                <w:color w:val="000000"/>
                <w:lang w:eastAsia="zh-CN"/>
              </w:rPr>
            </w:pPr>
          </w:p>
        </w:tc>
        <w:tc>
          <w:tcPr>
            <w:tcW w:w="240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rPr>
                <w:rFonts w:ascii="Times New Roman" w:eastAsia="Times New Roman" w:hAnsi="Times New Roman" w:cs="Times New Roman"/>
                <w:sz w:val="20"/>
                <w:szCs w:val="20"/>
                <w:lang w:eastAsia="zh-CN"/>
              </w:rPr>
            </w:pPr>
          </w:p>
        </w:tc>
      </w:tr>
      <w:tr w:rsidR="00C47D25" w:rsidRPr="00C47D25" w:rsidTr="00953F04">
        <w:trPr>
          <w:trHeight w:val="300"/>
        </w:trPr>
        <w:tc>
          <w:tcPr>
            <w:tcW w:w="311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rPr>
                <w:rFonts w:ascii="Calibri" w:eastAsia="Times New Roman" w:hAnsi="Calibri" w:cs="Calibri"/>
                <w:color w:val="000000"/>
                <w:lang w:eastAsia="zh-CN"/>
              </w:rPr>
            </w:pPr>
            <w:r w:rsidRPr="00C47D25">
              <w:rPr>
                <w:rFonts w:ascii="Calibri" w:eastAsia="Times New Roman" w:hAnsi="Calibri" w:cs="Calibri"/>
                <w:color w:val="000000"/>
                <w:lang w:eastAsia="zh-CN"/>
              </w:rPr>
              <w:t>Mean</w:t>
            </w:r>
          </w:p>
        </w:tc>
        <w:tc>
          <w:tcPr>
            <w:tcW w:w="240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jc w:val="right"/>
              <w:rPr>
                <w:rFonts w:ascii="Calibri" w:eastAsia="Times New Roman" w:hAnsi="Calibri" w:cs="Calibri"/>
                <w:color w:val="000000"/>
                <w:lang w:eastAsia="zh-CN"/>
              </w:rPr>
            </w:pPr>
            <w:r w:rsidRPr="00C47D25">
              <w:rPr>
                <w:rFonts w:ascii="Calibri" w:eastAsia="Times New Roman" w:hAnsi="Calibri" w:cs="Calibri"/>
                <w:color w:val="000000"/>
                <w:lang w:eastAsia="zh-CN"/>
              </w:rPr>
              <w:t>95.08910891</w:t>
            </w:r>
          </w:p>
        </w:tc>
      </w:tr>
      <w:tr w:rsidR="00C47D25" w:rsidRPr="00C47D25" w:rsidTr="00953F04">
        <w:trPr>
          <w:trHeight w:val="300"/>
        </w:trPr>
        <w:tc>
          <w:tcPr>
            <w:tcW w:w="311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rPr>
                <w:rFonts w:ascii="Calibri" w:eastAsia="Times New Roman" w:hAnsi="Calibri" w:cs="Calibri"/>
                <w:color w:val="000000"/>
                <w:lang w:eastAsia="zh-CN"/>
              </w:rPr>
            </w:pPr>
            <w:r w:rsidRPr="00C47D25">
              <w:rPr>
                <w:rFonts w:ascii="Calibri" w:eastAsia="Times New Roman" w:hAnsi="Calibri" w:cs="Calibri"/>
                <w:color w:val="000000"/>
                <w:lang w:eastAsia="zh-CN"/>
              </w:rPr>
              <w:t>Standard Error</w:t>
            </w:r>
          </w:p>
        </w:tc>
        <w:tc>
          <w:tcPr>
            <w:tcW w:w="240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jc w:val="right"/>
              <w:rPr>
                <w:rFonts w:ascii="Calibri" w:eastAsia="Times New Roman" w:hAnsi="Calibri" w:cs="Calibri"/>
                <w:color w:val="000000"/>
                <w:lang w:eastAsia="zh-CN"/>
              </w:rPr>
            </w:pPr>
            <w:r w:rsidRPr="00C47D25">
              <w:rPr>
                <w:rFonts w:ascii="Calibri" w:eastAsia="Times New Roman" w:hAnsi="Calibri" w:cs="Calibri"/>
                <w:color w:val="000000"/>
                <w:lang w:eastAsia="zh-CN"/>
              </w:rPr>
              <w:t>0.22395327</w:t>
            </w:r>
          </w:p>
        </w:tc>
      </w:tr>
      <w:tr w:rsidR="00C47D25" w:rsidRPr="00C47D25" w:rsidTr="00953F04">
        <w:trPr>
          <w:trHeight w:val="300"/>
        </w:trPr>
        <w:tc>
          <w:tcPr>
            <w:tcW w:w="311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rPr>
                <w:rFonts w:ascii="Calibri" w:eastAsia="Times New Roman" w:hAnsi="Calibri" w:cs="Calibri"/>
                <w:color w:val="000000"/>
                <w:lang w:eastAsia="zh-CN"/>
              </w:rPr>
            </w:pPr>
            <w:r w:rsidRPr="00C47D25">
              <w:rPr>
                <w:rFonts w:ascii="Calibri" w:eastAsia="Times New Roman" w:hAnsi="Calibri" w:cs="Calibri"/>
                <w:color w:val="000000"/>
                <w:lang w:eastAsia="zh-CN"/>
              </w:rPr>
              <w:t>Median</w:t>
            </w:r>
          </w:p>
        </w:tc>
        <w:tc>
          <w:tcPr>
            <w:tcW w:w="240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jc w:val="right"/>
              <w:rPr>
                <w:rFonts w:ascii="Calibri" w:eastAsia="Times New Roman" w:hAnsi="Calibri" w:cs="Calibri"/>
                <w:color w:val="000000"/>
                <w:lang w:eastAsia="zh-CN"/>
              </w:rPr>
            </w:pPr>
            <w:r w:rsidRPr="00C47D25">
              <w:rPr>
                <w:rFonts w:ascii="Calibri" w:eastAsia="Times New Roman" w:hAnsi="Calibri" w:cs="Calibri"/>
                <w:color w:val="000000"/>
                <w:lang w:eastAsia="zh-CN"/>
              </w:rPr>
              <w:t>95</w:t>
            </w:r>
          </w:p>
        </w:tc>
      </w:tr>
      <w:tr w:rsidR="00C47D25" w:rsidRPr="00C47D25" w:rsidTr="00953F04">
        <w:trPr>
          <w:trHeight w:val="300"/>
        </w:trPr>
        <w:tc>
          <w:tcPr>
            <w:tcW w:w="311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rPr>
                <w:rFonts w:ascii="Calibri" w:eastAsia="Times New Roman" w:hAnsi="Calibri" w:cs="Calibri"/>
                <w:color w:val="000000"/>
                <w:lang w:eastAsia="zh-CN"/>
              </w:rPr>
            </w:pPr>
            <w:r w:rsidRPr="00C47D25">
              <w:rPr>
                <w:rFonts w:ascii="Calibri" w:eastAsia="Times New Roman" w:hAnsi="Calibri" w:cs="Calibri"/>
                <w:color w:val="000000"/>
                <w:lang w:eastAsia="zh-CN"/>
              </w:rPr>
              <w:t>Mode</w:t>
            </w:r>
          </w:p>
        </w:tc>
        <w:tc>
          <w:tcPr>
            <w:tcW w:w="240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jc w:val="right"/>
              <w:rPr>
                <w:rFonts w:ascii="Calibri" w:eastAsia="Times New Roman" w:hAnsi="Calibri" w:cs="Calibri"/>
                <w:color w:val="000000"/>
                <w:lang w:eastAsia="zh-CN"/>
              </w:rPr>
            </w:pPr>
            <w:r w:rsidRPr="00C47D25">
              <w:rPr>
                <w:rFonts w:ascii="Calibri" w:eastAsia="Times New Roman" w:hAnsi="Calibri" w:cs="Calibri"/>
                <w:color w:val="000000"/>
                <w:lang w:eastAsia="zh-CN"/>
              </w:rPr>
              <w:t>93</w:t>
            </w:r>
          </w:p>
        </w:tc>
      </w:tr>
      <w:tr w:rsidR="00C47D25" w:rsidRPr="00C47D25" w:rsidTr="00953F04">
        <w:trPr>
          <w:trHeight w:val="300"/>
        </w:trPr>
        <w:tc>
          <w:tcPr>
            <w:tcW w:w="311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rPr>
                <w:rFonts w:ascii="Calibri" w:eastAsia="Times New Roman" w:hAnsi="Calibri" w:cs="Calibri"/>
                <w:color w:val="000000"/>
                <w:lang w:eastAsia="zh-CN"/>
              </w:rPr>
            </w:pPr>
            <w:r w:rsidRPr="00C47D25">
              <w:rPr>
                <w:rFonts w:ascii="Calibri" w:eastAsia="Times New Roman" w:hAnsi="Calibri" w:cs="Calibri"/>
                <w:color w:val="000000"/>
                <w:lang w:eastAsia="zh-CN"/>
              </w:rPr>
              <w:t>Standard Deviation</w:t>
            </w:r>
          </w:p>
        </w:tc>
        <w:tc>
          <w:tcPr>
            <w:tcW w:w="240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jc w:val="right"/>
              <w:rPr>
                <w:rFonts w:ascii="Calibri" w:eastAsia="Times New Roman" w:hAnsi="Calibri" w:cs="Calibri"/>
                <w:color w:val="000000"/>
                <w:lang w:eastAsia="zh-CN"/>
              </w:rPr>
            </w:pPr>
            <w:r w:rsidRPr="00C47D25">
              <w:rPr>
                <w:rFonts w:ascii="Calibri" w:eastAsia="Times New Roman" w:hAnsi="Calibri" w:cs="Calibri"/>
                <w:color w:val="000000"/>
                <w:lang w:eastAsia="zh-CN"/>
              </w:rPr>
              <w:t>3.182974015</w:t>
            </w:r>
          </w:p>
        </w:tc>
      </w:tr>
      <w:tr w:rsidR="00C47D25" w:rsidRPr="00C47D25" w:rsidTr="00953F04">
        <w:trPr>
          <w:trHeight w:val="300"/>
        </w:trPr>
        <w:tc>
          <w:tcPr>
            <w:tcW w:w="311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rPr>
                <w:rFonts w:ascii="Calibri" w:eastAsia="Times New Roman" w:hAnsi="Calibri" w:cs="Calibri"/>
                <w:color w:val="000000"/>
                <w:lang w:eastAsia="zh-CN"/>
              </w:rPr>
            </w:pPr>
            <w:r w:rsidRPr="00C47D25">
              <w:rPr>
                <w:rFonts w:ascii="Calibri" w:eastAsia="Times New Roman" w:hAnsi="Calibri" w:cs="Calibri"/>
                <w:color w:val="000000"/>
                <w:lang w:eastAsia="zh-CN"/>
              </w:rPr>
              <w:t>Sample Variance</w:t>
            </w:r>
          </w:p>
        </w:tc>
        <w:tc>
          <w:tcPr>
            <w:tcW w:w="240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jc w:val="right"/>
              <w:rPr>
                <w:rFonts w:ascii="Calibri" w:eastAsia="Times New Roman" w:hAnsi="Calibri" w:cs="Calibri"/>
                <w:color w:val="000000"/>
                <w:lang w:eastAsia="zh-CN"/>
              </w:rPr>
            </w:pPr>
            <w:r w:rsidRPr="00C47D25">
              <w:rPr>
                <w:rFonts w:ascii="Calibri" w:eastAsia="Times New Roman" w:hAnsi="Calibri" w:cs="Calibri"/>
                <w:color w:val="000000"/>
                <w:lang w:eastAsia="zh-CN"/>
              </w:rPr>
              <w:t>10.13132358</w:t>
            </w:r>
          </w:p>
        </w:tc>
      </w:tr>
      <w:tr w:rsidR="00C47D25" w:rsidRPr="00C47D25" w:rsidTr="00953F04">
        <w:trPr>
          <w:trHeight w:val="300"/>
        </w:trPr>
        <w:tc>
          <w:tcPr>
            <w:tcW w:w="311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rPr>
                <w:rFonts w:ascii="Calibri" w:eastAsia="Times New Roman" w:hAnsi="Calibri" w:cs="Calibri"/>
                <w:color w:val="000000"/>
                <w:lang w:eastAsia="zh-CN"/>
              </w:rPr>
            </w:pPr>
            <w:r w:rsidRPr="00C47D25">
              <w:rPr>
                <w:rFonts w:ascii="Calibri" w:eastAsia="Times New Roman" w:hAnsi="Calibri" w:cs="Calibri"/>
                <w:color w:val="000000"/>
                <w:lang w:eastAsia="zh-CN"/>
              </w:rPr>
              <w:t>Kurtosis</w:t>
            </w:r>
          </w:p>
        </w:tc>
        <w:tc>
          <w:tcPr>
            <w:tcW w:w="240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jc w:val="right"/>
              <w:rPr>
                <w:rFonts w:ascii="Calibri" w:eastAsia="Times New Roman" w:hAnsi="Calibri" w:cs="Calibri"/>
                <w:color w:val="000000"/>
                <w:lang w:eastAsia="zh-CN"/>
              </w:rPr>
            </w:pPr>
            <w:r w:rsidRPr="00C47D25">
              <w:rPr>
                <w:rFonts w:ascii="Calibri" w:eastAsia="Times New Roman" w:hAnsi="Calibri" w:cs="Calibri"/>
                <w:color w:val="000000"/>
                <w:lang w:eastAsia="zh-CN"/>
              </w:rPr>
              <w:t>-1.213521595</w:t>
            </w:r>
          </w:p>
        </w:tc>
      </w:tr>
      <w:tr w:rsidR="00C47D25" w:rsidRPr="00C47D25" w:rsidTr="00953F04">
        <w:trPr>
          <w:trHeight w:val="300"/>
        </w:trPr>
        <w:tc>
          <w:tcPr>
            <w:tcW w:w="311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rPr>
                <w:rFonts w:ascii="Calibri" w:eastAsia="Times New Roman" w:hAnsi="Calibri" w:cs="Calibri"/>
                <w:color w:val="000000"/>
                <w:lang w:eastAsia="zh-CN"/>
              </w:rPr>
            </w:pPr>
            <w:r w:rsidRPr="00C47D25">
              <w:rPr>
                <w:rFonts w:ascii="Calibri" w:eastAsia="Times New Roman" w:hAnsi="Calibri" w:cs="Calibri"/>
                <w:color w:val="000000"/>
                <w:lang w:eastAsia="zh-CN"/>
              </w:rPr>
              <w:lastRenderedPageBreak/>
              <w:t>Skewness</w:t>
            </w:r>
          </w:p>
        </w:tc>
        <w:tc>
          <w:tcPr>
            <w:tcW w:w="240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jc w:val="right"/>
              <w:rPr>
                <w:rFonts w:ascii="Calibri" w:eastAsia="Times New Roman" w:hAnsi="Calibri" w:cs="Calibri"/>
                <w:color w:val="000000"/>
                <w:lang w:eastAsia="zh-CN"/>
              </w:rPr>
            </w:pPr>
            <w:r w:rsidRPr="00C47D25">
              <w:rPr>
                <w:rFonts w:ascii="Calibri" w:eastAsia="Times New Roman" w:hAnsi="Calibri" w:cs="Calibri"/>
                <w:color w:val="000000"/>
                <w:lang w:eastAsia="zh-CN"/>
              </w:rPr>
              <w:t>-0.041841999</w:t>
            </w:r>
          </w:p>
        </w:tc>
      </w:tr>
      <w:tr w:rsidR="00C47D25" w:rsidRPr="00C47D25" w:rsidTr="00953F04">
        <w:trPr>
          <w:trHeight w:val="300"/>
        </w:trPr>
        <w:tc>
          <w:tcPr>
            <w:tcW w:w="311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rPr>
                <w:rFonts w:ascii="Calibri" w:eastAsia="Times New Roman" w:hAnsi="Calibri" w:cs="Calibri"/>
                <w:color w:val="000000"/>
                <w:lang w:eastAsia="zh-CN"/>
              </w:rPr>
            </w:pPr>
            <w:r w:rsidRPr="00C47D25">
              <w:rPr>
                <w:rFonts w:ascii="Calibri" w:eastAsia="Times New Roman" w:hAnsi="Calibri" w:cs="Calibri"/>
                <w:color w:val="000000"/>
                <w:lang w:eastAsia="zh-CN"/>
              </w:rPr>
              <w:t>Range</w:t>
            </w:r>
          </w:p>
        </w:tc>
        <w:tc>
          <w:tcPr>
            <w:tcW w:w="240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jc w:val="right"/>
              <w:rPr>
                <w:rFonts w:ascii="Calibri" w:eastAsia="Times New Roman" w:hAnsi="Calibri" w:cs="Calibri"/>
                <w:color w:val="000000"/>
                <w:lang w:eastAsia="zh-CN"/>
              </w:rPr>
            </w:pPr>
            <w:r w:rsidRPr="00C47D25">
              <w:rPr>
                <w:rFonts w:ascii="Calibri" w:eastAsia="Times New Roman" w:hAnsi="Calibri" w:cs="Calibri"/>
                <w:color w:val="000000"/>
                <w:lang w:eastAsia="zh-CN"/>
              </w:rPr>
              <w:t>10</w:t>
            </w:r>
          </w:p>
        </w:tc>
      </w:tr>
      <w:tr w:rsidR="00C47D25" w:rsidRPr="00C47D25" w:rsidTr="00953F04">
        <w:trPr>
          <w:trHeight w:val="300"/>
        </w:trPr>
        <w:tc>
          <w:tcPr>
            <w:tcW w:w="311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rPr>
                <w:rFonts w:ascii="Calibri" w:eastAsia="Times New Roman" w:hAnsi="Calibri" w:cs="Calibri"/>
                <w:color w:val="000000"/>
                <w:lang w:eastAsia="zh-CN"/>
              </w:rPr>
            </w:pPr>
            <w:r w:rsidRPr="00C47D25">
              <w:rPr>
                <w:rFonts w:ascii="Calibri" w:eastAsia="Times New Roman" w:hAnsi="Calibri" w:cs="Calibri"/>
                <w:color w:val="000000"/>
                <w:lang w:eastAsia="zh-CN"/>
              </w:rPr>
              <w:t>Minimum</w:t>
            </w:r>
          </w:p>
        </w:tc>
        <w:tc>
          <w:tcPr>
            <w:tcW w:w="240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jc w:val="right"/>
              <w:rPr>
                <w:rFonts w:ascii="Calibri" w:eastAsia="Times New Roman" w:hAnsi="Calibri" w:cs="Calibri"/>
                <w:color w:val="000000"/>
                <w:lang w:eastAsia="zh-CN"/>
              </w:rPr>
            </w:pPr>
            <w:r w:rsidRPr="00C47D25">
              <w:rPr>
                <w:rFonts w:ascii="Calibri" w:eastAsia="Times New Roman" w:hAnsi="Calibri" w:cs="Calibri"/>
                <w:color w:val="000000"/>
                <w:lang w:eastAsia="zh-CN"/>
              </w:rPr>
              <w:t>90</w:t>
            </w:r>
          </w:p>
        </w:tc>
      </w:tr>
      <w:tr w:rsidR="00C47D25" w:rsidRPr="00C47D25" w:rsidTr="00953F04">
        <w:trPr>
          <w:trHeight w:val="300"/>
        </w:trPr>
        <w:tc>
          <w:tcPr>
            <w:tcW w:w="311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rPr>
                <w:rFonts w:ascii="Calibri" w:eastAsia="Times New Roman" w:hAnsi="Calibri" w:cs="Calibri"/>
                <w:color w:val="000000"/>
                <w:lang w:eastAsia="zh-CN"/>
              </w:rPr>
            </w:pPr>
            <w:r w:rsidRPr="00C47D25">
              <w:rPr>
                <w:rFonts w:ascii="Calibri" w:eastAsia="Times New Roman" w:hAnsi="Calibri" w:cs="Calibri"/>
                <w:color w:val="000000"/>
                <w:lang w:eastAsia="zh-CN"/>
              </w:rPr>
              <w:t>Maximum</w:t>
            </w:r>
          </w:p>
        </w:tc>
        <w:tc>
          <w:tcPr>
            <w:tcW w:w="240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jc w:val="right"/>
              <w:rPr>
                <w:rFonts w:ascii="Calibri" w:eastAsia="Times New Roman" w:hAnsi="Calibri" w:cs="Calibri"/>
                <w:color w:val="000000"/>
                <w:lang w:eastAsia="zh-CN"/>
              </w:rPr>
            </w:pPr>
            <w:r w:rsidRPr="00C47D25">
              <w:rPr>
                <w:rFonts w:ascii="Calibri" w:eastAsia="Times New Roman" w:hAnsi="Calibri" w:cs="Calibri"/>
                <w:color w:val="000000"/>
                <w:lang w:eastAsia="zh-CN"/>
              </w:rPr>
              <w:t>100</w:t>
            </w:r>
          </w:p>
        </w:tc>
      </w:tr>
      <w:tr w:rsidR="00C47D25" w:rsidRPr="00C47D25" w:rsidTr="00953F04">
        <w:trPr>
          <w:trHeight w:val="300"/>
        </w:trPr>
        <w:tc>
          <w:tcPr>
            <w:tcW w:w="311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rPr>
                <w:rFonts w:ascii="Calibri" w:eastAsia="Times New Roman" w:hAnsi="Calibri" w:cs="Calibri"/>
                <w:color w:val="000000"/>
                <w:lang w:eastAsia="zh-CN"/>
              </w:rPr>
            </w:pPr>
            <w:r w:rsidRPr="00C47D25">
              <w:rPr>
                <w:rFonts w:ascii="Calibri" w:eastAsia="Times New Roman" w:hAnsi="Calibri" w:cs="Calibri"/>
                <w:color w:val="000000"/>
                <w:lang w:eastAsia="zh-CN"/>
              </w:rPr>
              <w:t>Sum</w:t>
            </w:r>
          </w:p>
        </w:tc>
        <w:tc>
          <w:tcPr>
            <w:tcW w:w="240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jc w:val="right"/>
              <w:rPr>
                <w:rFonts w:ascii="Calibri" w:eastAsia="Times New Roman" w:hAnsi="Calibri" w:cs="Calibri"/>
                <w:color w:val="000000"/>
                <w:lang w:eastAsia="zh-CN"/>
              </w:rPr>
            </w:pPr>
            <w:r w:rsidRPr="00C47D25">
              <w:rPr>
                <w:rFonts w:ascii="Calibri" w:eastAsia="Times New Roman" w:hAnsi="Calibri" w:cs="Calibri"/>
                <w:color w:val="000000"/>
                <w:lang w:eastAsia="zh-CN"/>
              </w:rPr>
              <w:t>19208</w:t>
            </w:r>
          </w:p>
        </w:tc>
      </w:tr>
      <w:tr w:rsidR="00C47D25" w:rsidRPr="00C47D25" w:rsidTr="00953F04">
        <w:trPr>
          <w:trHeight w:val="300"/>
        </w:trPr>
        <w:tc>
          <w:tcPr>
            <w:tcW w:w="311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rPr>
                <w:rFonts w:ascii="Calibri" w:eastAsia="Times New Roman" w:hAnsi="Calibri" w:cs="Calibri"/>
                <w:color w:val="000000"/>
                <w:lang w:eastAsia="zh-CN"/>
              </w:rPr>
            </w:pPr>
            <w:r w:rsidRPr="00C47D25">
              <w:rPr>
                <w:rFonts w:ascii="Calibri" w:eastAsia="Times New Roman" w:hAnsi="Calibri" w:cs="Calibri"/>
                <w:color w:val="000000"/>
                <w:lang w:eastAsia="zh-CN"/>
              </w:rPr>
              <w:t>Count</w:t>
            </w:r>
          </w:p>
        </w:tc>
        <w:tc>
          <w:tcPr>
            <w:tcW w:w="240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jc w:val="right"/>
              <w:rPr>
                <w:rFonts w:ascii="Calibri" w:eastAsia="Times New Roman" w:hAnsi="Calibri" w:cs="Calibri"/>
                <w:color w:val="000000"/>
                <w:lang w:eastAsia="zh-CN"/>
              </w:rPr>
            </w:pPr>
            <w:r w:rsidRPr="00C47D25">
              <w:rPr>
                <w:rFonts w:ascii="Calibri" w:eastAsia="Times New Roman" w:hAnsi="Calibri" w:cs="Calibri"/>
                <w:color w:val="000000"/>
                <w:lang w:eastAsia="zh-CN"/>
              </w:rPr>
              <w:t>202</w:t>
            </w:r>
          </w:p>
        </w:tc>
      </w:tr>
      <w:tr w:rsidR="00C47D25" w:rsidRPr="00C47D25" w:rsidTr="00953F04">
        <w:trPr>
          <w:trHeight w:val="300"/>
        </w:trPr>
        <w:tc>
          <w:tcPr>
            <w:tcW w:w="311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rPr>
                <w:rFonts w:ascii="Calibri" w:eastAsia="Times New Roman" w:hAnsi="Calibri" w:cs="Calibri"/>
                <w:color w:val="000000"/>
                <w:lang w:eastAsia="zh-CN"/>
              </w:rPr>
            </w:pPr>
            <w:r w:rsidRPr="00C47D25">
              <w:rPr>
                <w:rFonts w:ascii="Calibri" w:eastAsia="Times New Roman" w:hAnsi="Calibri" w:cs="Calibri"/>
                <w:color w:val="000000"/>
                <w:lang w:eastAsia="zh-CN"/>
              </w:rPr>
              <w:t>Largest</w:t>
            </w:r>
            <w:r w:rsidR="00953F04">
              <w:rPr>
                <w:rFonts w:ascii="Calibri" w:eastAsia="Times New Roman" w:hAnsi="Calibri" w:cs="Calibri"/>
                <w:color w:val="000000"/>
                <w:lang w:eastAsia="zh-CN"/>
              </w:rPr>
              <w:t xml:space="preserve"> </w:t>
            </w:r>
            <w:r w:rsidRPr="00C47D25">
              <w:rPr>
                <w:rFonts w:ascii="Calibri" w:eastAsia="Times New Roman" w:hAnsi="Calibri" w:cs="Calibri"/>
                <w:color w:val="000000"/>
                <w:lang w:eastAsia="zh-CN"/>
              </w:rPr>
              <w:t>(1)</w:t>
            </w:r>
          </w:p>
        </w:tc>
        <w:tc>
          <w:tcPr>
            <w:tcW w:w="240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jc w:val="right"/>
              <w:rPr>
                <w:rFonts w:ascii="Calibri" w:eastAsia="Times New Roman" w:hAnsi="Calibri" w:cs="Calibri"/>
                <w:color w:val="000000"/>
                <w:lang w:eastAsia="zh-CN"/>
              </w:rPr>
            </w:pPr>
            <w:r w:rsidRPr="00C47D25">
              <w:rPr>
                <w:rFonts w:ascii="Calibri" w:eastAsia="Times New Roman" w:hAnsi="Calibri" w:cs="Calibri"/>
                <w:color w:val="000000"/>
                <w:lang w:eastAsia="zh-CN"/>
              </w:rPr>
              <w:t>100</w:t>
            </w:r>
          </w:p>
        </w:tc>
      </w:tr>
      <w:tr w:rsidR="00C47D25" w:rsidRPr="00C47D25" w:rsidTr="00953F04">
        <w:trPr>
          <w:trHeight w:val="300"/>
        </w:trPr>
        <w:tc>
          <w:tcPr>
            <w:tcW w:w="311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rPr>
                <w:rFonts w:ascii="Calibri" w:eastAsia="Times New Roman" w:hAnsi="Calibri" w:cs="Calibri"/>
                <w:color w:val="000000"/>
                <w:lang w:eastAsia="zh-CN"/>
              </w:rPr>
            </w:pPr>
            <w:r w:rsidRPr="00C47D25">
              <w:rPr>
                <w:rFonts w:ascii="Calibri" w:eastAsia="Times New Roman" w:hAnsi="Calibri" w:cs="Calibri"/>
                <w:color w:val="000000"/>
                <w:lang w:eastAsia="zh-CN"/>
              </w:rPr>
              <w:t>Smallest</w:t>
            </w:r>
            <w:r w:rsidR="00953F04">
              <w:rPr>
                <w:rFonts w:ascii="Calibri" w:eastAsia="Times New Roman" w:hAnsi="Calibri" w:cs="Calibri"/>
                <w:color w:val="000000"/>
                <w:lang w:eastAsia="zh-CN"/>
              </w:rPr>
              <w:t xml:space="preserve"> </w:t>
            </w:r>
            <w:r w:rsidRPr="00C47D25">
              <w:rPr>
                <w:rFonts w:ascii="Calibri" w:eastAsia="Times New Roman" w:hAnsi="Calibri" w:cs="Calibri"/>
                <w:color w:val="000000"/>
                <w:lang w:eastAsia="zh-CN"/>
              </w:rPr>
              <w:t>(1)</w:t>
            </w:r>
          </w:p>
        </w:tc>
        <w:tc>
          <w:tcPr>
            <w:tcW w:w="2409" w:type="dxa"/>
            <w:tcBorders>
              <w:top w:val="nil"/>
              <w:left w:val="nil"/>
              <w:bottom w:val="nil"/>
              <w:right w:val="nil"/>
            </w:tcBorders>
            <w:shd w:val="clear" w:color="auto" w:fill="auto"/>
            <w:noWrap/>
            <w:vAlign w:val="bottom"/>
            <w:hideMark/>
          </w:tcPr>
          <w:p w:rsidR="00C47D25" w:rsidRPr="00C47D25" w:rsidRDefault="00C47D25" w:rsidP="00862388">
            <w:pPr>
              <w:spacing w:after="0" w:line="360" w:lineRule="auto"/>
              <w:jc w:val="right"/>
              <w:rPr>
                <w:rFonts w:ascii="Calibri" w:eastAsia="Times New Roman" w:hAnsi="Calibri" w:cs="Calibri"/>
                <w:color w:val="000000"/>
                <w:lang w:eastAsia="zh-CN"/>
              </w:rPr>
            </w:pPr>
            <w:r w:rsidRPr="00C47D25">
              <w:rPr>
                <w:rFonts w:ascii="Calibri" w:eastAsia="Times New Roman" w:hAnsi="Calibri" w:cs="Calibri"/>
                <w:color w:val="000000"/>
                <w:lang w:eastAsia="zh-CN"/>
              </w:rPr>
              <w:t>90</w:t>
            </w:r>
          </w:p>
        </w:tc>
      </w:tr>
      <w:tr w:rsidR="00C47D25" w:rsidRPr="00C47D25" w:rsidTr="00953F04">
        <w:trPr>
          <w:trHeight w:val="315"/>
        </w:trPr>
        <w:tc>
          <w:tcPr>
            <w:tcW w:w="3119" w:type="dxa"/>
            <w:tcBorders>
              <w:top w:val="nil"/>
              <w:left w:val="nil"/>
              <w:bottom w:val="single" w:sz="8" w:space="0" w:color="auto"/>
              <w:right w:val="nil"/>
            </w:tcBorders>
            <w:shd w:val="clear" w:color="auto" w:fill="auto"/>
            <w:noWrap/>
            <w:vAlign w:val="bottom"/>
            <w:hideMark/>
          </w:tcPr>
          <w:p w:rsidR="00C47D25" w:rsidRPr="00C47D25" w:rsidRDefault="00C47D25" w:rsidP="00862388">
            <w:pPr>
              <w:spacing w:after="0" w:line="360" w:lineRule="auto"/>
              <w:rPr>
                <w:rFonts w:ascii="Calibri" w:eastAsia="Times New Roman" w:hAnsi="Calibri" w:cs="Calibri"/>
                <w:color w:val="000000"/>
                <w:lang w:eastAsia="zh-CN"/>
              </w:rPr>
            </w:pPr>
            <w:r w:rsidRPr="00C47D25">
              <w:rPr>
                <w:rFonts w:ascii="Calibri" w:eastAsia="Times New Roman" w:hAnsi="Calibri" w:cs="Calibri"/>
                <w:color w:val="000000"/>
                <w:lang w:eastAsia="zh-CN"/>
              </w:rPr>
              <w:t>Confidence Level</w:t>
            </w:r>
            <w:r w:rsidR="00953F04">
              <w:rPr>
                <w:rFonts w:ascii="Calibri" w:eastAsia="Times New Roman" w:hAnsi="Calibri" w:cs="Calibri"/>
                <w:color w:val="000000"/>
                <w:lang w:eastAsia="zh-CN"/>
              </w:rPr>
              <w:t xml:space="preserve"> </w:t>
            </w:r>
            <w:r w:rsidRPr="00C47D25">
              <w:rPr>
                <w:rFonts w:ascii="Calibri" w:eastAsia="Times New Roman" w:hAnsi="Calibri" w:cs="Calibri"/>
                <w:color w:val="000000"/>
                <w:lang w:eastAsia="zh-CN"/>
              </w:rPr>
              <w:t>(95.0%)</w:t>
            </w:r>
          </w:p>
        </w:tc>
        <w:tc>
          <w:tcPr>
            <w:tcW w:w="2409" w:type="dxa"/>
            <w:tcBorders>
              <w:top w:val="nil"/>
              <w:left w:val="nil"/>
              <w:bottom w:val="single" w:sz="8" w:space="0" w:color="auto"/>
              <w:right w:val="nil"/>
            </w:tcBorders>
            <w:shd w:val="clear" w:color="auto" w:fill="auto"/>
            <w:noWrap/>
            <w:vAlign w:val="bottom"/>
            <w:hideMark/>
          </w:tcPr>
          <w:p w:rsidR="00C47D25" w:rsidRPr="00C47D25" w:rsidRDefault="00C47D25" w:rsidP="00862388">
            <w:pPr>
              <w:spacing w:after="0" w:line="360" w:lineRule="auto"/>
              <w:jc w:val="right"/>
              <w:rPr>
                <w:rFonts w:ascii="Calibri" w:eastAsia="Times New Roman" w:hAnsi="Calibri" w:cs="Calibri"/>
                <w:color w:val="000000"/>
                <w:lang w:eastAsia="zh-CN"/>
              </w:rPr>
            </w:pPr>
            <w:r w:rsidRPr="00C47D25">
              <w:rPr>
                <w:rFonts w:ascii="Calibri" w:eastAsia="Times New Roman" w:hAnsi="Calibri" w:cs="Calibri"/>
                <w:color w:val="000000"/>
                <w:lang w:eastAsia="zh-CN"/>
              </w:rPr>
              <w:t>0.441599234</w:t>
            </w:r>
          </w:p>
        </w:tc>
      </w:tr>
    </w:tbl>
    <w:p w:rsidR="003A56F8" w:rsidRPr="003A56F8" w:rsidRDefault="003A56F8" w:rsidP="00862388">
      <w:pPr>
        <w:spacing w:line="360" w:lineRule="auto"/>
        <w:ind w:left="851"/>
      </w:pPr>
    </w:p>
    <w:p w:rsidR="00E3687E" w:rsidRPr="00E3687E" w:rsidRDefault="00E3687E" w:rsidP="00862388">
      <w:pPr>
        <w:spacing w:line="360" w:lineRule="auto"/>
        <w:jc w:val="both"/>
      </w:pPr>
    </w:p>
    <w:p w:rsidR="009F5990" w:rsidRPr="005E47E8" w:rsidRDefault="009F5990" w:rsidP="00862388">
      <w:pPr>
        <w:spacing w:line="360" w:lineRule="auto"/>
        <w:ind w:left="709"/>
        <w:jc w:val="both"/>
        <w:rPr>
          <w:rFonts w:ascii="Verdana" w:hAnsi="Verdana"/>
        </w:rPr>
      </w:pPr>
    </w:p>
    <w:sectPr w:rsidR="009F5990" w:rsidRPr="005E47E8" w:rsidSect="00DA73CB">
      <w:footerReference w:type="default" r:id="rId27"/>
      <w:pgSz w:w="12240" w:h="15840"/>
      <w:pgMar w:top="14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2C60" w:rsidRDefault="007E2C60" w:rsidP="00C8389C">
      <w:pPr>
        <w:spacing w:after="0" w:line="240" w:lineRule="auto"/>
      </w:pPr>
      <w:r>
        <w:separator/>
      </w:r>
    </w:p>
  </w:endnote>
  <w:endnote w:type="continuationSeparator" w:id="0">
    <w:p w:rsidR="007E2C60" w:rsidRDefault="007E2C60" w:rsidP="00C83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Bold">
    <w:altName w:val="Times New Roman"/>
    <w:panose1 w:val="00000000000000000000"/>
    <w:charset w:val="00"/>
    <w:family w:val="roman"/>
    <w:notTrueType/>
    <w:pitch w:val="default"/>
  </w:font>
  <w:font w:name="PfcdvrAdvTT3713a231+20">
    <w:altName w:val="Cambria"/>
    <w:panose1 w:val="00000000000000000000"/>
    <w:charset w:val="00"/>
    <w:family w:val="roman"/>
    <w:notTrueType/>
    <w:pitch w:val="default"/>
  </w:font>
  <w:font w:name="DhvrwmAdvTT50a2f13e.I">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937515"/>
      <w:docPartObj>
        <w:docPartGallery w:val="Page Numbers (Bottom of Page)"/>
        <w:docPartUnique/>
      </w:docPartObj>
    </w:sdtPr>
    <w:sdtEndPr>
      <w:rPr>
        <w:noProof/>
      </w:rPr>
    </w:sdtEndPr>
    <w:sdtContent>
      <w:p w:rsidR="009D72F9" w:rsidRDefault="009D72F9">
        <w:pPr>
          <w:pStyle w:val="Footer"/>
          <w:jc w:val="right"/>
        </w:pPr>
        <w:r>
          <w:fldChar w:fldCharType="begin"/>
        </w:r>
        <w:r>
          <w:instrText xml:space="preserve"> PAGE   \* MERGEFORMAT </w:instrText>
        </w:r>
        <w:r>
          <w:fldChar w:fldCharType="separate"/>
        </w:r>
        <w:r w:rsidR="007C3385">
          <w:rPr>
            <w:noProof/>
          </w:rPr>
          <w:t>17</w:t>
        </w:r>
        <w:r>
          <w:rPr>
            <w:noProof/>
          </w:rPr>
          <w:fldChar w:fldCharType="end"/>
        </w:r>
      </w:p>
    </w:sdtContent>
  </w:sdt>
  <w:p w:rsidR="009D72F9" w:rsidRDefault="009D7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2C60" w:rsidRDefault="007E2C60" w:rsidP="00C8389C">
      <w:pPr>
        <w:spacing w:after="0" w:line="240" w:lineRule="auto"/>
      </w:pPr>
      <w:r>
        <w:separator/>
      </w:r>
    </w:p>
  </w:footnote>
  <w:footnote w:type="continuationSeparator" w:id="0">
    <w:p w:rsidR="007E2C60" w:rsidRDefault="007E2C60" w:rsidP="00C83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D34"/>
    <w:multiLevelType w:val="multilevel"/>
    <w:tmpl w:val="1F5EB4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5C5FAE"/>
    <w:multiLevelType w:val="hybridMultilevel"/>
    <w:tmpl w:val="77A8C95E"/>
    <w:lvl w:ilvl="0" w:tplc="61C07D3A">
      <w:start w:val="1"/>
      <w:numFmt w:val="bullet"/>
      <w:lvlText w:val="-"/>
      <w:lvlJc w:val="left"/>
      <w:pPr>
        <w:ind w:left="1080" w:hanging="360"/>
      </w:pPr>
      <w:rPr>
        <w:rFonts w:ascii="Verdana" w:eastAsia="Arial" w:hAnsi="Verdana"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0955"/>
    <w:multiLevelType w:val="hybridMultilevel"/>
    <w:tmpl w:val="761A2F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5DD67FD"/>
    <w:multiLevelType w:val="hybridMultilevel"/>
    <w:tmpl w:val="A87C3B0A"/>
    <w:lvl w:ilvl="0" w:tplc="4DCA95FE">
      <w:start w:val="3"/>
      <w:numFmt w:val="bullet"/>
      <w:lvlText w:val=""/>
      <w:lvlJc w:val="left"/>
      <w:pPr>
        <w:ind w:left="1494" w:hanging="360"/>
      </w:pPr>
      <w:rPr>
        <w:rFonts w:ascii="Symbol" w:eastAsia="Arial" w:hAnsi="Symbol" w:cs="Aria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1E8F7B77"/>
    <w:multiLevelType w:val="hybridMultilevel"/>
    <w:tmpl w:val="1E04F844"/>
    <w:lvl w:ilvl="0" w:tplc="39328B1C">
      <w:numFmt w:val="bullet"/>
      <w:lvlText w:val=""/>
      <w:lvlJc w:val="left"/>
      <w:pPr>
        <w:ind w:left="1069" w:hanging="360"/>
      </w:pPr>
      <w:rPr>
        <w:rFonts w:ascii="Symbol" w:eastAsiaTheme="minorHAnsi" w:hAnsi="Symbol"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26B47E6D"/>
    <w:multiLevelType w:val="hybridMultilevel"/>
    <w:tmpl w:val="6450C95E"/>
    <w:lvl w:ilvl="0" w:tplc="8B7213B4">
      <w:start w:val="42"/>
      <w:numFmt w:val="bullet"/>
      <w:lvlText w:val=""/>
      <w:lvlJc w:val="left"/>
      <w:pPr>
        <w:ind w:left="1440" w:hanging="360"/>
      </w:pPr>
      <w:rPr>
        <w:rFonts w:ascii="Symbol" w:eastAsia="Arial"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127624"/>
    <w:multiLevelType w:val="multilevel"/>
    <w:tmpl w:val="D00CDAA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3B4C1177"/>
    <w:multiLevelType w:val="hybridMultilevel"/>
    <w:tmpl w:val="5FFCDD16"/>
    <w:lvl w:ilvl="0" w:tplc="FFC60E06">
      <w:start w:val="10"/>
      <w:numFmt w:val="bullet"/>
      <w:lvlText w:val="-"/>
      <w:lvlJc w:val="left"/>
      <w:pPr>
        <w:ind w:left="1080" w:hanging="360"/>
      </w:pPr>
      <w:rPr>
        <w:rFonts w:ascii="Verdana" w:eastAsia="Arial" w:hAnsi="Verdan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2B63A7"/>
    <w:multiLevelType w:val="multilevel"/>
    <w:tmpl w:val="D00CDAA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415A5EAD"/>
    <w:multiLevelType w:val="hybridMultilevel"/>
    <w:tmpl w:val="2682BCA4"/>
    <w:lvl w:ilvl="0" w:tplc="9C36454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B43DE8"/>
    <w:multiLevelType w:val="multilevel"/>
    <w:tmpl w:val="D00CDAA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49F62C5C"/>
    <w:multiLevelType w:val="hybridMultilevel"/>
    <w:tmpl w:val="DBE8F1FE"/>
    <w:lvl w:ilvl="0" w:tplc="494094C6">
      <w:start w:val="4"/>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907C24"/>
    <w:multiLevelType w:val="hybridMultilevel"/>
    <w:tmpl w:val="F24AC7E2"/>
    <w:lvl w:ilvl="0" w:tplc="870C774A">
      <w:numFmt w:val="bullet"/>
      <w:lvlText w:val=""/>
      <w:lvlJc w:val="left"/>
      <w:pPr>
        <w:ind w:left="1069" w:hanging="360"/>
      </w:pPr>
      <w:rPr>
        <w:rFonts w:ascii="Symbol" w:eastAsia="Arial" w:hAnsi="Symbol" w:cs="Aria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3" w15:restartNumberingAfterBreak="0">
    <w:nsid w:val="58E75E61"/>
    <w:multiLevelType w:val="hybridMultilevel"/>
    <w:tmpl w:val="8E9672B2"/>
    <w:lvl w:ilvl="0" w:tplc="7B140E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78523C77"/>
    <w:multiLevelType w:val="hybridMultilevel"/>
    <w:tmpl w:val="76342EBA"/>
    <w:lvl w:ilvl="0" w:tplc="E7764C52">
      <w:start w:val="2"/>
      <w:numFmt w:val="bullet"/>
      <w:lvlText w:val=""/>
      <w:lvlJc w:val="left"/>
      <w:pPr>
        <w:ind w:left="1069" w:hanging="360"/>
      </w:pPr>
      <w:rPr>
        <w:rFonts w:ascii="Symbol" w:eastAsiaTheme="minorHAnsi" w:hAnsi="Symbol" w:cstheme="minorBidi"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5" w15:restartNumberingAfterBreak="0">
    <w:nsid w:val="7A751B58"/>
    <w:multiLevelType w:val="hybridMultilevel"/>
    <w:tmpl w:val="9A24D920"/>
    <w:lvl w:ilvl="0" w:tplc="C23CF188">
      <w:numFmt w:val="bullet"/>
      <w:lvlText w:val=""/>
      <w:lvlJc w:val="left"/>
      <w:pPr>
        <w:ind w:left="1854" w:hanging="360"/>
      </w:pPr>
      <w:rPr>
        <w:rFonts w:ascii="Wingdings" w:eastAsia="Arial" w:hAnsi="Wingdings" w:cs="Aria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6" w15:restartNumberingAfterBreak="0">
    <w:nsid w:val="7E3F0098"/>
    <w:multiLevelType w:val="hybridMultilevel"/>
    <w:tmpl w:val="A498D74E"/>
    <w:lvl w:ilvl="0" w:tplc="2B8C1018">
      <w:start w:val="1"/>
      <w:numFmt w:val="bullet"/>
      <w:lvlText w:val=""/>
      <w:lvlJc w:val="left"/>
      <w:pPr>
        <w:ind w:left="1069" w:hanging="360"/>
      </w:pPr>
      <w:rPr>
        <w:rFonts w:ascii="Symbol" w:eastAsiaTheme="minorHAnsi" w:hAnsi="Symbol" w:cstheme="minorBidi"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num w:numId="1" w16cid:durableId="14319738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1750352">
    <w:abstractNumId w:val="0"/>
  </w:num>
  <w:num w:numId="3" w16cid:durableId="1520317302">
    <w:abstractNumId w:val="6"/>
  </w:num>
  <w:num w:numId="4" w16cid:durableId="720860727">
    <w:abstractNumId w:val="3"/>
  </w:num>
  <w:num w:numId="5" w16cid:durableId="980233183">
    <w:abstractNumId w:val="5"/>
  </w:num>
  <w:num w:numId="6" w16cid:durableId="1179392157">
    <w:abstractNumId w:val="7"/>
  </w:num>
  <w:num w:numId="7" w16cid:durableId="91166042">
    <w:abstractNumId w:val="1"/>
  </w:num>
  <w:num w:numId="8" w16cid:durableId="6830276">
    <w:abstractNumId w:val="16"/>
  </w:num>
  <w:num w:numId="9" w16cid:durableId="1139347305">
    <w:abstractNumId w:val="9"/>
  </w:num>
  <w:num w:numId="10" w16cid:durableId="826898670">
    <w:abstractNumId w:val="15"/>
  </w:num>
  <w:num w:numId="11" w16cid:durableId="395864635">
    <w:abstractNumId w:val="11"/>
  </w:num>
  <w:num w:numId="12" w16cid:durableId="1856073972">
    <w:abstractNumId w:val="4"/>
  </w:num>
  <w:num w:numId="13" w16cid:durableId="2120103910">
    <w:abstractNumId w:val="13"/>
  </w:num>
  <w:num w:numId="14" w16cid:durableId="1035931713">
    <w:abstractNumId w:val="10"/>
  </w:num>
  <w:num w:numId="15" w16cid:durableId="1474639566">
    <w:abstractNumId w:val="8"/>
  </w:num>
  <w:num w:numId="16" w16cid:durableId="821195064">
    <w:abstractNumId w:val="12"/>
  </w:num>
  <w:num w:numId="17" w16cid:durableId="13937674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30"/>
    <w:rsid w:val="00000CFA"/>
    <w:rsid w:val="00003FCC"/>
    <w:rsid w:val="0001421E"/>
    <w:rsid w:val="0001784C"/>
    <w:rsid w:val="00023E01"/>
    <w:rsid w:val="00026694"/>
    <w:rsid w:val="00027DF8"/>
    <w:rsid w:val="00030FFB"/>
    <w:rsid w:val="000316C6"/>
    <w:rsid w:val="00032965"/>
    <w:rsid w:val="00033FF9"/>
    <w:rsid w:val="00034FF1"/>
    <w:rsid w:val="00036509"/>
    <w:rsid w:val="0003725F"/>
    <w:rsid w:val="00037C2A"/>
    <w:rsid w:val="00037E31"/>
    <w:rsid w:val="00042392"/>
    <w:rsid w:val="00044C7F"/>
    <w:rsid w:val="000458E7"/>
    <w:rsid w:val="00052DD4"/>
    <w:rsid w:val="00057100"/>
    <w:rsid w:val="000578D9"/>
    <w:rsid w:val="00064D7E"/>
    <w:rsid w:val="00080647"/>
    <w:rsid w:val="00081676"/>
    <w:rsid w:val="00084683"/>
    <w:rsid w:val="00090954"/>
    <w:rsid w:val="00092068"/>
    <w:rsid w:val="0009770E"/>
    <w:rsid w:val="000A751D"/>
    <w:rsid w:val="000B5687"/>
    <w:rsid w:val="000B5730"/>
    <w:rsid w:val="000B7FAD"/>
    <w:rsid w:val="000C034A"/>
    <w:rsid w:val="000C67B2"/>
    <w:rsid w:val="000C784B"/>
    <w:rsid w:val="000D277A"/>
    <w:rsid w:val="000D45AA"/>
    <w:rsid w:val="000D6C10"/>
    <w:rsid w:val="000E5015"/>
    <w:rsid w:val="000E5837"/>
    <w:rsid w:val="000E687D"/>
    <w:rsid w:val="000F4574"/>
    <w:rsid w:val="0010212A"/>
    <w:rsid w:val="001077A1"/>
    <w:rsid w:val="00110752"/>
    <w:rsid w:val="001153CA"/>
    <w:rsid w:val="00121074"/>
    <w:rsid w:val="0012363D"/>
    <w:rsid w:val="00124DB6"/>
    <w:rsid w:val="00125648"/>
    <w:rsid w:val="00131BEF"/>
    <w:rsid w:val="00145886"/>
    <w:rsid w:val="001549AB"/>
    <w:rsid w:val="00157A18"/>
    <w:rsid w:val="00162A25"/>
    <w:rsid w:val="00163AF7"/>
    <w:rsid w:val="00165D03"/>
    <w:rsid w:val="00166A48"/>
    <w:rsid w:val="0018319E"/>
    <w:rsid w:val="00185A57"/>
    <w:rsid w:val="00187240"/>
    <w:rsid w:val="00190502"/>
    <w:rsid w:val="00190B41"/>
    <w:rsid w:val="00193566"/>
    <w:rsid w:val="00194643"/>
    <w:rsid w:val="0019558F"/>
    <w:rsid w:val="001A6D16"/>
    <w:rsid w:val="001B01CD"/>
    <w:rsid w:val="001B4000"/>
    <w:rsid w:val="001C1A7C"/>
    <w:rsid w:val="001C210A"/>
    <w:rsid w:val="001C2878"/>
    <w:rsid w:val="001C4D75"/>
    <w:rsid w:val="001D0915"/>
    <w:rsid w:val="001D1DBF"/>
    <w:rsid w:val="001D2372"/>
    <w:rsid w:val="001D67AB"/>
    <w:rsid w:val="001E7858"/>
    <w:rsid w:val="001F04A8"/>
    <w:rsid w:val="001F4ACB"/>
    <w:rsid w:val="002065A1"/>
    <w:rsid w:val="00210199"/>
    <w:rsid w:val="0021325C"/>
    <w:rsid w:val="00213CB8"/>
    <w:rsid w:val="002215B5"/>
    <w:rsid w:val="0022396B"/>
    <w:rsid w:val="00225907"/>
    <w:rsid w:val="002325DD"/>
    <w:rsid w:val="002327FF"/>
    <w:rsid w:val="002338DA"/>
    <w:rsid w:val="00234565"/>
    <w:rsid w:val="00237B36"/>
    <w:rsid w:val="00262DFA"/>
    <w:rsid w:val="00266CF2"/>
    <w:rsid w:val="00266ED1"/>
    <w:rsid w:val="00267808"/>
    <w:rsid w:val="00283A1F"/>
    <w:rsid w:val="00296A5F"/>
    <w:rsid w:val="002A1BFF"/>
    <w:rsid w:val="002B1D7E"/>
    <w:rsid w:val="002B2412"/>
    <w:rsid w:val="002B6D31"/>
    <w:rsid w:val="002C087F"/>
    <w:rsid w:val="002C3C32"/>
    <w:rsid w:val="002E5781"/>
    <w:rsid w:val="002F0240"/>
    <w:rsid w:val="002F025F"/>
    <w:rsid w:val="002F17B3"/>
    <w:rsid w:val="002F3083"/>
    <w:rsid w:val="002F48D6"/>
    <w:rsid w:val="00303618"/>
    <w:rsid w:val="003067EF"/>
    <w:rsid w:val="00312EAC"/>
    <w:rsid w:val="0032589B"/>
    <w:rsid w:val="00326A58"/>
    <w:rsid w:val="00330054"/>
    <w:rsid w:val="0033494E"/>
    <w:rsid w:val="00336B27"/>
    <w:rsid w:val="0034517B"/>
    <w:rsid w:val="003505BC"/>
    <w:rsid w:val="0035081E"/>
    <w:rsid w:val="00352FB6"/>
    <w:rsid w:val="003553C4"/>
    <w:rsid w:val="00361252"/>
    <w:rsid w:val="00363F17"/>
    <w:rsid w:val="00367A26"/>
    <w:rsid w:val="00375913"/>
    <w:rsid w:val="00382EAD"/>
    <w:rsid w:val="00385636"/>
    <w:rsid w:val="003863EA"/>
    <w:rsid w:val="0039073A"/>
    <w:rsid w:val="0039167E"/>
    <w:rsid w:val="00392245"/>
    <w:rsid w:val="003951A8"/>
    <w:rsid w:val="003A56F8"/>
    <w:rsid w:val="003B00DE"/>
    <w:rsid w:val="003B4708"/>
    <w:rsid w:val="003C2179"/>
    <w:rsid w:val="003C2224"/>
    <w:rsid w:val="003C650C"/>
    <w:rsid w:val="003D2663"/>
    <w:rsid w:val="003D4C09"/>
    <w:rsid w:val="003D6C00"/>
    <w:rsid w:val="003E6328"/>
    <w:rsid w:val="003F1537"/>
    <w:rsid w:val="003F65E8"/>
    <w:rsid w:val="0040012B"/>
    <w:rsid w:val="00405BFB"/>
    <w:rsid w:val="00405E2C"/>
    <w:rsid w:val="004109AD"/>
    <w:rsid w:val="00413F65"/>
    <w:rsid w:val="00415210"/>
    <w:rsid w:val="00422537"/>
    <w:rsid w:val="0042407F"/>
    <w:rsid w:val="00426415"/>
    <w:rsid w:val="00426E54"/>
    <w:rsid w:val="00432557"/>
    <w:rsid w:val="00441F7F"/>
    <w:rsid w:val="00447B5A"/>
    <w:rsid w:val="00447C84"/>
    <w:rsid w:val="004538E7"/>
    <w:rsid w:val="00457AD0"/>
    <w:rsid w:val="00463ABC"/>
    <w:rsid w:val="0048389E"/>
    <w:rsid w:val="00492D27"/>
    <w:rsid w:val="00495C7A"/>
    <w:rsid w:val="004A4C95"/>
    <w:rsid w:val="004A4F56"/>
    <w:rsid w:val="004B07DB"/>
    <w:rsid w:val="004B485B"/>
    <w:rsid w:val="004B66AD"/>
    <w:rsid w:val="004D03CC"/>
    <w:rsid w:val="004D1973"/>
    <w:rsid w:val="004D4140"/>
    <w:rsid w:val="004F0200"/>
    <w:rsid w:val="00507099"/>
    <w:rsid w:val="00510FB9"/>
    <w:rsid w:val="00510FEB"/>
    <w:rsid w:val="0051283A"/>
    <w:rsid w:val="0052555A"/>
    <w:rsid w:val="005375D7"/>
    <w:rsid w:val="00541E7D"/>
    <w:rsid w:val="005446F0"/>
    <w:rsid w:val="0054660D"/>
    <w:rsid w:val="00550D82"/>
    <w:rsid w:val="00553924"/>
    <w:rsid w:val="00555694"/>
    <w:rsid w:val="00576D7A"/>
    <w:rsid w:val="00577F23"/>
    <w:rsid w:val="00583C44"/>
    <w:rsid w:val="005851C6"/>
    <w:rsid w:val="005919DF"/>
    <w:rsid w:val="00592070"/>
    <w:rsid w:val="005959E2"/>
    <w:rsid w:val="005A1A96"/>
    <w:rsid w:val="005A2C94"/>
    <w:rsid w:val="005B0F30"/>
    <w:rsid w:val="005B23AB"/>
    <w:rsid w:val="005B7EBC"/>
    <w:rsid w:val="005C1418"/>
    <w:rsid w:val="005D14BC"/>
    <w:rsid w:val="005E21B5"/>
    <w:rsid w:val="005E47E8"/>
    <w:rsid w:val="005E50F5"/>
    <w:rsid w:val="005F40C2"/>
    <w:rsid w:val="005F658F"/>
    <w:rsid w:val="00601D23"/>
    <w:rsid w:val="00603C17"/>
    <w:rsid w:val="00604034"/>
    <w:rsid w:val="0060520B"/>
    <w:rsid w:val="0061465F"/>
    <w:rsid w:val="00616913"/>
    <w:rsid w:val="006265CD"/>
    <w:rsid w:val="00630717"/>
    <w:rsid w:val="006347DC"/>
    <w:rsid w:val="00641143"/>
    <w:rsid w:val="00642072"/>
    <w:rsid w:val="00644F5C"/>
    <w:rsid w:val="00651E79"/>
    <w:rsid w:val="00653249"/>
    <w:rsid w:val="0065396E"/>
    <w:rsid w:val="00660CB5"/>
    <w:rsid w:val="006647C1"/>
    <w:rsid w:val="0067448C"/>
    <w:rsid w:val="006834B0"/>
    <w:rsid w:val="0068362A"/>
    <w:rsid w:val="00686D3C"/>
    <w:rsid w:val="006931F5"/>
    <w:rsid w:val="006A0A90"/>
    <w:rsid w:val="006A4940"/>
    <w:rsid w:val="006C0EAA"/>
    <w:rsid w:val="006C48F0"/>
    <w:rsid w:val="006C5102"/>
    <w:rsid w:val="006D1980"/>
    <w:rsid w:val="006D7583"/>
    <w:rsid w:val="006E020E"/>
    <w:rsid w:val="006E3232"/>
    <w:rsid w:val="006E34DA"/>
    <w:rsid w:val="006F1B81"/>
    <w:rsid w:val="006F3A3F"/>
    <w:rsid w:val="006F59C7"/>
    <w:rsid w:val="007067AC"/>
    <w:rsid w:val="00706C81"/>
    <w:rsid w:val="00712EA7"/>
    <w:rsid w:val="0073163B"/>
    <w:rsid w:val="007326F9"/>
    <w:rsid w:val="00742DEB"/>
    <w:rsid w:val="007438DF"/>
    <w:rsid w:val="00745880"/>
    <w:rsid w:val="00750E29"/>
    <w:rsid w:val="00754B17"/>
    <w:rsid w:val="00757FA0"/>
    <w:rsid w:val="00766E34"/>
    <w:rsid w:val="00774DD1"/>
    <w:rsid w:val="007765D9"/>
    <w:rsid w:val="007769E0"/>
    <w:rsid w:val="007776D5"/>
    <w:rsid w:val="00777CCA"/>
    <w:rsid w:val="0078038A"/>
    <w:rsid w:val="00780A95"/>
    <w:rsid w:val="00780F5C"/>
    <w:rsid w:val="00782E74"/>
    <w:rsid w:val="007838BA"/>
    <w:rsid w:val="00791ED0"/>
    <w:rsid w:val="00796A22"/>
    <w:rsid w:val="007B0657"/>
    <w:rsid w:val="007B0921"/>
    <w:rsid w:val="007B0A7F"/>
    <w:rsid w:val="007B2A2C"/>
    <w:rsid w:val="007C3385"/>
    <w:rsid w:val="007C6AB1"/>
    <w:rsid w:val="007C77AF"/>
    <w:rsid w:val="007D0323"/>
    <w:rsid w:val="007D6C96"/>
    <w:rsid w:val="007E15FD"/>
    <w:rsid w:val="007E1801"/>
    <w:rsid w:val="007E2C60"/>
    <w:rsid w:val="007E329A"/>
    <w:rsid w:val="007E539F"/>
    <w:rsid w:val="007F5285"/>
    <w:rsid w:val="00800DF7"/>
    <w:rsid w:val="00802523"/>
    <w:rsid w:val="008026AD"/>
    <w:rsid w:val="008053B5"/>
    <w:rsid w:val="008079DD"/>
    <w:rsid w:val="0081048B"/>
    <w:rsid w:val="008124EF"/>
    <w:rsid w:val="00816865"/>
    <w:rsid w:val="008313E1"/>
    <w:rsid w:val="0083409E"/>
    <w:rsid w:val="0083467A"/>
    <w:rsid w:val="0084026E"/>
    <w:rsid w:val="00844AB7"/>
    <w:rsid w:val="008521E7"/>
    <w:rsid w:val="008600AD"/>
    <w:rsid w:val="00860ACA"/>
    <w:rsid w:val="008620B7"/>
    <w:rsid w:val="00862388"/>
    <w:rsid w:val="00865D22"/>
    <w:rsid w:val="00870193"/>
    <w:rsid w:val="0087275A"/>
    <w:rsid w:val="008779D7"/>
    <w:rsid w:val="008866B6"/>
    <w:rsid w:val="00890D38"/>
    <w:rsid w:val="00893797"/>
    <w:rsid w:val="00895B42"/>
    <w:rsid w:val="008969B9"/>
    <w:rsid w:val="008A60B8"/>
    <w:rsid w:val="008B2F42"/>
    <w:rsid w:val="008B6A6F"/>
    <w:rsid w:val="008C2E67"/>
    <w:rsid w:val="008C61BB"/>
    <w:rsid w:val="008D05B2"/>
    <w:rsid w:val="008D0867"/>
    <w:rsid w:val="008D0DDA"/>
    <w:rsid w:val="008D2CD6"/>
    <w:rsid w:val="008E2F1F"/>
    <w:rsid w:val="008E4669"/>
    <w:rsid w:val="008E50DB"/>
    <w:rsid w:val="008E7740"/>
    <w:rsid w:val="008F3375"/>
    <w:rsid w:val="00901CF5"/>
    <w:rsid w:val="0090584F"/>
    <w:rsid w:val="00906658"/>
    <w:rsid w:val="009071A1"/>
    <w:rsid w:val="009135D4"/>
    <w:rsid w:val="009150D8"/>
    <w:rsid w:val="00917004"/>
    <w:rsid w:val="00922AD1"/>
    <w:rsid w:val="00926BD4"/>
    <w:rsid w:val="00927669"/>
    <w:rsid w:val="00927FDE"/>
    <w:rsid w:val="00931FBE"/>
    <w:rsid w:val="009334CB"/>
    <w:rsid w:val="00941E98"/>
    <w:rsid w:val="00946F19"/>
    <w:rsid w:val="009500C5"/>
    <w:rsid w:val="00950972"/>
    <w:rsid w:val="00953437"/>
    <w:rsid w:val="00953F04"/>
    <w:rsid w:val="0095497A"/>
    <w:rsid w:val="00954A67"/>
    <w:rsid w:val="00961BAF"/>
    <w:rsid w:val="009717EC"/>
    <w:rsid w:val="009730F7"/>
    <w:rsid w:val="009813BD"/>
    <w:rsid w:val="009965D2"/>
    <w:rsid w:val="009A002E"/>
    <w:rsid w:val="009A3BF7"/>
    <w:rsid w:val="009A5C6F"/>
    <w:rsid w:val="009A5ED2"/>
    <w:rsid w:val="009A60AF"/>
    <w:rsid w:val="009A6DEC"/>
    <w:rsid w:val="009A7520"/>
    <w:rsid w:val="009B06E7"/>
    <w:rsid w:val="009B5A38"/>
    <w:rsid w:val="009B6205"/>
    <w:rsid w:val="009B6D35"/>
    <w:rsid w:val="009D2E13"/>
    <w:rsid w:val="009D393D"/>
    <w:rsid w:val="009D56E2"/>
    <w:rsid w:val="009D72F9"/>
    <w:rsid w:val="009F5990"/>
    <w:rsid w:val="00A0289F"/>
    <w:rsid w:val="00A16F5B"/>
    <w:rsid w:val="00A20398"/>
    <w:rsid w:val="00A36FEA"/>
    <w:rsid w:val="00A45900"/>
    <w:rsid w:val="00A556BA"/>
    <w:rsid w:val="00A5627B"/>
    <w:rsid w:val="00A62353"/>
    <w:rsid w:val="00A652B6"/>
    <w:rsid w:val="00A726C6"/>
    <w:rsid w:val="00A763A6"/>
    <w:rsid w:val="00A76529"/>
    <w:rsid w:val="00A867DB"/>
    <w:rsid w:val="00A9314C"/>
    <w:rsid w:val="00A93809"/>
    <w:rsid w:val="00A9656A"/>
    <w:rsid w:val="00AB1927"/>
    <w:rsid w:val="00AB5512"/>
    <w:rsid w:val="00AC1563"/>
    <w:rsid w:val="00AC1694"/>
    <w:rsid w:val="00AC6701"/>
    <w:rsid w:val="00AD3428"/>
    <w:rsid w:val="00AD3B29"/>
    <w:rsid w:val="00AD3DA0"/>
    <w:rsid w:val="00AD5A90"/>
    <w:rsid w:val="00AD70D0"/>
    <w:rsid w:val="00AE096A"/>
    <w:rsid w:val="00AE395A"/>
    <w:rsid w:val="00AE467D"/>
    <w:rsid w:val="00AE656C"/>
    <w:rsid w:val="00AF0F11"/>
    <w:rsid w:val="00AF2EA8"/>
    <w:rsid w:val="00AF3A2D"/>
    <w:rsid w:val="00B04061"/>
    <w:rsid w:val="00B04E9A"/>
    <w:rsid w:val="00B06530"/>
    <w:rsid w:val="00B11146"/>
    <w:rsid w:val="00B24FDA"/>
    <w:rsid w:val="00B312B5"/>
    <w:rsid w:val="00B32AE0"/>
    <w:rsid w:val="00B33B8F"/>
    <w:rsid w:val="00B35FDB"/>
    <w:rsid w:val="00B379F0"/>
    <w:rsid w:val="00B51656"/>
    <w:rsid w:val="00B52227"/>
    <w:rsid w:val="00B5591C"/>
    <w:rsid w:val="00B66609"/>
    <w:rsid w:val="00B6736E"/>
    <w:rsid w:val="00B72097"/>
    <w:rsid w:val="00B736F4"/>
    <w:rsid w:val="00B74ACB"/>
    <w:rsid w:val="00B8186A"/>
    <w:rsid w:val="00B83059"/>
    <w:rsid w:val="00B83F71"/>
    <w:rsid w:val="00B86432"/>
    <w:rsid w:val="00B8685F"/>
    <w:rsid w:val="00BA0284"/>
    <w:rsid w:val="00BA34EF"/>
    <w:rsid w:val="00BB0C23"/>
    <w:rsid w:val="00BC2DAB"/>
    <w:rsid w:val="00BC650F"/>
    <w:rsid w:val="00BD0400"/>
    <w:rsid w:val="00BD293B"/>
    <w:rsid w:val="00BE0B0B"/>
    <w:rsid w:val="00BE175D"/>
    <w:rsid w:val="00BE26F1"/>
    <w:rsid w:val="00BE5EB1"/>
    <w:rsid w:val="00BE6B83"/>
    <w:rsid w:val="00BE736F"/>
    <w:rsid w:val="00BF0954"/>
    <w:rsid w:val="00BF3A24"/>
    <w:rsid w:val="00BF638D"/>
    <w:rsid w:val="00BF75A2"/>
    <w:rsid w:val="00C10828"/>
    <w:rsid w:val="00C12750"/>
    <w:rsid w:val="00C17C88"/>
    <w:rsid w:val="00C21810"/>
    <w:rsid w:val="00C372D6"/>
    <w:rsid w:val="00C37FE9"/>
    <w:rsid w:val="00C40CCE"/>
    <w:rsid w:val="00C411C9"/>
    <w:rsid w:val="00C4345B"/>
    <w:rsid w:val="00C449A2"/>
    <w:rsid w:val="00C44F5B"/>
    <w:rsid w:val="00C459F4"/>
    <w:rsid w:val="00C47D25"/>
    <w:rsid w:val="00C519ED"/>
    <w:rsid w:val="00C62FB8"/>
    <w:rsid w:val="00C632C8"/>
    <w:rsid w:val="00C636C3"/>
    <w:rsid w:val="00C71602"/>
    <w:rsid w:val="00C7569A"/>
    <w:rsid w:val="00C75A5C"/>
    <w:rsid w:val="00C76518"/>
    <w:rsid w:val="00C8389C"/>
    <w:rsid w:val="00C838DF"/>
    <w:rsid w:val="00CA0AE1"/>
    <w:rsid w:val="00CA6FE9"/>
    <w:rsid w:val="00CA72F1"/>
    <w:rsid w:val="00CB1B70"/>
    <w:rsid w:val="00CB2912"/>
    <w:rsid w:val="00CB6DC0"/>
    <w:rsid w:val="00CC01B3"/>
    <w:rsid w:val="00CC0DA5"/>
    <w:rsid w:val="00CC0F24"/>
    <w:rsid w:val="00CC537F"/>
    <w:rsid w:val="00CC6B2A"/>
    <w:rsid w:val="00CC6D48"/>
    <w:rsid w:val="00CD0D20"/>
    <w:rsid w:val="00CD11D2"/>
    <w:rsid w:val="00CD7309"/>
    <w:rsid w:val="00CD7749"/>
    <w:rsid w:val="00CE5035"/>
    <w:rsid w:val="00CE7C33"/>
    <w:rsid w:val="00CE7C75"/>
    <w:rsid w:val="00CE7EAC"/>
    <w:rsid w:val="00CF1277"/>
    <w:rsid w:val="00CF1425"/>
    <w:rsid w:val="00CF5207"/>
    <w:rsid w:val="00D00CC4"/>
    <w:rsid w:val="00D0177A"/>
    <w:rsid w:val="00D06271"/>
    <w:rsid w:val="00D14BB1"/>
    <w:rsid w:val="00D16926"/>
    <w:rsid w:val="00D20BBE"/>
    <w:rsid w:val="00D25820"/>
    <w:rsid w:val="00D26636"/>
    <w:rsid w:val="00D273F5"/>
    <w:rsid w:val="00D34193"/>
    <w:rsid w:val="00D3758F"/>
    <w:rsid w:val="00D40242"/>
    <w:rsid w:val="00D41C12"/>
    <w:rsid w:val="00D42B32"/>
    <w:rsid w:val="00D44055"/>
    <w:rsid w:val="00D605B2"/>
    <w:rsid w:val="00D60AA9"/>
    <w:rsid w:val="00D61471"/>
    <w:rsid w:val="00D62754"/>
    <w:rsid w:val="00D71EAE"/>
    <w:rsid w:val="00D74700"/>
    <w:rsid w:val="00D768D6"/>
    <w:rsid w:val="00D76C86"/>
    <w:rsid w:val="00D801A0"/>
    <w:rsid w:val="00D819BC"/>
    <w:rsid w:val="00D83510"/>
    <w:rsid w:val="00D83FB8"/>
    <w:rsid w:val="00D87853"/>
    <w:rsid w:val="00DA4094"/>
    <w:rsid w:val="00DA73CB"/>
    <w:rsid w:val="00DB5E6F"/>
    <w:rsid w:val="00DB7EAD"/>
    <w:rsid w:val="00DC010C"/>
    <w:rsid w:val="00DC05C1"/>
    <w:rsid w:val="00DC202B"/>
    <w:rsid w:val="00DC4392"/>
    <w:rsid w:val="00DD01DA"/>
    <w:rsid w:val="00DD033B"/>
    <w:rsid w:val="00DD250C"/>
    <w:rsid w:val="00DD3E81"/>
    <w:rsid w:val="00DD5812"/>
    <w:rsid w:val="00DD59B9"/>
    <w:rsid w:val="00DD7E27"/>
    <w:rsid w:val="00DE09A4"/>
    <w:rsid w:val="00DE41EE"/>
    <w:rsid w:val="00DE714F"/>
    <w:rsid w:val="00DE7BC6"/>
    <w:rsid w:val="00E04E46"/>
    <w:rsid w:val="00E12EE0"/>
    <w:rsid w:val="00E144D4"/>
    <w:rsid w:val="00E14BFE"/>
    <w:rsid w:val="00E16BA0"/>
    <w:rsid w:val="00E21FC2"/>
    <w:rsid w:val="00E26873"/>
    <w:rsid w:val="00E27786"/>
    <w:rsid w:val="00E27F48"/>
    <w:rsid w:val="00E30A73"/>
    <w:rsid w:val="00E356DB"/>
    <w:rsid w:val="00E3687E"/>
    <w:rsid w:val="00E4165E"/>
    <w:rsid w:val="00E54663"/>
    <w:rsid w:val="00E62A64"/>
    <w:rsid w:val="00E6411D"/>
    <w:rsid w:val="00E66E96"/>
    <w:rsid w:val="00E7182A"/>
    <w:rsid w:val="00E75B59"/>
    <w:rsid w:val="00E876F8"/>
    <w:rsid w:val="00E90146"/>
    <w:rsid w:val="00E902AE"/>
    <w:rsid w:val="00E95C4B"/>
    <w:rsid w:val="00EA27F7"/>
    <w:rsid w:val="00EB13F2"/>
    <w:rsid w:val="00EB2A08"/>
    <w:rsid w:val="00EB5C5E"/>
    <w:rsid w:val="00EC1F29"/>
    <w:rsid w:val="00EC6A08"/>
    <w:rsid w:val="00EC7475"/>
    <w:rsid w:val="00ED0EDC"/>
    <w:rsid w:val="00ED598A"/>
    <w:rsid w:val="00EE2BBD"/>
    <w:rsid w:val="00EE321B"/>
    <w:rsid w:val="00EE5D03"/>
    <w:rsid w:val="00EF40DC"/>
    <w:rsid w:val="00EF4D54"/>
    <w:rsid w:val="00EF6589"/>
    <w:rsid w:val="00F0680D"/>
    <w:rsid w:val="00F06BD3"/>
    <w:rsid w:val="00F10D85"/>
    <w:rsid w:val="00F134D0"/>
    <w:rsid w:val="00F240FD"/>
    <w:rsid w:val="00F36592"/>
    <w:rsid w:val="00F36BD5"/>
    <w:rsid w:val="00F37089"/>
    <w:rsid w:val="00F47160"/>
    <w:rsid w:val="00F50AAB"/>
    <w:rsid w:val="00F51038"/>
    <w:rsid w:val="00F60192"/>
    <w:rsid w:val="00F62896"/>
    <w:rsid w:val="00F66FBF"/>
    <w:rsid w:val="00F73D0A"/>
    <w:rsid w:val="00F81966"/>
    <w:rsid w:val="00F824D2"/>
    <w:rsid w:val="00F91270"/>
    <w:rsid w:val="00F96C94"/>
    <w:rsid w:val="00F97152"/>
    <w:rsid w:val="00FA13E2"/>
    <w:rsid w:val="00FA42F1"/>
    <w:rsid w:val="00FB3FA2"/>
    <w:rsid w:val="00FC0205"/>
    <w:rsid w:val="00FC0B3A"/>
    <w:rsid w:val="00FC168E"/>
    <w:rsid w:val="00FC1AB1"/>
    <w:rsid w:val="00FC7858"/>
    <w:rsid w:val="00FD0FA4"/>
    <w:rsid w:val="00FD4F79"/>
    <w:rsid w:val="00FD75AA"/>
    <w:rsid w:val="00FE27FD"/>
    <w:rsid w:val="00FE4191"/>
    <w:rsid w:val="00FF54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9BDB5"/>
  <w15:docId w15:val="{C763A8E6-321E-420C-BDDE-2FB43EFF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B0F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5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0F30"/>
    <w:pPr>
      <w:spacing w:after="0" w:line="240" w:lineRule="auto"/>
    </w:pPr>
    <w:rPr>
      <w:rFonts w:ascii="Arial" w:eastAsia="Arial" w:hAnsi="Arial" w:cs="Arial"/>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F30"/>
    <w:pPr>
      <w:spacing w:after="0" w:line="276" w:lineRule="auto"/>
      <w:ind w:left="720"/>
      <w:contextualSpacing/>
    </w:pPr>
    <w:rPr>
      <w:rFonts w:ascii="Arial" w:eastAsia="Arial" w:hAnsi="Arial" w:cs="Arial"/>
    </w:rPr>
  </w:style>
  <w:style w:type="character" w:customStyle="1" w:styleId="normaltextrun">
    <w:name w:val="normaltextrun"/>
    <w:basedOn w:val="DefaultParagraphFont"/>
    <w:rsid w:val="005B0F30"/>
  </w:style>
  <w:style w:type="character" w:customStyle="1" w:styleId="Heading1Char">
    <w:name w:val="Heading 1 Char"/>
    <w:basedOn w:val="DefaultParagraphFont"/>
    <w:link w:val="Heading1"/>
    <w:uiPriority w:val="9"/>
    <w:rsid w:val="005B0F30"/>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5B0F30"/>
    <w:pPr>
      <w:outlineLvl w:val="9"/>
    </w:pPr>
    <w:rPr>
      <w:lang w:val="en-US"/>
    </w:rPr>
  </w:style>
  <w:style w:type="paragraph" w:styleId="TOC1">
    <w:name w:val="toc 1"/>
    <w:basedOn w:val="Normal"/>
    <w:next w:val="Normal"/>
    <w:autoRedefine/>
    <w:uiPriority w:val="39"/>
    <w:unhideWhenUsed/>
    <w:rsid w:val="00604034"/>
    <w:pPr>
      <w:spacing w:after="100"/>
    </w:pPr>
  </w:style>
  <w:style w:type="character" w:styleId="Hyperlink">
    <w:name w:val="Hyperlink"/>
    <w:basedOn w:val="DefaultParagraphFont"/>
    <w:uiPriority w:val="99"/>
    <w:unhideWhenUsed/>
    <w:rsid w:val="00604034"/>
    <w:rPr>
      <w:color w:val="0563C1" w:themeColor="hyperlink"/>
      <w:u w:val="single"/>
    </w:rPr>
  </w:style>
  <w:style w:type="paragraph" w:styleId="TOC2">
    <w:name w:val="toc 2"/>
    <w:basedOn w:val="Normal"/>
    <w:next w:val="Normal"/>
    <w:autoRedefine/>
    <w:uiPriority w:val="39"/>
    <w:unhideWhenUsed/>
    <w:rsid w:val="00C8389C"/>
    <w:pPr>
      <w:spacing w:after="100"/>
      <w:ind w:left="220"/>
    </w:pPr>
  </w:style>
  <w:style w:type="paragraph" w:styleId="Header">
    <w:name w:val="header"/>
    <w:basedOn w:val="Normal"/>
    <w:link w:val="HeaderChar"/>
    <w:uiPriority w:val="99"/>
    <w:unhideWhenUsed/>
    <w:rsid w:val="00C83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89C"/>
    <w:rPr>
      <w:lang w:val="en-GB"/>
    </w:rPr>
  </w:style>
  <w:style w:type="paragraph" w:styleId="Footer">
    <w:name w:val="footer"/>
    <w:basedOn w:val="Normal"/>
    <w:link w:val="FooterChar"/>
    <w:uiPriority w:val="99"/>
    <w:unhideWhenUsed/>
    <w:rsid w:val="00C83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89C"/>
    <w:rPr>
      <w:lang w:val="en-GB"/>
    </w:rPr>
  </w:style>
  <w:style w:type="character" w:customStyle="1" w:styleId="Heading2Char">
    <w:name w:val="Heading 2 Char"/>
    <w:basedOn w:val="DefaultParagraphFont"/>
    <w:link w:val="Heading2"/>
    <w:uiPriority w:val="9"/>
    <w:rsid w:val="003F65E8"/>
    <w:rPr>
      <w:rFonts w:asciiTheme="majorHAnsi" w:eastAsiaTheme="majorEastAsia" w:hAnsiTheme="majorHAnsi" w:cstheme="majorBidi"/>
      <w:color w:val="2E74B5" w:themeColor="accent1" w:themeShade="BF"/>
      <w:sz w:val="26"/>
      <w:szCs w:val="26"/>
      <w:lang w:val="en-GB"/>
    </w:rPr>
  </w:style>
  <w:style w:type="paragraph" w:styleId="TOC3">
    <w:name w:val="toc 3"/>
    <w:basedOn w:val="Normal"/>
    <w:next w:val="Normal"/>
    <w:autoRedefine/>
    <w:uiPriority w:val="39"/>
    <w:unhideWhenUsed/>
    <w:rsid w:val="003F65E8"/>
    <w:pPr>
      <w:spacing w:after="100"/>
      <w:ind w:left="440"/>
    </w:pPr>
  </w:style>
  <w:style w:type="character" w:customStyle="1" w:styleId="Heading3Char">
    <w:name w:val="Heading 3 Char"/>
    <w:basedOn w:val="DefaultParagraphFont"/>
    <w:link w:val="Heading3"/>
    <w:uiPriority w:val="9"/>
    <w:rsid w:val="003F65E8"/>
    <w:rPr>
      <w:rFonts w:asciiTheme="majorHAnsi" w:eastAsiaTheme="majorEastAsia" w:hAnsiTheme="majorHAnsi" w:cstheme="majorBidi"/>
      <w:color w:val="1F4D78" w:themeColor="accent1" w:themeShade="7F"/>
      <w:sz w:val="24"/>
      <w:szCs w:val="24"/>
      <w:lang w:val="en-GB"/>
    </w:rPr>
  </w:style>
  <w:style w:type="character" w:styleId="FollowedHyperlink">
    <w:name w:val="FollowedHyperlink"/>
    <w:basedOn w:val="DefaultParagraphFont"/>
    <w:uiPriority w:val="99"/>
    <w:semiHidden/>
    <w:unhideWhenUsed/>
    <w:rsid w:val="005E21B5"/>
    <w:rPr>
      <w:color w:val="954F72" w:themeColor="followedHyperlink"/>
      <w:u w:val="single"/>
    </w:rPr>
  </w:style>
  <w:style w:type="character" w:customStyle="1" w:styleId="hlfld-contribauthor">
    <w:name w:val="hlfld-contribauthor"/>
    <w:basedOn w:val="DefaultParagraphFont"/>
    <w:rsid w:val="00C71602"/>
  </w:style>
  <w:style w:type="character" w:customStyle="1" w:styleId="nlmgiven-names">
    <w:name w:val="nlm_given-names"/>
    <w:basedOn w:val="DefaultParagraphFont"/>
    <w:rsid w:val="00C71602"/>
  </w:style>
  <w:style w:type="character" w:customStyle="1" w:styleId="nlmyear">
    <w:name w:val="nlm_year"/>
    <w:basedOn w:val="DefaultParagraphFont"/>
    <w:rsid w:val="00C71602"/>
  </w:style>
  <w:style w:type="character" w:customStyle="1" w:styleId="nlmarticle-title">
    <w:name w:val="nlm_article-title"/>
    <w:basedOn w:val="DefaultParagraphFont"/>
    <w:rsid w:val="00C71602"/>
  </w:style>
  <w:style w:type="character" w:customStyle="1" w:styleId="fontstyle01">
    <w:name w:val="fontstyle01"/>
    <w:basedOn w:val="DefaultParagraphFont"/>
    <w:rsid w:val="00AE395A"/>
    <w:rPr>
      <w:rFonts w:ascii="Calibri" w:hAnsi="Calibri" w:hint="default"/>
      <w:b w:val="0"/>
      <w:bCs w:val="0"/>
      <w:i w:val="0"/>
      <w:iCs w:val="0"/>
      <w:color w:val="000000"/>
      <w:sz w:val="24"/>
      <w:szCs w:val="24"/>
    </w:rPr>
  </w:style>
  <w:style w:type="character" w:customStyle="1" w:styleId="fontstyle21">
    <w:name w:val="fontstyle21"/>
    <w:basedOn w:val="DefaultParagraphFont"/>
    <w:rsid w:val="00AE395A"/>
    <w:rPr>
      <w:rFonts w:ascii="Calibri-Bold" w:hAnsi="Calibri-Bold" w:hint="default"/>
      <w:b/>
      <w:bCs/>
      <w:i w:val="0"/>
      <w:iCs w:val="0"/>
      <w:color w:val="000000"/>
      <w:sz w:val="24"/>
      <w:szCs w:val="24"/>
    </w:rPr>
  </w:style>
  <w:style w:type="character" w:customStyle="1" w:styleId="fontstyle31">
    <w:name w:val="fontstyle31"/>
    <w:basedOn w:val="DefaultParagraphFont"/>
    <w:rsid w:val="00DD7E27"/>
    <w:rPr>
      <w:rFonts w:ascii="PfcdvrAdvTT3713a231+20" w:hAnsi="PfcdvrAdvTT3713a231+20" w:hint="default"/>
      <w:b w:val="0"/>
      <w:bCs w:val="0"/>
      <w:i w:val="0"/>
      <w:iCs w:val="0"/>
      <w:color w:val="131413"/>
      <w:sz w:val="20"/>
      <w:szCs w:val="20"/>
    </w:rPr>
  </w:style>
  <w:style w:type="character" w:customStyle="1" w:styleId="fontstyle41">
    <w:name w:val="fontstyle41"/>
    <w:basedOn w:val="DefaultParagraphFont"/>
    <w:rsid w:val="00DD7E27"/>
    <w:rPr>
      <w:rFonts w:ascii="DhvrwmAdvTT50a2f13e.I" w:hAnsi="DhvrwmAdvTT50a2f13e.I" w:hint="default"/>
      <w:b w:val="0"/>
      <w:bCs w:val="0"/>
      <w:i w:val="0"/>
      <w:iCs w:val="0"/>
      <w:color w:val="131413"/>
      <w:sz w:val="20"/>
      <w:szCs w:val="20"/>
    </w:rPr>
  </w:style>
  <w:style w:type="character" w:styleId="UnresolvedMention">
    <w:name w:val="Unresolved Mention"/>
    <w:basedOn w:val="DefaultParagraphFont"/>
    <w:uiPriority w:val="99"/>
    <w:semiHidden/>
    <w:unhideWhenUsed/>
    <w:rsid w:val="00886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338">
      <w:bodyDiv w:val="1"/>
      <w:marLeft w:val="0"/>
      <w:marRight w:val="0"/>
      <w:marTop w:val="0"/>
      <w:marBottom w:val="0"/>
      <w:divBdr>
        <w:top w:val="none" w:sz="0" w:space="0" w:color="auto"/>
        <w:left w:val="none" w:sz="0" w:space="0" w:color="auto"/>
        <w:bottom w:val="none" w:sz="0" w:space="0" w:color="auto"/>
        <w:right w:val="none" w:sz="0" w:space="0" w:color="auto"/>
      </w:divBdr>
    </w:div>
    <w:div w:id="30617894">
      <w:bodyDiv w:val="1"/>
      <w:marLeft w:val="0"/>
      <w:marRight w:val="0"/>
      <w:marTop w:val="0"/>
      <w:marBottom w:val="0"/>
      <w:divBdr>
        <w:top w:val="none" w:sz="0" w:space="0" w:color="auto"/>
        <w:left w:val="none" w:sz="0" w:space="0" w:color="auto"/>
        <w:bottom w:val="none" w:sz="0" w:space="0" w:color="auto"/>
        <w:right w:val="none" w:sz="0" w:space="0" w:color="auto"/>
      </w:divBdr>
    </w:div>
    <w:div w:id="31686084">
      <w:bodyDiv w:val="1"/>
      <w:marLeft w:val="0"/>
      <w:marRight w:val="0"/>
      <w:marTop w:val="0"/>
      <w:marBottom w:val="0"/>
      <w:divBdr>
        <w:top w:val="none" w:sz="0" w:space="0" w:color="auto"/>
        <w:left w:val="none" w:sz="0" w:space="0" w:color="auto"/>
        <w:bottom w:val="none" w:sz="0" w:space="0" w:color="auto"/>
        <w:right w:val="none" w:sz="0" w:space="0" w:color="auto"/>
      </w:divBdr>
    </w:div>
    <w:div w:id="124929021">
      <w:bodyDiv w:val="1"/>
      <w:marLeft w:val="0"/>
      <w:marRight w:val="0"/>
      <w:marTop w:val="0"/>
      <w:marBottom w:val="0"/>
      <w:divBdr>
        <w:top w:val="none" w:sz="0" w:space="0" w:color="auto"/>
        <w:left w:val="none" w:sz="0" w:space="0" w:color="auto"/>
        <w:bottom w:val="none" w:sz="0" w:space="0" w:color="auto"/>
        <w:right w:val="none" w:sz="0" w:space="0" w:color="auto"/>
      </w:divBdr>
    </w:div>
    <w:div w:id="143010502">
      <w:bodyDiv w:val="1"/>
      <w:marLeft w:val="0"/>
      <w:marRight w:val="0"/>
      <w:marTop w:val="0"/>
      <w:marBottom w:val="0"/>
      <w:divBdr>
        <w:top w:val="none" w:sz="0" w:space="0" w:color="auto"/>
        <w:left w:val="none" w:sz="0" w:space="0" w:color="auto"/>
        <w:bottom w:val="none" w:sz="0" w:space="0" w:color="auto"/>
        <w:right w:val="none" w:sz="0" w:space="0" w:color="auto"/>
      </w:divBdr>
      <w:divsChild>
        <w:div w:id="13329">
          <w:marLeft w:val="0"/>
          <w:marRight w:val="0"/>
          <w:marTop w:val="0"/>
          <w:marBottom w:val="0"/>
          <w:divBdr>
            <w:top w:val="single" w:sz="2" w:space="0" w:color="D9D9E3"/>
            <w:left w:val="single" w:sz="2" w:space="0" w:color="D9D9E3"/>
            <w:bottom w:val="single" w:sz="2" w:space="0" w:color="D9D9E3"/>
            <w:right w:val="single" w:sz="2" w:space="0" w:color="D9D9E3"/>
          </w:divBdr>
          <w:divsChild>
            <w:div w:id="1369406799">
              <w:marLeft w:val="0"/>
              <w:marRight w:val="0"/>
              <w:marTop w:val="0"/>
              <w:marBottom w:val="0"/>
              <w:divBdr>
                <w:top w:val="single" w:sz="2" w:space="0" w:color="D9D9E3"/>
                <w:left w:val="single" w:sz="2" w:space="0" w:color="D9D9E3"/>
                <w:bottom w:val="single" w:sz="2" w:space="0" w:color="D9D9E3"/>
                <w:right w:val="single" w:sz="2" w:space="0" w:color="D9D9E3"/>
              </w:divBdr>
              <w:divsChild>
                <w:div w:id="1862737791">
                  <w:marLeft w:val="0"/>
                  <w:marRight w:val="0"/>
                  <w:marTop w:val="0"/>
                  <w:marBottom w:val="0"/>
                  <w:divBdr>
                    <w:top w:val="single" w:sz="2" w:space="0" w:color="D9D9E3"/>
                    <w:left w:val="single" w:sz="2" w:space="0" w:color="D9D9E3"/>
                    <w:bottom w:val="single" w:sz="2" w:space="0" w:color="D9D9E3"/>
                    <w:right w:val="single" w:sz="2" w:space="0" w:color="D9D9E3"/>
                  </w:divBdr>
                  <w:divsChild>
                    <w:div w:id="8072388">
                      <w:marLeft w:val="0"/>
                      <w:marRight w:val="0"/>
                      <w:marTop w:val="0"/>
                      <w:marBottom w:val="0"/>
                      <w:divBdr>
                        <w:top w:val="single" w:sz="2" w:space="0" w:color="D9D9E3"/>
                        <w:left w:val="single" w:sz="2" w:space="0" w:color="D9D9E3"/>
                        <w:bottom w:val="single" w:sz="2" w:space="0" w:color="D9D9E3"/>
                        <w:right w:val="single" w:sz="2" w:space="0" w:color="D9D9E3"/>
                      </w:divBdr>
                      <w:divsChild>
                        <w:div w:id="1212688914">
                          <w:marLeft w:val="0"/>
                          <w:marRight w:val="0"/>
                          <w:marTop w:val="0"/>
                          <w:marBottom w:val="0"/>
                          <w:divBdr>
                            <w:top w:val="single" w:sz="2" w:space="0" w:color="auto"/>
                            <w:left w:val="single" w:sz="2" w:space="0" w:color="auto"/>
                            <w:bottom w:val="single" w:sz="6" w:space="0" w:color="auto"/>
                            <w:right w:val="single" w:sz="2" w:space="0" w:color="auto"/>
                          </w:divBdr>
                          <w:divsChild>
                            <w:div w:id="861238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80718">
                                  <w:marLeft w:val="0"/>
                                  <w:marRight w:val="0"/>
                                  <w:marTop w:val="0"/>
                                  <w:marBottom w:val="0"/>
                                  <w:divBdr>
                                    <w:top w:val="single" w:sz="2" w:space="0" w:color="D9D9E3"/>
                                    <w:left w:val="single" w:sz="2" w:space="0" w:color="D9D9E3"/>
                                    <w:bottom w:val="single" w:sz="2" w:space="0" w:color="D9D9E3"/>
                                    <w:right w:val="single" w:sz="2" w:space="0" w:color="D9D9E3"/>
                                  </w:divBdr>
                                  <w:divsChild>
                                    <w:div w:id="1367173898">
                                      <w:marLeft w:val="0"/>
                                      <w:marRight w:val="0"/>
                                      <w:marTop w:val="0"/>
                                      <w:marBottom w:val="0"/>
                                      <w:divBdr>
                                        <w:top w:val="single" w:sz="2" w:space="0" w:color="D9D9E3"/>
                                        <w:left w:val="single" w:sz="2" w:space="0" w:color="D9D9E3"/>
                                        <w:bottom w:val="single" w:sz="2" w:space="0" w:color="D9D9E3"/>
                                        <w:right w:val="single" w:sz="2" w:space="0" w:color="D9D9E3"/>
                                      </w:divBdr>
                                      <w:divsChild>
                                        <w:div w:id="359013113">
                                          <w:marLeft w:val="0"/>
                                          <w:marRight w:val="0"/>
                                          <w:marTop w:val="0"/>
                                          <w:marBottom w:val="0"/>
                                          <w:divBdr>
                                            <w:top w:val="single" w:sz="2" w:space="0" w:color="D9D9E3"/>
                                            <w:left w:val="single" w:sz="2" w:space="0" w:color="D9D9E3"/>
                                            <w:bottom w:val="single" w:sz="2" w:space="0" w:color="D9D9E3"/>
                                            <w:right w:val="single" w:sz="2" w:space="0" w:color="D9D9E3"/>
                                          </w:divBdr>
                                          <w:divsChild>
                                            <w:div w:id="845441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5301772">
          <w:marLeft w:val="0"/>
          <w:marRight w:val="0"/>
          <w:marTop w:val="0"/>
          <w:marBottom w:val="0"/>
          <w:divBdr>
            <w:top w:val="none" w:sz="0" w:space="0" w:color="auto"/>
            <w:left w:val="none" w:sz="0" w:space="0" w:color="auto"/>
            <w:bottom w:val="none" w:sz="0" w:space="0" w:color="auto"/>
            <w:right w:val="none" w:sz="0" w:space="0" w:color="auto"/>
          </w:divBdr>
        </w:div>
      </w:divsChild>
    </w:div>
    <w:div w:id="154885630">
      <w:bodyDiv w:val="1"/>
      <w:marLeft w:val="0"/>
      <w:marRight w:val="0"/>
      <w:marTop w:val="0"/>
      <w:marBottom w:val="0"/>
      <w:divBdr>
        <w:top w:val="none" w:sz="0" w:space="0" w:color="auto"/>
        <w:left w:val="none" w:sz="0" w:space="0" w:color="auto"/>
        <w:bottom w:val="none" w:sz="0" w:space="0" w:color="auto"/>
        <w:right w:val="none" w:sz="0" w:space="0" w:color="auto"/>
      </w:divBdr>
    </w:div>
    <w:div w:id="182936157">
      <w:bodyDiv w:val="1"/>
      <w:marLeft w:val="0"/>
      <w:marRight w:val="0"/>
      <w:marTop w:val="0"/>
      <w:marBottom w:val="0"/>
      <w:divBdr>
        <w:top w:val="none" w:sz="0" w:space="0" w:color="auto"/>
        <w:left w:val="none" w:sz="0" w:space="0" w:color="auto"/>
        <w:bottom w:val="none" w:sz="0" w:space="0" w:color="auto"/>
        <w:right w:val="none" w:sz="0" w:space="0" w:color="auto"/>
      </w:divBdr>
    </w:div>
    <w:div w:id="216430394">
      <w:bodyDiv w:val="1"/>
      <w:marLeft w:val="0"/>
      <w:marRight w:val="0"/>
      <w:marTop w:val="0"/>
      <w:marBottom w:val="0"/>
      <w:divBdr>
        <w:top w:val="none" w:sz="0" w:space="0" w:color="auto"/>
        <w:left w:val="none" w:sz="0" w:space="0" w:color="auto"/>
        <w:bottom w:val="none" w:sz="0" w:space="0" w:color="auto"/>
        <w:right w:val="none" w:sz="0" w:space="0" w:color="auto"/>
      </w:divBdr>
    </w:div>
    <w:div w:id="303319967">
      <w:bodyDiv w:val="1"/>
      <w:marLeft w:val="0"/>
      <w:marRight w:val="0"/>
      <w:marTop w:val="0"/>
      <w:marBottom w:val="0"/>
      <w:divBdr>
        <w:top w:val="none" w:sz="0" w:space="0" w:color="auto"/>
        <w:left w:val="none" w:sz="0" w:space="0" w:color="auto"/>
        <w:bottom w:val="none" w:sz="0" w:space="0" w:color="auto"/>
        <w:right w:val="none" w:sz="0" w:space="0" w:color="auto"/>
      </w:divBdr>
    </w:div>
    <w:div w:id="326981597">
      <w:bodyDiv w:val="1"/>
      <w:marLeft w:val="0"/>
      <w:marRight w:val="0"/>
      <w:marTop w:val="0"/>
      <w:marBottom w:val="0"/>
      <w:divBdr>
        <w:top w:val="none" w:sz="0" w:space="0" w:color="auto"/>
        <w:left w:val="none" w:sz="0" w:space="0" w:color="auto"/>
        <w:bottom w:val="none" w:sz="0" w:space="0" w:color="auto"/>
        <w:right w:val="none" w:sz="0" w:space="0" w:color="auto"/>
      </w:divBdr>
    </w:div>
    <w:div w:id="351037423">
      <w:bodyDiv w:val="1"/>
      <w:marLeft w:val="0"/>
      <w:marRight w:val="0"/>
      <w:marTop w:val="0"/>
      <w:marBottom w:val="0"/>
      <w:divBdr>
        <w:top w:val="none" w:sz="0" w:space="0" w:color="auto"/>
        <w:left w:val="none" w:sz="0" w:space="0" w:color="auto"/>
        <w:bottom w:val="none" w:sz="0" w:space="0" w:color="auto"/>
        <w:right w:val="none" w:sz="0" w:space="0" w:color="auto"/>
      </w:divBdr>
    </w:div>
    <w:div w:id="404299582">
      <w:bodyDiv w:val="1"/>
      <w:marLeft w:val="0"/>
      <w:marRight w:val="0"/>
      <w:marTop w:val="0"/>
      <w:marBottom w:val="0"/>
      <w:divBdr>
        <w:top w:val="none" w:sz="0" w:space="0" w:color="auto"/>
        <w:left w:val="none" w:sz="0" w:space="0" w:color="auto"/>
        <w:bottom w:val="none" w:sz="0" w:space="0" w:color="auto"/>
        <w:right w:val="none" w:sz="0" w:space="0" w:color="auto"/>
      </w:divBdr>
    </w:div>
    <w:div w:id="470051973">
      <w:bodyDiv w:val="1"/>
      <w:marLeft w:val="0"/>
      <w:marRight w:val="0"/>
      <w:marTop w:val="0"/>
      <w:marBottom w:val="0"/>
      <w:divBdr>
        <w:top w:val="none" w:sz="0" w:space="0" w:color="auto"/>
        <w:left w:val="none" w:sz="0" w:space="0" w:color="auto"/>
        <w:bottom w:val="none" w:sz="0" w:space="0" w:color="auto"/>
        <w:right w:val="none" w:sz="0" w:space="0" w:color="auto"/>
      </w:divBdr>
    </w:div>
    <w:div w:id="474954401">
      <w:bodyDiv w:val="1"/>
      <w:marLeft w:val="0"/>
      <w:marRight w:val="0"/>
      <w:marTop w:val="0"/>
      <w:marBottom w:val="0"/>
      <w:divBdr>
        <w:top w:val="none" w:sz="0" w:space="0" w:color="auto"/>
        <w:left w:val="none" w:sz="0" w:space="0" w:color="auto"/>
        <w:bottom w:val="none" w:sz="0" w:space="0" w:color="auto"/>
        <w:right w:val="none" w:sz="0" w:space="0" w:color="auto"/>
      </w:divBdr>
    </w:div>
    <w:div w:id="488598913">
      <w:bodyDiv w:val="1"/>
      <w:marLeft w:val="0"/>
      <w:marRight w:val="0"/>
      <w:marTop w:val="0"/>
      <w:marBottom w:val="0"/>
      <w:divBdr>
        <w:top w:val="none" w:sz="0" w:space="0" w:color="auto"/>
        <w:left w:val="none" w:sz="0" w:space="0" w:color="auto"/>
        <w:bottom w:val="none" w:sz="0" w:space="0" w:color="auto"/>
        <w:right w:val="none" w:sz="0" w:space="0" w:color="auto"/>
      </w:divBdr>
    </w:div>
    <w:div w:id="537012867">
      <w:bodyDiv w:val="1"/>
      <w:marLeft w:val="0"/>
      <w:marRight w:val="0"/>
      <w:marTop w:val="0"/>
      <w:marBottom w:val="0"/>
      <w:divBdr>
        <w:top w:val="none" w:sz="0" w:space="0" w:color="auto"/>
        <w:left w:val="none" w:sz="0" w:space="0" w:color="auto"/>
        <w:bottom w:val="none" w:sz="0" w:space="0" w:color="auto"/>
        <w:right w:val="none" w:sz="0" w:space="0" w:color="auto"/>
      </w:divBdr>
    </w:div>
    <w:div w:id="541401501">
      <w:bodyDiv w:val="1"/>
      <w:marLeft w:val="0"/>
      <w:marRight w:val="0"/>
      <w:marTop w:val="0"/>
      <w:marBottom w:val="0"/>
      <w:divBdr>
        <w:top w:val="none" w:sz="0" w:space="0" w:color="auto"/>
        <w:left w:val="none" w:sz="0" w:space="0" w:color="auto"/>
        <w:bottom w:val="none" w:sz="0" w:space="0" w:color="auto"/>
        <w:right w:val="none" w:sz="0" w:space="0" w:color="auto"/>
      </w:divBdr>
    </w:div>
    <w:div w:id="543491526">
      <w:bodyDiv w:val="1"/>
      <w:marLeft w:val="0"/>
      <w:marRight w:val="0"/>
      <w:marTop w:val="0"/>
      <w:marBottom w:val="0"/>
      <w:divBdr>
        <w:top w:val="none" w:sz="0" w:space="0" w:color="auto"/>
        <w:left w:val="none" w:sz="0" w:space="0" w:color="auto"/>
        <w:bottom w:val="none" w:sz="0" w:space="0" w:color="auto"/>
        <w:right w:val="none" w:sz="0" w:space="0" w:color="auto"/>
      </w:divBdr>
    </w:div>
    <w:div w:id="556166712">
      <w:bodyDiv w:val="1"/>
      <w:marLeft w:val="0"/>
      <w:marRight w:val="0"/>
      <w:marTop w:val="0"/>
      <w:marBottom w:val="0"/>
      <w:divBdr>
        <w:top w:val="none" w:sz="0" w:space="0" w:color="auto"/>
        <w:left w:val="none" w:sz="0" w:space="0" w:color="auto"/>
        <w:bottom w:val="none" w:sz="0" w:space="0" w:color="auto"/>
        <w:right w:val="none" w:sz="0" w:space="0" w:color="auto"/>
      </w:divBdr>
    </w:div>
    <w:div w:id="617571455">
      <w:bodyDiv w:val="1"/>
      <w:marLeft w:val="0"/>
      <w:marRight w:val="0"/>
      <w:marTop w:val="0"/>
      <w:marBottom w:val="0"/>
      <w:divBdr>
        <w:top w:val="none" w:sz="0" w:space="0" w:color="auto"/>
        <w:left w:val="none" w:sz="0" w:space="0" w:color="auto"/>
        <w:bottom w:val="none" w:sz="0" w:space="0" w:color="auto"/>
        <w:right w:val="none" w:sz="0" w:space="0" w:color="auto"/>
      </w:divBdr>
      <w:divsChild>
        <w:div w:id="311103957">
          <w:marLeft w:val="0"/>
          <w:marRight w:val="0"/>
          <w:marTop w:val="0"/>
          <w:marBottom w:val="0"/>
          <w:divBdr>
            <w:top w:val="none" w:sz="0" w:space="0" w:color="auto"/>
            <w:left w:val="none" w:sz="0" w:space="0" w:color="auto"/>
            <w:bottom w:val="none" w:sz="0" w:space="0" w:color="auto"/>
            <w:right w:val="none" w:sz="0" w:space="0" w:color="auto"/>
          </w:divBdr>
        </w:div>
        <w:div w:id="2009626738">
          <w:marLeft w:val="0"/>
          <w:marRight w:val="0"/>
          <w:marTop w:val="0"/>
          <w:marBottom w:val="0"/>
          <w:divBdr>
            <w:top w:val="single" w:sz="2" w:space="0" w:color="D9D9E3"/>
            <w:left w:val="single" w:sz="2" w:space="0" w:color="D9D9E3"/>
            <w:bottom w:val="single" w:sz="2" w:space="0" w:color="D9D9E3"/>
            <w:right w:val="single" w:sz="2" w:space="0" w:color="D9D9E3"/>
          </w:divBdr>
          <w:divsChild>
            <w:div w:id="1967346146">
              <w:marLeft w:val="0"/>
              <w:marRight w:val="0"/>
              <w:marTop w:val="0"/>
              <w:marBottom w:val="0"/>
              <w:divBdr>
                <w:top w:val="single" w:sz="2" w:space="0" w:color="D9D9E3"/>
                <w:left w:val="single" w:sz="2" w:space="0" w:color="D9D9E3"/>
                <w:bottom w:val="single" w:sz="2" w:space="0" w:color="D9D9E3"/>
                <w:right w:val="single" w:sz="2" w:space="0" w:color="D9D9E3"/>
              </w:divBdr>
              <w:divsChild>
                <w:div w:id="1922596512">
                  <w:marLeft w:val="0"/>
                  <w:marRight w:val="0"/>
                  <w:marTop w:val="0"/>
                  <w:marBottom w:val="0"/>
                  <w:divBdr>
                    <w:top w:val="single" w:sz="2" w:space="0" w:color="D9D9E3"/>
                    <w:left w:val="single" w:sz="2" w:space="0" w:color="D9D9E3"/>
                    <w:bottom w:val="single" w:sz="2" w:space="0" w:color="D9D9E3"/>
                    <w:right w:val="single" w:sz="2" w:space="0" w:color="D9D9E3"/>
                  </w:divBdr>
                  <w:divsChild>
                    <w:div w:id="1290042339">
                      <w:marLeft w:val="0"/>
                      <w:marRight w:val="0"/>
                      <w:marTop w:val="0"/>
                      <w:marBottom w:val="0"/>
                      <w:divBdr>
                        <w:top w:val="single" w:sz="2" w:space="0" w:color="D9D9E3"/>
                        <w:left w:val="single" w:sz="2" w:space="0" w:color="D9D9E3"/>
                        <w:bottom w:val="single" w:sz="2" w:space="0" w:color="D9D9E3"/>
                        <w:right w:val="single" w:sz="2" w:space="0" w:color="D9D9E3"/>
                      </w:divBdr>
                      <w:divsChild>
                        <w:div w:id="995232180">
                          <w:marLeft w:val="0"/>
                          <w:marRight w:val="0"/>
                          <w:marTop w:val="0"/>
                          <w:marBottom w:val="0"/>
                          <w:divBdr>
                            <w:top w:val="single" w:sz="2" w:space="0" w:color="auto"/>
                            <w:left w:val="single" w:sz="2" w:space="0" w:color="auto"/>
                            <w:bottom w:val="single" w:sz="6" w:space="0" w:color="auto"/>
                            <w:right w:val="single" w:sz="2" w:space="0" w:color="auto"/>
                          </w:divBdr>
                          <w:divsChild>
                            <w:div w:id="68085566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519796">
                                  <w:marLeft w:val="0"/>
                                  <w:marRight w:val="0"/>
                                  <w:marTop w:val="0"/>
                                  <w:marBottom w:val="0"/>
                                  <w:divBdr>
                                    <w:top w:val="single" w:sz="2" w:space="0" w:color="D9D9E3"/>
                                    <w:left w:val="single" w:sz="2" w:space="0" w:color="D9D9E3"/>
                                    <w:bottom w:val="single" w:sz="2" w:space="0" w:color="D9D9E3"/>
                                    <w:right w:val="single" w:sz="2" w:space="0" w:color="D9D9E3"/>
                                  </w:divBdr>
                                  <w:divsChild>
                                    <w:div w:id="367413741">
                                      <w:marLeft w:val="0"/>
                                      <w:marRight w:val="0"/>
                                      <w:marTop w:val="0"/>
                                      <w:marBottom w:val="0"/>
                                      <w:divBdr>
                                        <w:top w:val="single" w:sz="2" w:space="0" w:color="D9D9E3"/>
                                        <w:left w:val="single" w:sz="2" w:space="0" w:color="D9D9E3"/>
                                        <w:bottom w:val="single" w:sz="2" w:space="0" w:color="D9D9E3"/>
                                        <w:right w:val="single" w:sz="2" w:space="0" w:color="D9D9E3"/>
                                      </w:divBdr>
                                      <w:divsChild>
                                        <w:div w:id="1128625020">
                                          <w:marLeft w:val="0"/>
                                          <w:marRight w:val="0"/>
                                          <w:marTop w:val="0"/>
                                          <w:marBottom w:val="0"/>
                                          <w:divBdr>
                                            <w:top w:val="single" w:sz="2" w:space="0" w:color="D9D9E3"/>
                                            <w:left w:val="single" w:sz="2" w:space="0" w:color="D9D9E3"/>
                                            <w:bottom w:val="single" w:sz="2" w:space="0" w:color="D9D9E3"/>
                                            <w:right w:val="single" w:sz="2" w:space="0" w:color="D9D9E3"/>
                                          </w:divBdr>
                                          <w:divsChild>
                                            <w:div w:id="77364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61589631">
      <w:bodyDiv w:val="1"/>
      <w:marLeft w:val="0"/>
      <w:marRight w:val="0"/>
      <w:marTop w:val="0"/>
      <w:marBottom w:val="0"/>
      <w:divBdr>
        <w:top w:val="none" w:sz="0" w:space="0" w:color="auto"/>
        <w:left w:val="none" w:sz="0" w:space="0" w:color="auto"/>
        <w:bottom w:val="none" w:sz="0" w:space="0" w:color="auto"/>
        <w:right w:val="none" w:sz="0" w:space="0" w:color="auto"/>
      </w:divBdr>
    </w:div>
    <w:div w:id="677804315">
      <w:bodyDiv w:val="1"/>
      <w:marLeft w:val="0"/>
      <w:marRight w:val="0"/>
      <w:marTop w:val="0"/>
      <w:marBottom w:val="0"/>
      <w:divBdr>
        <w:top w:val="none" w:sz="0" w:space="0" w:color="auto"/>
        <w:left w:val="none" w:sz="0" w:space="0" w:color="auto"/>
        <w:bottom w:val="none" w:sz="0" w:space="0" w:color="auto"/>
        <w:right w:val="none" w:sz="0" w:space="0" w:color="auto"/>
      </w:divBdr>
    </w:div>
    <w:div w:id="681323976">
      <w:bodyDiv w:val="1"/>
      <w:marLeft w:val="0"/>
      <w:marRight w:val="0"/>
      <w:marTop w:val="0"/>
      <w:marBottom w:val="0"/>
      <w:divBdr>
        <w:top w:val="none" w:sz="0" w:space="0" w:color="auto"/>
        <w:left w:val="none" w:sz="0" w:space="0" w:color="auto"/>
        <w:bottom w:val="none" w:sz="0" w:space="0" w:color="auto"/>
        <w:right w:val="none" w:sz="0" w:space="0" w:color="auto"/>
      </w:divBdr>
    </w:div>
    <w:div w:id="695665291">
      <w:bodyDiv w:val="1"/>
      <w:marLeft w:val="0"/>
      <w:marRight w:val="0"/>
      <w:marTop w:val="0"/>
      <w:marBottom w:val="0"/>
      <w:divBdr>
        <w:top w:val="none" w:sz="0" w:space="0" w:color="auto"/>
        <w:left w:val="none" w:sz="0" w:space="0" w:color="auto"/>
        <w:bottom w:val="none" w:sz="0" w:space="0" w:color="auto"/>
        <w:right w:val="none" w:sz="0" w:space="0" w:color="auto"/>
      </w:divBdr>
    </w:div>
    <w:div w:id="711031648">
      <w:bodyDiv w:val="1"/>
      <w:marLeft w:val="0"/>
      <w:marRight w:val="0"/>
      <w:marTop w:val="0"/>
      <w:marBottom w:val="0"/>
      <w:divBdr>
        <w:top w:val="none" w:sz="0" w:space="0" w:color="auto"/>
        <w:left w:val="none" w:sz="0" w:space="0" w:color="auto"/>
        <w:bottom w:val="none" w:sz="0" w:space="0" w:color="auto"/>
        <w:right w:val="none" w:sz="0" w:space="0" w:color="auto"/>
      </w:divBdr>
      <w:divsChild>
        <w:div w:id="1581332071">
          <w:marLeft w:val="0"/>
          <w:marRight w:val="0"/>
          <w:marTop w:val="0"/>
          <w:marBottom w:val="0"/>
          <w:divBdr>
            <w:top w:val="single" w:sz="2" w:space="0" w:color="auto"/>
            <w:left w:val="single" w:sz="2" w:space="0" w:color="auto"/>
            <w:bottom w:val="single" w:sz="6" w:space="0" w:color="auto"/>
            <w:right w:val="single" w:sz="2" w:space="0" w:color="auto"/>
          </w:divBdr>
          <w:divsChild>
            <w:div w:id="1314290239">
              <w:marLeft w:val="0"/>
              <w:marRight w:val="0"/>
              <w:marTop w:val="100"/>
              <w:marBottom w:val="100"/>
              <w:divBdr>
                <w:top w:val="single" w:sz="2" w:space="0" w:color="D9D9E3"/>
                <w:left w:val="single" w:sz="2" w:space="0" w:color="D9D9E3"/>
                <w:bottom w:val="single" w:sz="2" w:space="0" w:color="D9D9E3"/>
                <w:right w:val="single" w:sz="2" w:space="0" w:color="D9D9E3"/>
              </w:divBdr>
              <w:divsChild>
                <w:div w:id="864440868">
                  <w:marLeft w:val="0"/>
                  <w:marRight w:val="0"/>
                  <w:marTop w:val="0"/>
                  <w:marBottom w:val="0"/>
                  <w:divBdr>
                    <w:top w:val="single" w:sz="2" w:space="0" w:color="D9D9E3"/>
                    <w:left w:val="single" w:sz="2" w:space="0" w:color="D9D9E3"/>
                    <w:bottom w:val="single" w:sz="2" w:space="0" w:color="D9D9E3"/>
                    <w:right w:val="single" w:sz="2" w:space="0" w:color="D9D9E3"/>
                  </w:divBdr>
                  <w:divsChild>
                    <w:div w:id="1395809571">
                      <w:marLeft w:val="0"/>
                      <w:marRight w:val="0"/>
                      <w:marTop w:val="0"/>
                      <w:marBottom w:val="0"/>
                      <w:divBdr>
                        <w:top w:val="single" w:sz="2" w:space="0" w:color="D9D9E3"/>
                        <w:left w:val="single" w:sz="2" w:space="0" w:color="D9D9E3"/>
                        <w:bottom w:val="single" w:sz="2" w:space="0" w:color="D9D9E3"/>
                        <w:right w:val="single" w:sz="2" w:space="0" w:color="D9D9E3"/>
                      </w:divBdr>
                      <w:divsChild>
                        <w:div w:id="1696807248">
                          <w:marLeft w:val="0"/>
                          <w:marRight w:val="0"/>
                          <w:marTop w:val="0"/>
                          <w:marBottom w:val="0"/>
                          <w:divBdr>
                            <w:top w:val="single" w:sz="2" w:space="0" w:color="D9D9E3"/>
                            <w:left w:val="single" w:sz="2" w:space="0" w:color="D9D9E3"/>
                            <w:bottom w:val="single" w:sz="2" w:space="0" w:color="D9D9E3"/>
                            <w:right w:val="single" w:sz="2" w:space="0" w:color="D9D9E3"/>
                          </w:divBdr>
                          <w:divsChild>
                            <w:div w:id="708070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2098289">
      <w:bodyDiv w:val="1"/>
      <w:marLeft w:val="0"/>
      <w:marRight w:val="0"/>
      <w:marTop w:val="0"/>
      <w:marBottom w:val="0"/>
      <w:divBdr>
        <w:top w:val="none" w:sz="0" w:space="0" w:color="auto"/>
        <w:left w:val="none" w:sz="0" w:space="0" w:color="auto"/>
        <w:bottom w:val="none" w:sz="0" w:space="0" w:color="auto"/>
        <w:right w:val="none" w:sz="0" w:space="0" w:color="auto"/>
      </w:divBdr>
    </w:div>
    <w:div w:id="729693695">
      <w:bodyDiv w:val="1"/>
      <w:marLeft w:val="0"/>
      <w:marRight w:val="0"/>
      <w:marTop w:val="0"/>
      <w:marBottom w:val="0"/>
      <w:divBdr>
        <w:top w:val="none" w:sz="0" w:space="0" w:color="auto"/>
        <w:left w:val="none" w:sz="0" w:space="0" w:color="auto"/>
        <w:bottom w:val="none" w:sz="0" w:space="0" w:color="auto"/>
        <w:right w:val="none" w:sz="0" w:space="0" w:color="auto"/>
      </w:divBdr>
    </w:div>
    <w:div w:id="730884554">
      <w:bodyDiv w:val="1"/>
      <w:marLeft w:val="0"/>
      <w:marRight w:val="0"/>
      <w:marTop w:val="0"/>
      <w:marBottom w:val="0"/>
      <w:divBdr>
        <w:top w:val="none" w:sz="0" w:space="0" w:color="auto"/>
        <w:left w:val="none" w:sz="0" w:space="0" w:color="auto"/>
        <w:bottom w:val="none" w:sz="0" w:space="0" w:color="auto"/>
        <w:right w:val="none" w:sz="0" w:space="0" w:color="auto"/>
      </w:divBdr>
    </w:div>
    <w:div w:id="758255519">
      <w:bodyDiv w:val="1"/>
      <w:marLeft w:val="0"/>
      <w:marRight w:val="0"/>
      <w:marTop w:val="0"/>
      <w:marBottom w:val="0"/>
      <w:divBdr>
        <w:top w:val="none" w:sz="0" w:space="0" w:color="auto"/>
        <w:left w:val="none" w:sz="0" w:space="0" w:color="auto"/>
        <w:bottom w:val="none" w:sz="0" w:space="0" w:color="auto"/>
        <w:right w:val="none" w:sz="0" w:space="0" w:color="auto"/>
      </w:divBdr>
    </w:div>
    <w:div w:id="864296620">
      <w:bodyDiv w:val="1"/>
      <w:marLeft w:val="0"/>
      <w:marRight w:val="0"/>
      <w:marTop w:val="0"/>
      <w:marBottom w:val="0"/>
      <w:divBdr>
        <w:top w:val="none" w:sz="0" w:space="0" w:color="auto"/>
        <w:left w:val="none" w:sz="0" w:space="0" w:color="auto"/>
        <w:bottom w:val="none" w:sz="0" w:space="0" w:color="auto"/>
        <w:right w:val="none" w:sz="0" w:space="0" w:color="auto"/>
      </w:divBdr>
    </w:div>
    <w:div w:id="884291573">
      <w:bodyDiv w:val="1"/>
      <w:marLeft w:val="0"/>
      <w:marRight w:val="0"/>
      <w:marTop w:val="0"/>
      <w:marBottom w:val="0"/>
      <w:divBdr>
        <w:top w:val="none" w:sz="0" w:space="0" w:color="auto"/>
        <w:left w:val="none" w:sz="0" w:space="0" w:color="auto"/>
        <w:bottom w:val="none" w:sz="0" w:space="0" w:color="auto"/>
        <w:right w:val="none" w:sz="0" w:space="0" w:color="auto"/>
      </w:divBdr>
    </w:div>
    <w:div w:id="928856376">
      <w:bodyDiv w:val="1"/>
      <w:marLeft w:val="0"/>
      <w:marRight w:val="0"/>
      <w:marTop w:val="0"/>
      <w:marBottom w:val="0"/>
      <w:divBdr>
        <w:top w:val="none" w:sz="0" w:space="0" w:color="auto"/>
        <w:left w:val="none" w:sz="0" w:space="0" w:color="auto"/>
        <w:bottom w:val="none" w:sz="0" w:space="0" w:color="auto"/>
        <w:right w:val="none" w:sz="0" w:space="0" w:color="auto"/>
      </w:divBdr>
    </w:div>
    <w:div w:id="969018688">
      <w:bodyDiv w:val="1"/>
      <w:marLeft w:val="0"/>
      <w:marRight w:val="0"/>
      <w:marTop w:val="0"/>
      <w:marBottom w:val="0"/>
      <w:divBdr>
        <w:top w:val="none" w:sz="0" w:space="0" w:color="auto"/>
        <w:left w:val="none" w:sz="0" w:space="0" w:color="auto"/>
        <w:bottom w:val="none" w:sz="0" w:space="0" w:color="auto"/>
        <w:right w:val="none" w:sz="0" w:space="0" w:color="auto"/>
      </w:divBdr>
    </w:div>
    <w:div w:id="972102709">
      <w:bodyDiv w:val="1"/>
      <w:marLeft w:val="0"/>
      <w:marRight w:val="0"/>
      <w:marTop w:val="0"/>
      <w:marBottom w:val="0"/>
      <w:divBdr>
        <w:top w:val="none" w:sz="0" w:space="0" w:color="auto"/>
        <w:left w:val="none" w:sz="0" w:space="0" w:color="auto"/>
        <w:bottom w:val="none" w:sz="0" w:space="0" w:color="auto"/>
        <w:right w:val="none" w:sz="0" w:space="0" w:color="auto"/>
      </w:divBdr>
    </w:div>
    <w:div w:id="983126433">
      <w:bodyDiv w:val="1"/>
      <w:marLeft w:val="0"/>
      <w:marRight w:val="0"/>
      <w:marTop w:val="0"/>
      <w:marBottom w:val="0"/>
      <w:divBdr>
        <w:top w:val="none" w:sz="0" w:space="0" w:color="auto"/>
        <w:left w:val="none" w:sz="0" w:space="0" w:color="auto"/>
        <w:bottom w:val="none" w:sz="0" w:space="0" w:color="auto"/>
        <w:right w:val="none" w:sz="0" w:space="0" w:color="auto"/>
      </w:divBdr>
    </w:div>
    <w:div w:id="999817502">
      <w:bodyDiv w:val="1"/>
      <w:marLeft w:val="0"/>
      <w:marRight w:val="0"/>
      <w:marTop w:val="0"/>
      <w:marBottom w:val="0"/>
      <w:divBdr>
        <w:top w:val="none" w:sz="0" w:space="0" w:color="auto"/>
        <w:left w:val="none" w:sz="0" w:space="0" w:color="auto"/>
        <w:bottom w:val="none" w:sz="0" w:space="0" w:color="auto"/>
        <w:right w:val="none" w:sz="0" w:space="0" w:color="auto"/>
      </w:divBdr>
    </w:div>
    <w:div w:id="1000816078">
      <w:bodyDiv w:val="1"/>
      <w:marLeft w:val="0"/>
      <w:marRight w:val="0"/>
      <w:marTop w:val="0"/>
      <w:marBottom w:val="0"/>
      <w:divBdr>
        <w:top w:val="none" w:sz="0" w:space="0" w:color="auto"/>
        <w:left w:val="none" w:sz="0" w:space="0" w:color="auto"/>
        <w:bottom w:val="none" w:sz="0" w:space="0" w:color="auto"/>
        <w:right w:val="none" w:sz="0" w:space="0" w:color="auto"/>
      </w:divBdr>
    </w:div>
    <w:div w:id="1025516540">
      <w:bodyDiv w:val="1"/>
      <w:marLeft w:val="0"/>
      <w:marRight w:val="0"/>
      <w:marTop w:val="0"/>
      <w:marBottom w:val="0"/>
      <w:divBdr>
        <w:top w:val="none" w:sz="0" w:space="0" w:color="auto"/>
        <w:left w:val="none" w:sz="0" w:space="0" w:color="auto"/>
        <w:bottom w:val="none" w:sz="0" w:space="0" w:color="auto"/>
        <w:right w:val="none" w:sz="0" w:space="0" w:color="auto"/>
      </w:divBdr>
    </w:div>
    <w:div w:id="1038312401">
      <w:bodyDiv w:val="1"/>
      <w:marLeft w:val="0"/>
      <w:marRight w:val="0"/>
      <w:marTop w:val="0"/>
      <w:marBottom w:val="0"/>
      <w:divBdr>
        <w:top w:val="none" w:sz="0" w:space="0" w:color="auto"/>
        <w:left w:val="none" w:sz="0" w:space="0" w:color="auto"/>
        <w:bottom w:val="none" w:sz="0" w:space="0" w:color="auto"/>
        <w:right w:val="none" w:sz="0" w:space="0" w:color="auto"/>
      </w:divBdr>
    </w:div>
    <w:div w:id="1099132647">
      <w:bodyDiv w:val="1"/>
      <w:marLeft w:val="0"/>
      <w:marRight w:val="0"/>
      <w:marTop w:val="0"/>
      <w:marBottom w:val="0"/>
      <w:divBdr>
        <w:top w:val="none" w:sz="0" w:space="0" w:color="auto"/>
        <w:left w:val="none" w:sz="0" w:space="0" w:color="auto"/>
        <w:bottom w:val="none" w:sz="0" w:space="0" w:color="auto"/>
        <w:right w:val="none" w:sz="0" w:space="0" w:color="auto"/>
      </w:divBdr>
    </w:div>
    <w:div w:id="1126701661">
      <w:bodyDiv w:val="1"/>
      <w:marLeft w:val="0"/>
      <w:marRight w:val="0"/>
      <w:marTop w:val="0"/>
      <w:marBottom w:val="0"/>
      <w:divBdr>
        <w:top w:val="none" w:sz="0" w:space="0" w:color="auto"/>
        <w:left w:val="none" w:sz="0" w:space="0" w:color="auto"/>
        <w:bottom w:val="none" w:sz="0" w:space="0" w:color="auto"/>
        <w:right w:val="none" w:sz="0" w:space="0" w:color="auto"/>
      </w:divBdr>
    </w:div>
    <w:div w:id="1144928985">
      <w:bodyDiv w:val="1"/>
      <w:marLeft w:val="0"/>
      <w:marRight w:val="0"/>
      <w:marTop w:val="0"/>
      <w:marBottom w:val="0"/>
      <w:divBdr>
        <w:top w:val="none" w:sz="0" w:space="0" w:color="auto"/>
        <w:left w:val="none" w:sz="0" w:space="0" w:color="auto"/>
        <w:bottom w:val="none" w:sz="0" w:space="0" w:color="auto"/>
        <w:right w:val="none" w:sz="0" w:space="0" w:color="auto"/>
      </w:divBdr>
    </w:div>
    <w:div w:id="1158379713">
      <w:bodyDiv w:val="1"/>
      <w:marLeft w:val="0"/>
      <w:marRight w:val="0"/>
      <w:marTop w:val="0"/>
      <w:marBottom w:val="0"/>
      <w:divBdr>
        <w:top w:val="none" w:sz="0" w:space="0" w:color="auto"/>
        <w:left w:val="none" w:sz="0" w:space="0" w:color="auto"/>
        <w:bottom w:val="none" w:sz="0" w:space="0" w:color="auto"/>
        <w:right w:val="none" w:sz="0" w:space="0" w:color="auto"/>
      </w:divBdr>
    </w:div>
    <w:div w:id="1165781678">
      <w:bodyDiv w:val="1"/>
      <w:marLeft w:val="0"/>
      <w:marRight w:val="0"/>
      <w:marTop w:val="0"/>
      <w:marBottom w:val="0"/>
      <w:divBdr>
        <w:top w:val="none" w:sz="0" w:space="0" w:color="auto"/>
        <w:left w:val="none" w:sz="0" w:space="0" w:color="auto"/>
        <w:bottom w:val="none" w:sz="0" w:space="0" w:color="auto"/>
        <w:right w:val="none" w:sz="0" w:space="0" w:color="auto"/>
      </w:divBdr>
    </w:div>
    <w:div w:id="1207916435">
      <w:bodyDiv w:val="1"/>
      <w:marLeft w:val="0"/>
      <w:marRight w:val="0"/>
      <w:marTop w:val="0"/>
      <w:marBottom w:val="0"/>
      <w:divBdr>
        <w:top w:val="none" w:sz="0" w:space="0" w:color="auto"/>
        <w:left w:val="none" w:sz="0" w:space="0" w:color="auto"/>
        <w:bottom w:val="none" w:sz="0" w:space="0" w:color="auto"/>
        <w:right w:val="none" w:sz="0" w:space="0" w:color="auto"/>
      </w:divBdr>
    </w:div>
    <w:div w:id="1227181346">
      <w:bodyDiv w:val="1"/>
      <w:marLeft w:val="0"/>
      <w:marRight w:val="0"/>
      <w:marTop w:val="0"/>
      <w:marBottom w:val="0"/>
      <w:divBdr>
        <w:top w:val="none" w:sz="0" w:space="0" w:color="auto"/>
        <w:left w:val="none" w:sz="0" w:space="0" w:color="auto"/>
        <w:bottom w:val="none" w:sz="0" w:space="0" w:color="auto"/>
        <w:right w:val="none" w:sz="0" w:space="0" w:color="auto"/>
      </w:divBdr>
    </w:div>
    <w:div w:id="1232160765">
      <w:bodyDiv w:val="1"/>
      <w:marLeft w:val="0"/>
      <w:marRight w:val="0"/>
      <w:marTop w:val="0"/>
      <w:marBottom w:val="0"/>
      <w:divBdr>
        <w:top w:val="none" w:sz="0" w:space="0" w:color="auto"/>
        <w:left w:val="none" w:sz="0" w:space="0" w:color="auto"/>
        <w:bottom w:val="none" w:sz="0" w:space="0" w:color="auto"/>
        <w:right w:val="none" w:sz="0" w:space="0" w:color="auto"/>
      </w:divBdr>
    </w:div>
    <w:div w:id="1232545222">
      <w:bodyDiv w:val="1"/>
      <w:marLeft w:val="0"/>
      <w:marRight w:val="0"/>
      <w:marTop w:val="0"/>
      <w:marBottom w:val="0"/>
      <w:divBdr>
        <w:top w:val="none" w:sz="0" w:space="0" w:color="auto"/>
        <w:left w:val="none" w:sz="0" w:space="0" w:color="auto"/>
        <w:bottom w:val="none" w:sz="0" w:space="0" w:color="auto"/>
        <w:right w:val="none" w:sz="0" w:space="0" w:color="auto"/>
      </w:divBdr>
    </w:div>
    <w:div w:id="1258056580">
      <w:bodyDiv w:val="1"/>
      <w:marLeft w:val="0"/>
      <w:marRight w:val="0"/>
      <w:marTop w:val="0"/>
      <w:marBottom w:val="0"/>
      <w:divBdr>
        <w:top w:val="none" w:sz="0" w:space="0" w:color="auto"/>
        <w:left w:val="none" w:sz="0" w:space="0" w:color="auto"/>
        <w:bottom w:val="none" w:sz="0" w:space="0" w:color="auto"/>
        <w:right w:val="none" w:sz="0" w:space="0" w:color="auto"/>
      </w:divBdr>
    </w:div>
    <w:div w:id="1259947909">
      <w:bodyDiv w:val="1"/>
      <w:marLeft w:val="0"/>
      <w:marRight w:val="0"/>
      <w:marTop w:val="0"/>
      <w:marBottom w:val="0"/>
      <w:divBdr>
        <w:top w:val="none" w:sz="0" w:space="0" w:color="auto"/>
        <w:left w:val="none" w:sz="0" w:space="0" w:color="auto"/>
        <w:bottom w:val="none" w:sz="0" w:space="0" w:color="auto"/>
        <w:right w:val="none" w:sz="0" w:space="0" w:color="auto"/>
      </w:divBdr>
      <w:divsChild>
        <w:div w:id="2013289137">
          <w:marLeft w:val="0"/>
          <w:marRight w:val="0"/>
          <w:marTop w:val="0"/>
          <w:marBottom w:val="0"/>
          <w:divBdr>
            <w:top w:val="single" w:sz="2" w:space="0" w:color="auto"/>
            <w:left w:val="single" w:sz="2" w:space="0" w:color="auto"/>
            <w:bottom w:val="single" w:sz="6" w:space="0" w:color="auto"/>
            <w:right w:val="single" w:sz="2" w:space="0" w:color="auto"/>
          </w:divBdr>
          <w:divsChild>
            <w:div w:id="1203905281">
              <w:marLeft w:val="0"/>
              <w:marRight w:val="0"/>
              <w:marTop w:val="100"/>
              <w:marBottom w:val="100"/>
              <w:divBdr>
                <w:top w:val="single" w:sz="2" w:space="0" w:color="D9D9E3"/>
                <w:left w:val="single" w:sz="2" w:space="0" w:color="D9D9E3"/>
                <w:bottom w:val="single" w:sz="2" w:space="0" w:color="D9D9E3"/>
                <w:right w:val="single" w:sz="2" w:space="0" w:color="D9D9E3"/>
              </w:divBdr>
              <w:divsChild>
                <w:div w:id="559286511">
                  <w:marLeft w:val="0"/>
                  <w:marRight w:val="0"/>
                  <w:marTop w:val="0"/>
                  <w:marBottom w:val="0"/>
                  <w:divBdr>
                    <w:top w:val="single" w:sz="2" w:space="0" w:color="D9D9E3"/>
                    <w:left w:val="single" w:sz="2" w:space="0" w:color="D9D9E3"/>
                    <w:bottom w:val="single" w:sz="2" w:space="0" w:color="D9D9E3"/>
                    <w:right w:val="single" w:sz="2" w:space="0" w:color="D9D9E3"/>
                  </w:divBdr>
                  <w:divsChild>
                    <w:div w:id="457332840">
                      <w:marLeft w:val="0"/>
                      <w:marRight w:val="0"/>
                      <w:marTop w:val="0"/>
                      <w:marBottom w:val="0"/>
                      <w:divBdr>
                        <w:top w:val="single" w:sz="2" w:space="0" w:color="D9D9E3"/>
                        <w:left w:val="single" w:sz="2" w:space="0" w:color="D9D9E3"/>
                        <w:bottom w:val="single" w:sz="2" w:space="0" w:color="D9D9E3"/>
                        <w:right w:val="single" w:sz="2" w:space="0" w:color="D9D9E3"/>
                      </w:divBdr>
                      <w:divsChild>
                        <w:div w:id="1939824884">
                          <w:marLeft w:val="0"/>
                          <w:marRight w:val="0"/>
                          <w:marTop w:val="0"/>
                          <w:marBottom w:val="0"/>
                          <w:divBdr>
                            <w:top w:val="single" w:sz="2" w:space="0" w:color="D9D9E3"/>
                            <w:left w:val="single" w:sz="2" w:space="0" w:color="D9D9E3"/>
                            <w:bottom w:val="single" w:sz="2" w:space="0" w:color="D9D9E3"/>
                            <w:right w:val="single" w:sz="2" w:space="0" w:color="D9D9E3"/>
                          </w:divBdr>
                          <w:divsChild>
                            <w:div w:id="11155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2299484">
      <w:bodyDiv w:val="1"/>
      <w:marLeft w:val="0"/>
      <w:marRight w:val="0"/>
      <w:marTop w:val="0"/>
      <w:marBottom w:val="0"/>
      <w:divBdr>
        <w:top w:val="none" w:sz="0" w:space="0" w:color="auto"/>
        <w:left w:val="none" w:sz="0" w:space="0" w:color="auto"/>
        <w:bottom w:val="none" w:sz="0" w:space="0" w:color="auto"/>
        <w:right w:val="none" w:sz="0" w:space="0" w:color="auto"/>
      </w:divBdr>
    </w:div>
    <w:div w:id="1277560361">
      <w:bodyDiv w:val="1"/>
      <w:marLeft w:val="0"/>
      <w:marRight w:val="0"/>
      <w:marTop w:val="0"/>
      <w:marBottom w:val="0"/>
      <w:divBdr>
        <w:top w:val="none" w:sz="0" w:space="0" w:color="auto"/>
        <w:left w:val="none" w:sz="0" w:space="0" w:color="auto"/>
        <w:bottom w:val="none" w:sz="0" w:space="0" w:color="auto"/>
        <w:right w:val="none" w:sz="0" w:space="0" w:color="auto"/>
      </w:divBdr>
    </w:div>
    <w:div w:id="1309361242">
      <w:bodyDiv w:val="1"/>
      <w:marLeft w:val="0"/>
      <w:marRight w:val="0"/>
      <w:marTop w:val="0"/>
      <w:marBottom w:val="0"/>
      <w:divBdr>
        <w:top w:val="none" w:sz="0" w:space="0" w:color="auto"/>
        <w:left w:val="none" w:sz="0" w:space="0" w:color="auto"/>
        <w:bottom w:val="none" w:sz="0" w:space="0" w:color="auto"/>
        <w:right w:val="none" w:sz="0" w:space="0" w:color="auto"/>
      </w:divBdr>
    </w:div>
    <w:div w:id="1327441927">
      <w:bodyDiv w:val="1"/>
      <w:marLeft w:val="0"/>
      <w:marRight w:val="0"/>
      <w:marTop w:val="0"/>
      <w:marBottom w:val="0"/>
      <w:divBdr>
        <w:top w:val="none" w:sz="0" w:space="0" w:color="auto"/>
        <w:left w:val="none" w:sz="0" w:space="0" w:color="auto"/>
        <w:bottom w:val="none" w:sz="0" w:space="0" w:color="auto"/>
        <w:right w:val="none" w:sz="0" w:space="0" w:color="auto"/>
      </w:divBdr>
    </w:div>
    <w:div w:id="1352604058">
      <w:bodyDiv w:val="1"/>
      <w:marLeft w:val="0"/>
      <w:marRight w:val="0"/>
      <w:marTop w:val="0"/>
      <w:marBottom w:val="0"/>
      <w:divBdr>
        <w:top w:val="none" w:sz="0" w:space="0" w:color="auto"/>
        <w:left w:val="none" w:sz="0" w:space="0" w:color="auto"/>
        <w:bottom w:val="none" w:sz="0" w:space="0" w:color="auto"/>
        <w:right w:val="none" w:sz="0" w:space="0" w:color="auto"/>
      </w:divBdr>
    </w:div>
    <w:div w:id="1400206724">
      <w:bodyDiv w:val="1"/>
      <w:marLeft w:val="0"/>
      <w:marRight w:val="0"/>
      <w:marTop w:val="0"/>
      <w:marBottom w:val="0"/>
      <w:divBdr>
        <w:top w:val="none" w:sz="0" w:space="0" w:color="auto"/>
        <w:left w:val="none" w:sz="0" w:space="0" w:color="auto"/>
        <w:bottom w:val="none" w:sz="0" w:space="0" w:color="auto"/>
        <w:right w:val="none" w:sz="0" w:space="0" w:color="auto"/>
      </w:divBdr>
    </w:div>
    <w:div w:id="1464540241">
      <w:bodyDiv w:val="1"/>
      <w:marLeft w:val="0"/>
      <w:marRight w:val="0"/>
      <w:marTop w:val="0"/>
      <w:marBottom w:val="0"/>
      <w:divBdr>
        <w:top w:val="none" w:sz="0" w:space="0" w:color="auto"/>
        <w:left w:val="none" w:sz="0" w:space="0" w:color="auto"/>
        <w:bottom w:val="none" w:sz="0" w:space="0" w:color="auto"/>
        <w:right w:val="none" w:sz="0" w:space="0" w:color="auto"/>
      </w:divBdr>
    </w:div>
    <w:div w:id="1527131432">
      <w:bodyDiv w:val="1"/>
      <w:marLeft w:val="0"/>
      <w:marRight w:val="0"/>
      <w:marTop w:val="0"/>
      <w:marBottom w:val="0"/>
      <w:divBdr>
        <w:top w:val="none" w:sz="0" w:space="0" w:color="auto"/>
        <w:left w:val="none" w:sz="0" w:space="0" w:color="auto"/>
        <w:bottom w:val="none" w:sz="0" w:space="0" w:color="auto"/>
        <w:right w:val="none" w:sz="0" w:space="0" w:color="auto"/>
      </w:divBdr>
    </w:div>
    <w:div w:id="1528250168">
      <w:bodyDiv w:val="1"/>
      <w:marLeft w:val="0"/>
      <w:marRight w:val="0"/>
      <w:marTop w:val="0"/>
      <w:marBottom w:val="0"/>
      <w:divBdr>
        <w:top w:val="none" w:sz="0" w:space="0" w:color="auto"/>
        <w:left w:val="none" w:sz="0" w:space="0" w:color="auto"/>
        <w:bottom w:val="none" w:sz="0" w:space="0" w:color="auto"/>
        <w:right w:val="none" w:sz="0" w:space="0" w:color="auto"/>
      </w:divBdr>
    </w:div>
    <w:div w:id="1530292582">
      <w:bodyDiv w:val="1"/>
      <w:marLeft w:val="0"/>
      <w:marRight w:val="0"/>
      <w:marTop w:val="0"/>
      <w:marBottom w:val="0"/>
      <w:divBdr>
        <w:top w:val="none" w:sz="0" w:space="0" w:color="auto"/>
        <w:left w:val="none" w:sz="0" w:space="0" w:color="auto"/>
        <w:bottom w:val="none" w:sz="0" w:space="0" w:color="auto"/>
        <w:right w:val="none" w:sz="0" w:space="0" w:color="auto"/>
      </w:divBdr>
    </w:div>
    <w:div w:id="1577787905">
      <w:bodyDiv w:val="1"/>
      <w:marLeft w:val="0"/>
      <w:marRight w:val="0"/>
      <w:marTop w:val="0"/>
      <w:marBottom w:val="0"/>
      <w:divBdr>
        <w:top w:val="none" w:sz="0" w:space="0" w:color="auto"/>
        <w:left w:val="none" w:sz="0" w:space="0" w:color="auto"/>
        <w:bottom w:val="none" w:sz="0" w:space="0" w:color="auto"/>
        <w:right w:val="none" w:sz="0" w:space="0" w:color="auto"/>
      </w:divBdr>
    </w:div>
    <w:div w:id="1581602341">
      <w:bodyDiv w:val="1"/>
      <w:marLeft w:val="0"/>
      <w:marRight w:val="0"/>
      <w:marTop w:val="0"/>
      <w:marBottom w:val="0"/>
      <w:divBdr>
        <w:top w:val="none" w:sz="0" w:space="0" w:color="auto"/>
        <w:left w:val="none" w:sz="0" w:space="0" w:color="auto"/>
        <w:bottom w:val="none" w:sz="0" w:space="0" w:color="auto"/>
        <w:right w:val="none" w:sz="0" w:space="0" w:color="auto"/>
      </w:divBdr>
    </w:div>
    <w:div w:id="1642610599">
      <w:bodyDiv w:val="1"/>
      <w:marLeft w:val="0"/>
      <w:marRight w:val="0"/>
      <w:marTop w:val="0"/>
      <w:marBottom w:val="0"/>
      <w:divBdr>
        <w:top w:val="none" w:sz="0" w:space="0" w:color="auto"/>
        <w:left w:val="none" w:sz="0" w:space="0" w:color="auto"/>
        <w:bottom w:val="none" w:sz="0" w:space="0" w:color="auto"/>
        <w:right w:val="none" w:sz="0" w:space="0" w:color="auto"/>
      </w:divBdr>
    </w:div>
    <w:div w:id="1651521019">
      <w:bodyDiv w:val="1"/>
      <w:marLeft w:val="0"/>
      <w:marRight w:val="0"/>
      <w:marTop w:val="0"/>
      <w:marBottom w:val="0"/>
      <w:divBdr>
        <w:top w:val="none" w:sz="0" w:space="0" w:color="auto"/>
        <w:left w:val="none" w:sz="0" w:space="0" w:color="auto"/>
        <w:bottom w:val="none" w:sz="0" w:space="0" w:color="auto"/>
        <w:right w:val="none" w:sz="0" w:space="0" w:color="auto"/>
      </w:divBdr>
    </w:div>
    <w:div w:id="1684241190">
      <w:bodyDiv w:val="1"/>
      <w:marLeft w:val="0"/>
      <w:marRight w:val="0"/>
      <w:marTop w:val="0"/>
      <w:marBottom w:val="0"/>
      <w:divBdr>
        <w:top w:val="none" w:sz="0" w:space="0" w:color="auto"/>
        <w:left w:val="none" w:sz="0" w:space="0" w:color="auto"/>
        <w:bottom w:val="none" w:sz="0" w:space="0" w:color="auto"/>
        <w:right w:val="none" w:sz="0" w:space="0" w:color="auto"/>
      </w:divBdr>
    </w:div>
    <w:div w:id="1700356809">
      <w:bodyDiv w:val="1"/>
      <w:marLeft w:val="0"/>
      <w:marRight w:val="0"/>
      <w:marTop w:val="0"/>
      <w:marBottom w:val="0"/>
      <w:divBdr>
        <w:top w:val="none" w:sz="0" w:space="0" w:color="auto"/>
        <w:left w:val="none" w:sz="0" w:space="0" w:color="auto"/>
        <w:bottom w:val="none" w:sz="0" w:space="0" w:color="auto"/>
        <w:right w:val="none" w:sz="0" w:space="0" w:color="auto"/>
      </w:divBdr>
    </w:div>
    <w:div w:id="1716848924">
      <w:bodyDiv w:val="1"/>
      <w:marLeft w:val="0"/>
      <w:marRight w:val="0"/>
      <w:marTop w:val="0"/>
      <w:marBottom w:val="0"/>
      <w:divBdr>
        <w:top w:val="none" w:sz="0" w:space="0" w:color="auto"/>
        <w:left w:val="none" w:sz="0" w:space="0" w:color="auto"/>
        <w:bottom w:val="none" w:sz="0" w:space="0" w:color="auto"/>
        <w:right w:val="none" w:sz="0" w:space="0" w:color="auto"/>
      </w:divBdr>
    </w:div>
    <w:div w:id="1775009182">
      <w:bodyDiv w:val="1"/>
      <w:marLeft w:val="0"/>
      <w:marRight w:val="0"/>
      <w:marTop w:val="0"/>
      <w:marBottom w:val="0"/>
      <w:divBdr>
        <w:top w:val="none" w:sz="0" w:space="0" w:color="auto"/>
        <w:left w:val="none" w:sz="0" w:space="0" w:color="auto"/>
        <w:bottom w:val="none" w:sz="0" w:space="0" w:color="auto"/>
        <w:right w:val="none" w:sz="0" w:space="0" w:color="auto"/>
      </w:divBdr>
    </w:div>
    <w:div w:id="1785809859">
      <w:bodyDiv w:val="1"/>
      <w:marLeft w:val="0"/>
      <w:marRight w:val="0"/>
      <w:marTop w:val="0"/>
      <w:marBottom w:val="0"/>
      <w:divBdr>
        <w:top w:val="none" w:sz="0" w:space="0" w:color="auto"/>
        <w:left w:val="none" w:sz="0" w:space="0" w:color="auto"/>
        <w:bottom w:val="none" w:sz="0" w:space="0" w:color="auto"/>
        <w:right w:val="none" w:sz="0" w:space="0" w:color="auto"/>
      </w:divBdr>
    </w:div>
    <w:div w:id="1790320730">
      <w:bodyDiv w:val="1"/>
      <w:marLeft w:val="0"/>
      <w:marRight w:val="0"/>
      <w:marTop w:val="0"/>
      <w:marBottom w:val="0"/>
      <w:divBdr>
        <w:top w:val="none" w:sz="0" w:space="0" w:color="auto"/>
        <w:left w:val="none" w:sz="0" w:space="0" w:color="auto"/>
        <w:bottom w:val="none" w:sz="0" w:space="0" w:color="auto"/>
        <w:right w:val="none" w:sz="0" w:space="0" w:color="auto"/>
      </w:divBdr>
    </w:div>
    <w:div w:id="1802109910">
      <w:bodyDiv w:val="1"/>
      <w:marLeft w:val="0"/>
      <w:marRight w:val="0"/>
      <w:marTop w:val="0"/>
      <w:marBottom w:val="0"/>
      <w:divBdr>
        <w:top w:val="none" w:sz="0" w:space="0" w:color="auto"/>
        <w:left w:val="none" w:sz="0" w:space="0" w:color="auto"/>
        <w:bottom w:val="none" w:sz="0" w:space="0" w:color="auto"/>
        <w:right w:val="none" w:sz="0" w:space="0" w:color="auto"/>
      </w:divBdr>
    </w:div>
    <w:div w:id="1818913069">
      <w:bodyDiv w:val="1"/>
      <w:marLeft w:val="0"/>
      <w:marRight w:val="0"/>
      <w:marTop w:val="0"/>
      <w:marBottom w:val="0"/>
      <w:divBdr>
        <w:top w:val="none" w:sz="0" w:space="0" w:color="auto"/>
        <w:left w:val="none" w:sz="0" w:space="0" w:color="auto"/>
        <w:bottom w:val="none" w:sz="0" w:space="0" w:color="auto"/>
        <w:right w:val="none" w:sz="0" w:space="0" w:color="auto"/>
      </w:divBdr>
    </w:div>
    <w:div w:id="1839074004">
      <w:bodyDiv w:val="1"/>
      <w:marLeft w:val="0"/>
      <w:marRight w:val="0"/>
      <w:marTop w:val="0"/>
      <w:marBottom w:val="0"/>
      <w:divBdr>
        <w:top w:val="none" w:sz="0" w:space="0" w:color="auto"/>
        <w:left w:val="none" w:sz="0" w:space="0" w:color="auto"/>
        <w:bottom w:val="none" w:sz="0" w:space="0" w:color="auto"/>
        <w:right w:val="none" w:sz="0" w:space="0" w:color="auto"/>
      </w:divBdr>
    </w:div>
    <w:div w:id="1916817958">
      <w:bodyDiv w:val="1"/>
      <w:marLeft w:val="0"/>
      <w:marRight w:val="0"/>
      <w:marTop w:val="0"/>
      <w:marBottom w:val="0"/>
      <w:divBdr>
        <w:top w:val="none" w:sz="0" w:space="0" w:color="auto"/>
        <w:left w:val="none" w:sz="0" w:space="0" w:color="auto"/>
        <w:bottom w:val="none" w:sz="0" w:space="0" w:color="auto"/>
        <w:right w:val="none" w:sz="0" w:space="0" w:color="auto"/>
      </w:divBdr>
    </w:div>
    <w:div w:id="1921137710">
      <w:bodyDiv w:val="1"/>
      <w:marLeft w:val="0"/>
      <w:marRight w:val="0"/>
      <w:marTop w:val="0"/>
      <w:marBottom w:val="0"/>
      <w:divBdr>
        <w:top w:val="none" w:sz="0" w:space="0" w:color="auto"/>
        <w:left w:val="none" w:sz="0" w:space="0" w:color="auto"/>
        <w:bottom w:val="none" w:sz="0" w:space="0" w:color="auto"/>
        <w:right w:val="none" w:sz="0" w:space="0" w:color="auto"/>
      </w:divBdr>
    </w:div>
    <w:div w:id="1964997607">
      <w:bodyDiv w:val="1"/>
      <w:marLeft w:val="0"/>
      <w:marRight w:val="0"/>
      <w:marTop w:val="0"/>
      <w:marBottom w:val="0"/>
      <w:divBdr>
        <w:top w:val="none" w:sz="0" w:space="0" w:color="auto"/>
        <w:left w:val="none" w:sz="0" w:space="0" w:color="auto"/>
        <w:bottom w:val="none" w:sz="0" w:space="0" w:color="auto"/>
        <w:right w:val="none" w:sz="0" w:space="0" w:color="auto"/>
      </w:divBdr>
    </w:div>
    <w:div w:id="1976829376">
      <w:bodyDiv w:val="1"/>
      <w:marLeft w:val="0"/>
      <w:marRight w:val="0"/>
      <w:marTop w:val="0"/>
      <w:marBottom w:val="0"/>
      <w:divBdr>
        <w:top w:val="none" w:sz="0" w:space="0" w:color="auto"/>
        <w:left w:val="none" w:sz="0" w:space="0" w:color="auto"/>
        <w:bottom w:val="none" w:sz="0" w:space="0" w:color="auto"/>
        <w:right w:val="none" w:sz="0" w:space="0" w:color="auto"/>
      </w:divBdr>
    </w:div>
    <w:div w:id="2012684481">
      <w:bodyDiv w:val="1"/>
      <w:marLeft w:val="0"/>
      <w:marRight w:val="0"/>
      <w:marTop w:val="0"/>
      <w:marBottom w:val="0"/>
      <w:divBdr>
        <w:top w:val="none" w:sz="0" w:space="0" w:color="auto"/>
        <w:left w:val="none" w:sz="0" w:space="0" w:color="auto"/>
        <w:bottom w:val="none" w:sz="0" w:space="0" w:color="auto"/>
        <w:right w:val="none" w:sz="0" w:space="0" w:color="auto"/>
      </w:divBdr>
    </w:div>
    <w:div w:id="2031296884">
      <w:bodyDiv w:val="1"/>
      <w:marLeft w:val="0"/>
      <w:marRight w:val="0"/>
      <w:marTop w:val="0"/>
      <w:marBottom w:val="0"/>
      <w:divBdr>
        <w:top w:val="none" w:sz="0" w:space="0" w:color="auto"/>
        <w:left w:val="none" w:sz="0" w:space="0" w:color="auto"/>
        <w:bottom w:val="none" w:sz="0" w:space="0" w:color="auto"/>
        <w:right w:val="none" w:sz="0" w:space="0" w:color="auto"/>
      </w:divBdr>
    </w:div>
    <w:div w:id="2037387089">
      <w:bodyDiv w:val="1"/>
      <w:marLeft w:val="0"/>
      <w:marRight w:val="0"/>
      <w:marTop w:val="0"/>
      <w:marBottom w:val="0"/>
      <w:divBdr>
        <w:top w:val="none" w:sz="0" w:space="0" w:color="auto"/>
        <w:left w:val="none" w:sz="0" w:space="0" w:color="auto"/>
        <w:bottom w:val="none" w:sz="0" w:space="0" w:color="auto"/>
        <w:right w:val="none" w:sz="0" w:space="0" w:color="auto"/>
      </w:divBdr>
      <w:divsChild>
        <w:div w:id="1278684326">
          <w:marLeft w:val="0"/>
          <w:marRight w:val="0"/>
          <w:marTop w:val="0"/>
          <w:marBottom w:val="0"/>
          <w:divBdr>
            <w:top w:val="single" w:sz="2" w:space="0" w:color="auto"/>
            <w:left w:val="single" w:sz="2" w:space="0" w:color="auto"/>
            <w:bottom w:val="single" w:sz="6" w:space="0" w:color="auto"/>
            <w:right w:val="single" w:sz="2" w:space="0" w:color="auto"/>
          </w:divBdr>
          <w:divsChild>
            <w:div w:id="48653781">
              <w:marLeft w:val="0"/>
              <w:marRight w:val="0"/>
              <w:marTop w:val="100"/>
              <w:marBottom w:val="100"/>
              <w:divBdr>
                <w:top w:val="single" w:sz="2" w:space="0" w:color="D9D9E3"/>
                <w:left w:val="single" w:sz="2" w:space="0" w:color="D9D9E3"/>
                <w:bottom w:val="single" w:sz="2" w:space="0" w:color="D9D9E3"/>
                <w:right w:val="single" w:sz="2" w:space="0" w:color="D9D9E3"/>
              </w:divBdr>
              <w:divsChild>
                <w:div w:id="419260513">
                  <w:marLeft w:val="0"/>
                  <w:marRight w:val="0"/>
                  <w:marTop w:val="0"/>
                  <w:marBottom w:val="0"/>
                  <w:divBdr>
                    <w:top w:val="single" w:sz="2" w:space="0" w:color="D9D9E3"/>
                    <w:left w:val="single" w:sz="2" w:space="0" w:color="D9D9E3"/>
                    <w:bottom w:val="single" w:sz="2" w:space="0" w:color="D9D9E3"/>
                    <w:right w:val="single" w:sz="2" w:space="0" w:color="D9D9E3"/>
                  </w:divBdr>
                  <w:divsChild>
                    <w:div w:id="1499273775">
                      <w:marLeft w:val="0"/>
                      <w:marRight w:val="0"/>
                      <w:marTop w:val="0"/>
                      <w:marBottom w:val="0"/>
                      <w:divBdr>
                        <w:top w:val="single" w:sz="2" w:space="0" w:color="D9D9E3"/>
                        <w:left w:val="single" w:sz="2" w:space="0" w:color="D9D9E3"/>
                        <w:bottom w:val="single" w:sz="2" w:space="0" w:color="D9D9E3"/>
                        <w:right w:val="single" w:sz="2" w:space="0" w:color="D9D9E3"/>
                      </w:divBdr>
                      <w:divsChild>
                        <w:div w:id="220602706">
                          <w:marLeft w:val="0"/>
                          <w:marRight w:val="0"/>
                          <w:marTop w:val="0"/>
                          <w:marBottom w:val="0"/>
                          <w:divBdr>
                            <w:top w:val="single" w:sz="2" w:space="0" w:color="D9D9E3"/>
                            <w:left w:val="single" w:sz="2" w:space="0" w:color="D9D9E3"/>
                            <w:bottom w:val="single" w:sz="2" w:space="0" w:color="D9D9E3"/>
                            <w:right w:val="single" w:sz="2" w:space="0" w:color="D9D9E3"/>
                          </w:divBdr>
                          <w:divsChild>
                            <w:div w:id="160388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616463">
      <w:bodyDiv w:val="1"/>
      <w:marLeft w:val="0"/>
      <w:marRight w:val="0"/>
      <w:marTop w:val="0"/>
      <w:marBottom w:val="0"/>
      <w:divBdr>
        <w:top w:val="none" w:sz="0" w:space="0" w:color="auto"/>
        <w:left w:val="none" w:sz="0" w:space="0" w:color="auto"/>
        <w:bottom w:val="none" w:sz="0" w:space="0" w:color="auto"/>
        <w:right w:val="none" w:sz="0" w:space="0" w:color="auto"/>
      </w:divBdr>
    </w:div>
    <w:div w:id="2059864490">
      <w:bodyDiv w:val="1"/>
      <w:marLeft w:val="0"/>
      <w:marRight w:val="0"/>
      <w:marTop w:val="0"/>
      <w:marBottom w:val="0"/>
      <w:divBdr>
        <w:top w:val="none" w:sz="0" w:space="0" w:color="auto"/>
        <w:left w:val="none" w:sz="0" w:space="0" w:color="auto"/>
        <w:bottom w:val="none" w:sz="0" w:space="0" w:color="auto"/>
        <w:right w:val="none" w:sz="0" w:space="0" w:color="auto"/>
      </w:divBdr>
    </w:div>
    <w:div w:id="2081511933">
      <w:bodyDiv w:val="1"/>
      <w:marLeft w:val="0"/>
      <w:marRight w:val="0"/>
      <w:marTop w:val="0"/>
      <w:marBottom w:val="0"/>
      <w:divBdr>
        <w:top w:val="none" w:sz="0" w:space="0" w:color="auto"/>
        <w:left w:val="none" w:sz="0" w:space="0" w:color="auto"/>
        <w:bottom w:val="none" w:sz="0" w:space="0" w:color="auto"/>
        <w:right w:val="none" w:sz="0" w:space="0" w:color="auto"/>
      </w:divBdr>
    </w:div>
    <w:div w:id="2090804570">
      <w:bodyDiv w:val="1"/>
      <w:marLeft w:val="0"/>
      <w:marRight w:val="0"/>
      <w:marTop w:val="0"/>
      <w:marBottom w:val="0"/>
      <w:divBdr>
        <w:top w:val="none" w:sz="0" w:space="0" w:color="auto"/>
        <w:left w:val="none" w:sz="0" w:space="0" w:color="auto"/>
        <w:bottom w:val="none" w:sz="0" w:space="0" w:color="auto"/>
        <w:right w:val="none" w:sz="0" w:space="0" w:color="auto"/>
      </w:divBdr>
    </w:div>
    <w:div w:id="2096780670">
      <w:bodyDiv w:val="1"/>
      <w:marLeft w:val="0"/>
      <w:marRight w:val="0"/>
      <w:marTop w:val="0"/>
      <w:marBottom w:val="0"/>
      <w:divBdr>
        <w:top w:val="none" w:sz="0" w:space="0" w:color="auto"/>
        <w:left w:val="none" w:sz="0" w:space="0" w:color="auto"/>
        <w:bottom w:val="none" w:sz="0" w:space="0" w:color="auto"/>
        <w:right w:val="none" w:sz="0" w:space="0" w:color="auto"/>
      </w:divBdr>
    </w:div>
    <w:div w:id="2134277299">
      <w:bodyDiv w:val="1"/>
      <w:marLeft w:val="0"/>
      <w:marRight w:val="0"/>
      <w:marTop w:val="0"/>
      <w:marBottom w:val="0"/>
      <w:divBdr>
        <w:top w:val="none" w:sz="0" w:space="0" w:color="auto"/>
        <w:left w:val="none" w:sz="0" w:space="0" w:color="auto"/>
        <w:bottom w:val="none" w:sz="0" w:space="0" w:color="auto"/>
        <w:right w:val="none" w:sz="0" w:space="0" w:color="auto"/>
      </w:divBdr>
    </w:div>
    <w:div w:id="2144686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E1EF17-2F92-43D4-9712-80DCD0E6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5561</Words>
  <Characters>31698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Thao</dc:creator>
  <cp:keywords/>
  <dc:description/>
  <cp:lastModifiedBy>MAI THAO NGUYEN 2022 (N1066541)</cp:lastModifiedBy>
  <cp:revision>1</cp:revision>
  <dcterms:created xsi:type="dcterms:W3CDTF">2023-05-25T20:22:00Z</dcterms:created>
  <dcterms:modified xsi:type="dcterms:W3CDTF">2023-05-25T20:25:00Z</dcterms:modified>
</cp:coreProperties>
</file>