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5.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6.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7.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8.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9.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0.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1.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2.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3.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DC7" w14:textId="4A327686" w:rsidR="00CE3057" w:rsidRPr="00E04998" w:rsidRDefault="001E5939" w:rsidP="00CE3057">
      <w:pPr>
        <w:spacing w:line="160" w:lineRule="exact"/>
        <w:rPr>
          <w:rFonts w:eastAsiaTheme="minorEastAsia"/>
          <w:sz w:val="13"/>
          <w:szCs w:val="13"/>
          <w:lang w:eastAsia="zh-CN"/>
        </w:rPr>
      </w:pPr>
      <w:r>
        <w:rPr>
          <w:rFonts w:eastAsiaTheme="minorEastAsia"/>
          <w:sz w:val="13"/>
          <w:szCs w:val="13"/>
          <w:lang w:eastAsia="zh-CN"/>
        </w:rPr>
        <w:fldChar w:fldCharType="begin"/>
      </w:r>
      <w:r>
        <w:rPr>
          <w:rFonts w:eastAsiaTheme="minorEastAsia"/>
          <w:sz w:val="13"/>
          <w:szCs w:val="13"/>
          <w:lang w:eastAsia="zh-CN"/>
        </w:rPr>
        <w:instrText xml:space="preserve"> MACROBUTTON AMEditEquationSection2 </w:instrText>
      </w:r>
      <w:r w:rsidRPr="001E5939">
        <w:rPr>
          <w:rStyle w:val="AMEquationSection"/>
        </w:rPr>
        <w:instrText>Equation Chapter 1 Section 1</w:instrText>
      </w:r>
      <w:r>
        <w:rPr>
          <w:rFonts w:eastAsiaTheme="minorEastAsia"/>
          <w:sz w:val="13"/>
          <w:szCs w:val="13"/>
          <w:lang w:eastAsia="zh-CN"/>
        </w:rPr>
        <w:fldChar w:fldCharType="begin"/>
      </w:r>
      <w:r>
        <w:rPr>
          <w:rFonts w:eastAsiaTheme="minorEastAsia"/>
          <w:sz w:val="13"/>
          <w:szCs w:val="13"/>
          <w:lang w:eastAsia="zh-CN"/>
        </w:rPr>
        <w:instrText xml:space="preserve"> SEQ AMEqn \r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AMSec \r 1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AMChap \r 1 \h \* MERGEFORMAT </w:instrText>
      </w:r>
      <w:r>
        <w:rPr>
          <w:rFonts w:eastAsiaTheme="minorEastAsia"/>
          <w:sz w:val="13"/>
          <w:szCs w:val="13"/>
          <w:lang w:eastAsia="zh-CN"/>
        </w:rPr>
        <w:fldChar w:fldCharType="end"/>
      </w:r>
      <w:r>
        <w:rPr>
          <w:rFonts w:eastAsiaTheme="minorEastAsia"/>
          <w:sz w:val="13"/>
          <w:szCs w:val="13"/>
          <w:lang w:eastAsia="zh-CN"/>
        </w:rPr>
        <w:fldChar w:fldCharType="end"/>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14:paraId="1FD257F1" w14:textId="7777777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14:paraId="2E960846" w14:textId="77777777" w:rsidTr="00F550BE">
              <w:trPr>
                <w:trHeight w:hRule="exact" w:val="23"/>
              </w:trPr>
              <w:tc>
                <w:tcPr>
                  <w:tcW w:w="7006" w:type="dxa"/>
                  <w:shd w:val="clear" w:color="auto" w:fill="auto"/>
                  <w:vAlign w:val="center"/>
                </w:tcPr>
                <w:p w14:paraId="0C799000" w14:textId="77777777" w:rsidR="00CE3057" w:rsidRPr="00996632" w:rsidRDefault="00CE3057" w:rsidP="00B9063D">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proofErr w:type="spellStart"/>
                  <w:r w:rsidRPr="00996632">
                    <w:rPr>
                      <w:rFonts w:hint="eastAsia"/>
                      <w:color w:val="FFFFFF" w:themeColor="background1"/>
                      <w:sz w:val="15"/>
                      <w:szCs w:val="15"/>
                    </w:rPr>
                    <w:t>Table_Title</w:t>
                  </w:r>
                  <w:proofErr w:type="spellEnd"/>
                  <w:r w:rsidRPr="00996632">
                    <w:rPr>
                      <w:rFonts w:eastAsiaTheme="minorEastAsia" w:hint="eastAsia"/>
                      <w:color w:val="FFFFFF" w:themeColor="background1"/>
                      <w:sz w:val="15"/>
                      <w:szCs w:val="15"/>
                      <w:lang w:eastAsia="zh-CN"/>
                    </w:rPr>
                    <w:t>]</w:t>
                  </w:r>
                </w:p>
              </w:tc>
            </w:tr>
            <w:tr w:rsidR="00BB6F8E" w:rsidRPr="00FD1A9C" w14:paraId="35CED2AB" w14:textId="77777777" w:rsidTr="00F550BE">
              <w:trPr>
                <w:trHeight w:val="510"/>
              </w:trPr>
              <w:tc>
                <w:tcPr>
                  <w:tcW w:w="7006" w:type="dxa"/>
                  <w:shd w:val="clear" w:color="auto" w:fill="4F81BD" w:themeFill="accent1"/>
                  <w:vAlign w:val="center"/>
                </w:tcPr>
                <w:p w14:paraId="4CC828B7" w14:textId="69FA6FE7" w:rsidR="00BB6F8E" w:rsidRDefault="005206B8"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主动基金业绩比较基准选择研究</w:t>
                  </w:r>
                </w:p>
              </w:tc>
            </w:tr>
            <w:tr w:rsidR="00BB6F8E" w:rsidRPr="00BC1FCF" w14:paraId="48A912EA" w14:textId="77777777" w:rsidTr="00F550BE">
              <w:trPr>
                <w:trHeight w:val="510"/>
              </w:trPr>
              <w:tc>
                <w:tcPr>
                  <w:tcW w:w="7006" w:type="dxa"/>
                  <w:shd w:val="clear" w:color="auto" w:fill="DEDFEF"/>
                  <w:vAlign w:val="center"/>
                </w:tcPr>
                <w:p w14:paraId="5A74A9F5" w14:textId="67546C8F" w:rsidR="00BB6F8E" w:rsidRDefault="005206B8"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基于</w:t>
                  </w:r>
                  <w:r w:rsidR="0033122A">
                    <w:rPr>
                      <w:rFonts w:ascii="Arial" w:eastAsia="楷体_GB2312" w:hAnsi="Arial" w:cs="Arial" w:hint="eastAsia"/>
                      <w:b/>
                      <w:color w:val="1F497D" w:themeColor="text2"/>
                      <w:sz w:val="36"/>
                      <w:szCs w:val="36"/>
                      <w:lang w:eastAsia="zh-CN"/>
                    </w:rPr>
                    <w:t>国内市场情况与</w:t>
                  </w:r>
                  <w:r>
                    <w:rPr>
                      <w:rFonts w:ascii="Arial" w:eastAsia="楷体_GB2312" w:hAnsi="Arial" w:cs="Arial" w:hint="eastAsia"/>
                      <w:b/>
                      <w:color w:val="1F497D" w:themeColor="text2"/>
                      <w:sz w:val="36"/>
                      <w:szCs w:val="36"/>
                      <w:lang w:eastAsia="zh-CN"/>
                    </w:rPr>
                    <w:t>外国文献</w:t>
                  </w:r>
                  <w:r w:rsidR="0033122A">
                    <w:rPr>
                      <w:rFonts w:ascii="Arial" w:eastAsia="楷体_GB2312" w:hAnsi="Arial" w:cs="Arial" w:hint="eastAsia"/>
                      <w:b/>
                      <w:color w:val="1F497D" w:themeColor="text2"/>
                      <w:sz w:val="36"/>
                      <w:szCs w:val="36"/>
                      <w:lang w:eastAsia="zh-CN"/>
                    </w:rPr>
                    <w:t>分析</w:t>
                  </w:r>
                </w:p>
              </w:tc>
            </w:tr>
          </w:tbl>
          <w:tbl>
            <w:tblPr>
              <w:tblStyle w:val="a7"/>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14:paraId="66DE890B" w14:textId="77777777" w:rsidTr="00F550BE">
              <w:trPr>
                <w:trHeight w:hRule="exact" w:val="23"/>
              </w:trPr>
              <w:tc>
                <w:tcPr>
                  <w:tcW w:w="7008" w:type="dxa"/>
                </w:tcPr>
                <w:p w14:paraId="19477EF7" w14:textId="77777777" w:rsidR="00CE3057" w:rsidRPr="00BC1FCF" w:rsidRDefault="00CE3057" w:rsidP="00B9063D">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proofErr w:type="spellStart"/>
                  <w:r w:rsidRPr="00BC1FCF">
                    <w:rPr>
                      <w:rFonts w:ascii="Arial" w:eastAsia="楷体_GB2312" w:hAnsi="Arial" w:hint="eastAsia"/>
                      <w:color w:val="FFFFFF" w:themeColor="background1"/>
                      <w:sz w:val="15"/>
                      <w:szCs w:val="15"/>
                    </w:rPr>
                    <w:t>Table_Summary</w:t>
                  </w:r>
                  <w:proofErr w:type="spellEnd"/>
                  <w:r w:rsidRPr="00BC1FCF">
                    <w:rPr>
                      <w:rFonts w:ascii="Arial" w:eastAsia="楷体_GB2312" w:hAnsi="Arial" w:hint="eastAsia"/>
                      <w:color w:val="FFFFFF" w:themeColor="background1"/>
                      <w:sz w:val="15"/>
                      <w:szCs w:val="15"/>
                      <w:lang w:eastAsia="zh-CN"/>
                    </w:rPr>
                    <w:t>]</w:t>
                  </w:r>
                </w:p>
              </w:tc>
            </w:tr>
            <w:tr w:rsidR="00486C40" w:rsidRPr="00BC1FCF" w14:paraId="10BC6EE5" w14:textId="77777777" w:rsidTr="00F550BE">
              <w:trPr>
                <w:trHeight w:hRule="exact" w:val="12184"/>
              </w:trPr>
              <w:tc>
                <w:tcPr>
                  <w:tcW w:w="7008" w:type="dxa"/>
                </w:tcPr>
                <w:p w14:paraId="023C577F" w14:textId="77777777"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14:paraId="710D247E" w14:textId="4848DFB2" w:rsidR="00486C40" w:rsidRPr="00B56EB8" w:rsidRDefault="0018670F" w:rsidP="00B56EB8">
                  <w:pPr>
                    <w:pStyle w:val="af6"/>
                    <w:numPr>
                      <w:ilvl w:val="0"/>
                      <w:numId w:val="6"/>
                    </w:numPr>
                    <w:ind w:firstLineChars="0"/>
                    <w:rPr>
                      <w:b/>
                      <w:color w:val="17365D" w:themeColor="text2" w:themeShade="BF"/>
                    </w:rPr>
                  </w:pPr>
                  <w:r>
                    <w:rPr>
                      <w:rFonts w:ascii="Arial" w:eastAsia="楷体_GB2312" w:hAnsi="Arial" w:hint="eastAsia"/>
                      <w:b/>
                      <w:color w:val="1F497D" w:themeColor="text2"/>
                      <w:szCs w:val="21"/>
                    </w:rPr>
                    <w:t>什么是基金的业绩评价基准？</w:t>
                  </w:r>
                  <w:r w:rsidRPr="00BC344C">
                    <w:rPr>
                      <w:rFonts w:ascii="Arial" w:eastAsia="楷体_GB2312" w:hAnsi="Arial" w:hint="eastAsia"/>
                      <w:color w:val="1F497D" w:themeColor="text2"/>
                      <w:szCs w:val="21"/>
                    </w:rPr>
                    <w:t>即学界中的投资组合的预期收益率。</w:t>
                  </w:r>
                </w:p>
                <w:p w14:paraId="744999DE" w14:textId="068627AC" w:rsidR="00B56EB8" w:rsidRDefault="00BC344C" w:rsidP="00B56EB8">
                  <w:pPr>
                    <w:pStyle w:val="af6"/>
                    <w:numPr>
                      <w:ilvl w:val="0"/>
                      <w:numId w:val="6"/>
                    </w:numPr>
                    <w:ind w:firstLineChars="0"/>
                    <w:rPr>
                      <w:b/>
                      <w:color w:val="17365D" w:themeColor="text2" w:themeShade="BF"/>
                    </w:rPr>
                  </w:pPr>
                  <w:r w:rsidRPr="00BC344C">
                    <w:rPr>
                      <w:rFonts w:ascii="Arial" w:eastAsia="楷体_GB2312" w:hAnsi="Arial" w:hint="eastAsia"/>
                      <w:b/>
                      <w:color w:val="1F497D" w:themeColor="text2"/>
                      <w:szCs w:val="21"/>
                    </w:rPr>
                    <w:t>业绩评价基准的意义在于：</w:t>
                  </w:r>
                  <w:r w:rsidRPr="00BC344C">
                    <w:rPr>
                      <w:rFonts w:ascii="Arial" w:eastAsia="楷体_GB2312" w:hAnsi="Arial" w:hint="eastAsia"/>
                      <w:color w:val="1F497D" w:themeColor="text2"/>
                      <w:szCs w:val="21"/>
                    </w:rPr>
                    <w:t>1</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作为基金业绩回报的“及格线”，超额收益反映基金经理主动管理能力；</w:t>
                  </w:r>
                  <w:r w:rsidRPr="00BC344C">
                    <w:rPr>
                      <w:rFonts w:ascii="Arial" w:eastAsia="楷体_GB2312" w:hAnsi="Arial" w:hint="eastAsia"/>
                      <w:color w:val="1F497D" w:themeColor="text2"/>
                      <w:szCs w:val="21"/>
                    </w:rPr>
                    <w:t>2</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基准可以体现基金在市场中性环境下的战略型资产配置情况；</w:t>
                  </w:r>
                  <w:r w:rsidRPr="00BC344C">
                    <w:rPr>
                      <w:rFonts w:ascii="Arial" w:eastAsia="楷体_GB2312" w:hAnsi="Arial" w:hint="eastAsia"/>
                      <w:color w:val="1F497D" w:themeColor="text2"/>
                      <w:szCs w:val="21"/>
                    </w:rPr>
                    <w:t>3</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基准反映了基金的风险管理能力和风险等级。</w:t>
                  </w:r>
                </w:p>
                <w:p w14:paraId="2C7825ED" w14:textId="77777777" w:rsidR="00BC344C" w:rsidRPr="00BC344C" w:rsidRDefault="00BC344C" w:rsidP="00B56EB8">
                  <w:pPr>
                    <w:pStyle w:val="af6"/>
                    <w:numPr>
                      <w:ilvl w:val="0"/>
                      <w:numId w:val="6"/>
                    </w:numPr>
                    <w:ind w:firstLineChars="0"/>
                    <w:rPr>
                      <w:rFonts w:ascii="Arial" w:eastAsia="楷体_GB2312" w:hAnsi="Arial"/>
                      <w:b/>
                      <w:color w:val="1F497D" w:themeColor="text2"/>
                      <w:szCs w:val="21"/>
                    </w:rPr>
                  </w:pPr>
                  <w:r w:rsidRPr="00BC344C">
                    <w:rPr>
                      <w:rFonts w:ascii="Arial" w:eastAsia="楷体_GB2312" w:hAnsi="Arial" w:hint="eastAsia"/>
                      <w:b/>
                      <w:color w:val="1F497D" w:themeColor="text2"/>
                      <w:szCs w:val="21"/>
                    </w:rPr>
                    <w:t>有效的业绩评价基准应该具备的特征包括：</w:t>
                  </w:r>
                  <w:r w:rsidRPr="00BC344C">
                    <w:rPr>
                      <w:rFonts w:ascii="Arial" w:eastAsia="楷体_GB2312" w:hAnsi="Arial" w:hint="eastAsia"/>
                      <w:color w:val="1F497D" w:themeColor="text2"/>
                      <w:szCs w:val="21"/>
                    </w:rPr>
                    <w:t>清晰、可投资、可衡量、恰当、反映投资风格和因子暴露、提前制定。</w:t>
                  </w:r>
                </w:p>
                <w:p w14:paraId="557A84FB" w14:textId="0317D229" w:rsidR="00BC344C" w:rsidRPr="004A0A6F" w:rsidRDefault="00BC344C" w:rsidP="00B56EB8">
                  <w:pPr>
                    <w:pStyle w:val="af6"/>
                    <w:numPr>
                      <w:ilvl w:val="0"/>
                      <w:numId w:val="6"/>
                    </w:numPr>
                    <w:ind w:firstLineChars="0"/>
                    <w:rPr>
                      <w:b/>
                      <w:color w:val="17365D" w:themeColor="text2" w:themeShade="BF"/>
                    </w:rPr>
                  </w:pPr>
                  <w:r w:rsidRPr="00BC344C">
                    <w:rPr>
                      <w:rFonts w:ascii="Arial" w:eastAsia="楷体_GB2312" w:hAnsi="Arial" w:hint="eastAsia"/>
                      <w:b/>
                      <w:bCs/>
                      <w:color w:val="1F497D" w:themeColor="text2"/>
                      <w:szCs w:val="21"/>
                    </w:rPr>
                    <w:t>正交属性可以用于检测基金业绩评价基准的适用性</w:t>
                  </w:r>
                  <w:r w:rsidRPr="00BC344C">
                    <w:rPr>
                      <w:rFonts w:ascii="Arial" w:eastAsia="楷体_GB2312" w:hAnsi="Arial" w:hint="eastAsia"/>
                      <w:color w:val="1F497D" w:themeColor="text2"/>
                      <w:szCs w:val="21"/>
                    </w:rPr>
                    <w:t>：</w:t>
                  </w:r>
                  <w:r w:rsidR="004A0A6F">
                    <w:rPr>
                      <w:rFonts w:ascii="Arial" w:eastAsia="楷体_GB2312" w:hAnsi="Arial" w:hint="eastAsia"/>
                      <w:color w:val="1F497D" w:themeColor="text2"/>
                      <w:szCs w:val="21"/>
                    </w:rPr>
                    <w:t>1</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基金对于基准的敏感系数β越靠近</w:t>
                  </w:r>
                  <w:r w:rsidR="009F679D">
                    <w:rPr>
                      <w:rFonts w:ascii="Arial" w:eastAsia="楷体_GB2312" w:hAnsi="Arial" w:hint="eastAsia"/>
                      <w:color w:val="1F497D" w:themeColor="text2"/>
                      <w:szCs w:val="21"/>
                    </w:rPr>
                    <w:t>于</w:t>
                  </w:r>
                  <w:r w:rsidR="009F679D">
                    <w:rPr>
                      <w:rFonts w:ascii="Arial" w:eastAsia="楷体_GB2312" w:hAnsi="Arial" w:hint="eastAsia"/>
                      <w:color w:val="1F497D" w:themeColor="text2"/>
                      <w:szCs w:val="21"/>
                    </w:rPr>
                    <w:t>1</w:t>
                  </w:r>
                  <w:r w:rsidR="004A0A6F">
                    <w:rPr>
                      <w:rFonts w:ascii="Arial" w:eastAsia="楷体_GB2312" w:hAnsi="Arial" w:hint="eastAsia"/>
                      <w:color w:val="1F497D" w:themeColor="text2"/>
                      <w:szCs w:val="21"/>
                    </w:rPr>
                    <w:t>，基准越能反映基金经理的投资风格；</w:t>
                  </w:r>
                  <w:r w:rsidR="004A0A6F">
                    <w:rPr>
                      <w:rFonts w:ascii="Arial" w:eastAsia="楷体_GB2312" w:hAnsi="Arial" w:hint="eastAsia"/>
                      <w:color w:val="1F497D" w:themeColor="text2"/>
                      <w:szCs w:val="21"/>
                    </w:rPr>
                    <w:t>2</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基金的长期系统性风险与基准的长期系统性风险差异越小越合适；</w:t>
                  </w:r>
                  <w:r w:rsidR="004A0A6F">
                    <w:rPr>
                      <w:rFonts w:ascii="Arial" w:eastAsia="楷体_GB2312" w:hAnsi="Arial" w:hint="eastAsia"/>
                      <w:color w:val="1F497D" w:themeColor="text2"/>
                      <w:szCs w:val="21"/>
                    </w:rPr>
                    <w:t>3</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基金相对于市场组合的波动率比基金相对于基准的波动率大。</w:t>
                  </w:r>
                </w:p>
                <w:p w14:paraId="21BFECEF" w14:textId="77777777" w:rsidR="004A0A6F" w:rsidRPr="007C16A5" w:rsidRDefault="007C16A5" w:rsidP="00B56EB8">
                  <w:pPr>
                    <w:pStyle w:val="af6"/>
                    <w:numPr>
                      <w:ilvl w:val="0"/>
                      <w:numId w:val="6"/>
                    </w:numPr>
                    <w:ind w:firstLineChars="0"/>
                    <w:rPr>
                      <w:b/>
                      <w:color w:val="17365D" w:themeColor="text2" w:themeShade="BF"/>
                    </w:rPr>
                  </w:pPr>
                  <w:r w:rsidRPr="007C16A5">
                    <w:rPr>
                      <w:rFonts w:ascii="Arial" w:eastAsia="楷体_GB2312" w:hAnsi="Arial" w:hint="eastAsia"/>
                      <w:b/>
                      <w:bCs/>
                      <w:color w:val="1F497D" w:themeColor="text2"/>
                      <w:szCs w:val="21"/>
                    </w:rPr>
                    <w:t>利用业绩归因模型评价业绩评价基准选择的影响：</w:t>
                  </w:r>
                  <w:r w:rsidRPr="007C16A5">
                    <w:rPr>
                      <w:rFonts w:ascii="Arial" w:eastAsia="楷体_GB2312" w:hAnsi="Arial" w:hint="eastAsia"/>
                      <w:color w:val="1F497D" w:themeColor="text2"/>
                      <w:szCs w:val="21"/>
                    </w:rPr>
                    <w:t>从</w:t>
                  </w:r>
                  <w:r w:rsidRPr="007C16A5">
                    <w:rPr>
                      <w:rFonts w:ascii="Arial" w:eastAsia="楷体_GB2312" w:hAnsi="Arial" w:hint="eastAsia"/>
                      <w:color w:val="1F497D" w:themeColor="text2"/>
                      <w:szCs w:val="21"/>
                    </w:rPr>
                    <w:t>Brinson</w:t>
                  </w:r>
                  <w:r w:rsidRPr="007C16A5">
                    <w:rPr>
                      <w:rFonts w:ascii="Arial" w:eastAsia="楷体_GB2312" w:hAnsi="Arial" w:hint="eastAsia"/>
                      <w:color w:val="1F497D" w:themeColor="text2"/>
                      <w:szCs w:val="21"/>
                    </w:rPr>
                    <w:t>业绩归因模型中拓展出四维度业绩归因模型可以评估业绩评价基准选择的影响</w:t>
                  </w:r>
                  <w:r>
                    <w:rPr>
                      <w:rFonts w:ascii="Arial" w:eastAsia="楷体_GB2312" w:hAnsi="Arial" w:hint="eastAsia"/>
                      <w:color w:val="1F497D" w:themeColor="text2"/>
                      <w:szCs w:val="21"/>
                    </w:rPr>
                    <w:t>，即将基金收益归因到资产配置政策、基准选择、市场择时、证券选择四个方面。</w:t>
                  </w:r>
                </w:p>
                <w:p w14:paraId="3687BF23" w14:textId="32A0A60A" w:rsidR="007C16A5" w:rsidRPr="00BC1FCF" w:rsidRDefault="007C16A5" w:rsidP="00B56EB8">
                  <w:pPr>
                    <w:pStyle w:val="af6"/>
                    <w:numPr>
                      <w:ilvl w:val="0"/>
                      <w:numId w:val="6"/>
                    </w:numPr>
                    <w:ind w:firstLineChars="0"/>
                    <w:rPr>
                      <w:b/>
                      <w:color w:val="17365D" w:themeColor="text2" w:themeShade="BF"/>
                    </w:rPr>
                  </w:pPr>
                  <w:r w:rsidRPr="007C16A5">
                    <w:rPr>
                      <w:rFonts w:ascii="Arial" w:eastAsia="楷体_GB2312" w:hAnsi="Arial" w:hint="eastAsia"/>
                      <w:b/>
                      <w:bCs/>
                      <w:color w:val="1F497D" w:themeColor="text2"/>
                      <w:szCs w:val="21"/>
                    </w:rPr>
                    <w:t>国内的基金通常采用复合基准的方式</w:t>
                  </w:r>
                  <w:r>
                    <w:rPr>
                      <w:rFonts w:hint="eastAsia"/>
                      <w:b/>
                      <w:color w:val="17365D" w:themeColor="text2" w:themeShade="BF"/>
                    </w:rPr>
                    <w:t>：</w:t>
                  </w:r>
                  <w:r w:rsidRPr="007C16A5">
                    <w:rPr>
                      <w:rFonts w:ascii="Arial" w:eastAsia="楷体_GB2312" w:hAnsi="Arial" w:hint="eastAsia"/>
                      <w:color w:val="1F497D" w:themeColor="text2"/>
                      <w:szCs w:val="21"/>
                    </w:rPr>
                    <w:t>一般来说债券基金和货币基金的业绩比较基准与债券指数或存款利率挂钩；而股票型基金和混合型基金等权益类基金的业绩比较基准通常是由股票指数和债券指数复合而成。</w:t>
                  </w:r>
                </w:p>
              </w:tc>
            </w:tr>
          </w:tbl>
          <w:p w14:paraId="27F6FE1E" w14:textId="77777777"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963"/>
              <w:gridCol w:w="2552"/>
            </w:tblGrid>
            <w:tr w:rsidR="00883E1F" w:rsidRPr="001B6E1E" w14:paraId="3B0BA31B" w14:textId="77777777" w:rsidTr="00B9063D">
              <w:trPr>
                <w:trHeight w:val="340"/>
                <w:jc w:val="right"/>
              </w:trPr>
              <w:tc>
                <w:tcPr>
                  <w:tcW w:w="3515" w:type="dxa"/>
                  <w:gridSpan w:val="2"/>
                  <w:tcBorders>
                    <w:top w:val="nil"/>
                    <w:bottom w:val="single" w:sz="4" w:space="0" w:color="1F497D" w:themeColor="text2"/>
                  </w:tcBorders>
                  <w:shd w:val="clear" w:color="auto" w:fill="DEDFEF"/>
                  <w:vAlign w:val="center"/>
                </w:tcPr>
                <w:p w14:paraId="497F7DD8" w14:textId="3DBE69A4"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r w:rsidR="00390048">
                    <w:rPr>
                      <w:rFonts w:ascii="Arial" w:eastAsia="楷体_GB2312" w:hAnsi="Arial" w:hint="eastAsia"/>
                      <w:b/>
                      <w:color w:val="1F497D" w:themeColor="text2"/>
                      <w:sz w:val="21"/>
                      <w:lang w:eastAsia="zh-CN"/>
                    </w:rPr>
                    <w:t>包括业绩基准的四维度基金业绩归因模型</w:t>
                  </w:r>
                </w:p>
              </w:tc>
            </w:tr>
            <w:tr w:rsidR="00883E1F" w:rsidRPr="00996EC2" w14:paraId="0DDE94E6" w14:textId="77777777" w:rsidTr="00B9063D">
              <w:trPr>
                <w:trHeight w:val="2041"/>
                <w:jc w:val="right"/>
              </w:trPr>
              <w:tc>
                <w:tcPr>
                  <w:tcW w:w="3515" w:type="dxa"/>
                  <w:gridSpan w:val="2"/>
                  <w:tcBorders>
                    <w:top w:val="single" w:sz="4" w:space="0" w:color="1F497D" w:themeColor="text2"/>
                    <w:bottom w:val="nil"/>
                  </w:tcBorders>
                  <w:shd w:val="clear" w:color="auto" w:fill="auto"/>
                  <w:tcMar>
                    <w:left w:w="108" w:type="dxa"/>
                  </w:tcMar>
                  <w:vAlign w:val="center"/>
                </w:tcPr>
                <w:p w14:paraId="5B2DFA0C" w14:textId="66EDA800" w:rsidR="00883E1F" w:rsidRPr="00996EC2" w:rsidRDefault="00390048" w:rsidP="00883E1F">
                  <w:pPr>
                    <w:ind w:left="-60"/>
                    <w:jc w:val="both"/>
                    <w:rPr>
                      <w:rFonts w:ascii="Arial" w:eastAsia="楷体_GB2312" w:hAnsi="Arial"/>
                      <w:b/>
                      <w:color w:val="FFFFFF" w:themeColor="background1"/>
                      <w:kern w:val="0"/>
                      <w:sz w:val="21"/>
                      <w:szCs w:val="21"/>
                      <w:lang w:eastAsia="zh-CN"/>
                    </w:rPr>
                  </w:pPr>
                  <w:r w:rsidRPr="00B37306">
                    <w:rPr>
                      <w:rFonts w:eastAsiaTheme="minorEastAsia"/>
                      <w:noProof/>
                    </w:rPr>
                    <mc:AlternateContent>
                      <mc:Choice Requires="wpg">
                        <w:drawing>
                          <wp:inline distT="0" distB="0" distL="0" distR="0" wp14:anchorId="4652F3AC" wp14:editId="3629B522">
                            <wp:extent cx="2144567" cy="1211706"/>
                            <wp:effectExtent l="19050" t="19050" r="27305" b="26670"/>
                            <wp:docPr id="87" name="组合 85"/>
                            <wp:cNvGraphicFramePr/>
                            <a:graphic xmlns:a="http://schemas.openxmlformats.org/drawingml/2006/main">
                              <a:graphicData uri="http://schemas.microsoft.com/office/word/2010/wordprocessingGroup">
                                <wpg:wgp>
                                  <wpg:cNvGrpSpPr/>
                                  <wpg:grpSpPr>
                                    <a:xfrm>
                                      <a:off x="0" y="0"/>
                                      <a:ext cx="2144567" cy="1211706"/>
                                      <a:chOff x="0" y="0"/>
                                      <a:chExt cx="10677776" cy="6734613"/>
                                    </a:xfrm>
                                  </wpg:grpSpPr>
                                  <pic:pic xmlns:pic="http://schemas.openxmlformats.org/drawingml/2006/picture">
                                    <pic:nvPicPr>
                                      <pic:cNvPr id="89" name="图片 89"/>
                                      <pic:cNvPicPr/>
                                    </pic:nvPicPr>
                                    <pic:blipFill>
                                      <a:blip r:embed="rId8"/>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90" name="图片 90"/>
                                      <pic:cNvPicPr/>
                                    </pic:nvPicPr>
                                    <pic:blipFill>
                                      <a:blip r:embed="rId9"/>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91" name="图片 91"/>
                                      <pic:cNvPicPr/>
                                    </pic:nvPicPr>
                                    <pic:blipFill>
                                      <a:blip r:embed="rId10"/>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92" name="图片 92"/>
                                      <pic:cNvPicPr/>
                                    </pic:nvPicPr>
                                    <pic:blipFill>
                                      <a:blip r:embed="rId11"/>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93" name="图片 93"/>
                                      <pic:cNvPicPr/>
                                    </pic:nvPicPr>
                                    <pic:blipFill>
                                      <a:blip r:embed="rId12"/>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94" name="图片 94"/>
                                      <pic:cNvPicPr/>
                                    </pic:nvPicPr>
                                    <pic:blipFill>
                                      <a:blip r:embed="rId13"/>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95" name="图片 95"/>
                                      <pic:cNvPicPr/>
                                    </pic:nvPicPr>
                                    <pic:blipFill>
                                      <a:blip r:embed="rId14"/>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96" name="图片 96"/>
                                      <pic:cNvPicPr/>
                                    </pic:nvPicPr>
                                    <pic:blipFill>
                                      <a:blip r:embed="rId15"/>
                                      <a:stretch>
                                        <a:fillRect/>
                                      </a:stretch>
                                    </pic:blipFill>
                                    <pic:spPr>
                                      <a:xfrm>
                                        <a:off x="5430811" y="0"/>
                                        <a:ext cx="1485900" cy="1349375"/>
                                      </a:xfrm>
                                      <a:prstGeom prst="rect">
                                        <a:avLst/>
                                      </a:prstGeom>
                                      <a:ln>
                                        <a:solidFill>
                                          <a:schemeClr val="tx1"/>
                                        </a:solidFill>
                                      </a:ln>
                                    </pic:spPr>
                                  </pic:pic>
                                  <wps:wsp>
                                    <wps:cNvPr id="97" name="直接箭头连接符 97"/>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6" name="图片 116"/>
                                      <pic:cNvPicPr/>
                                    </pic:nvPicPr>
                                    <pic:blipFill>
                                      <a:blip r:embed="rId16"/>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117" name="图片 117"/>
                                      <pic:cNvPicPr/>
                                    </pic:nvPicPr>
                                    <pic:blipFill>
                                      <a:blip r:embed="rId17"/>
                                      <a:stretch>
                                        <a:fillRect/>
                                      </a:stretch>
                                    </pic:blipFill>
                                    <pic:spPr>
                                      <a:xfrm>
                                        <a:off x="9699876" y="5394763"/>
                                        <a:ext cx="977900" cy="1339850"/>
                                      </a:xfrm>
                                      <a:prstGeom prst="rect">
                                        <a:avLst/>
                                      </a:prstGeom>
                                      <a:ln>
                                        <a:solidFill>
                                          <a:schemeClr val="tx1"/>
                                        </a:solidFill>
                                      </a:ln>
                                    </pic:spPr>
                                  </pic:pic>
                                  <wps:wsp>
                                    <wps:cNvPr id="118" name="直接箭头连接符 118"/>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连接符: 肘形 125"/>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9372795" id="组合 85" o:spid="_x0000_s1026" style="width:168.85pt;height:95.4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9"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" stroked="t" strokecolor="black [3213]">
                              <v:imagedata r:id="rId18" o:title=""/>
                            </v:shape>
                            <v:shape id="图片 90"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" stroked="t" strokecolor="black [3213]">
                              <v:imagedata r:id="rId19" o:title=""/>
                            </v:shape>
                            <v:shape id="图片 91"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" stroked="t" strokecolor="black [3213]">
                              <v:imagedata r:id="rId20" o:title=""/>
                            </v:shape>
                            <v:shape id="图片 92"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" stroked="t" strokecolor="black [3213]">
                              <v:imagedata r:id="rId21" o:title=""/>
                            </v:shape>
                            <v:shape id="图片 93"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" stroked="t" strokecolor="black [3213]">
                              <v:imagedata r:id="rId22" o:title=""/>
                            </v:shape>
                            <v:shape id="图片 94"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" stroked="t" strokecolor="black [3213]">
                              <v:imagedata r:id="rId23" o:title=""/>
                            </v:shape>
                            <v:shape id="图片 95"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" stroked="t" strokecolor="black [3213]">
                              <v:imagedata r:id="rId24" o:title=""/>
                            </v:shape>
                            <v:shape id="图片 96"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" stroked="t" strokecolor="black [3213]">
                              <v:imagedata r:id="rId25" o:title=""/>
                            </v:shape>
                            <v:shapetype id="_x0000_t32" coordsize="21600,21600" o:spt="32" o:oned="t" path="m,l21600,21600e" filled="f">
                              <v:path arrowok="t" fillok="f" o:connecttype="none"/>
                              <o:lock v:ext="edit" shapetype="t"/>
                            </v:shapetype>
                            <v:shape id="直接箭头连接符 97"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o:lock v:ext="edit" shapetype="f"/>
                            </v:shape>
                            <v:shape id="直接箭头连接符 110"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" strokecolor="black [3213]" strokeweight="1pt">
                              <v:stroke endarrow="block"/>
                              <o:lock v:ext="edit" shapetype="f"/>
                            </v:shape>
                            <v:shape id="直接箭头连接符 111"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" strokecolor="black [3213]" strokeweight="1pt">
                              <v:stroke endarrow="block"/>
                              <o:lock v:ext="edit" shapetype="f"/>
                            </v:shape>
                            <v:shape id="直接箭头连接符 112"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" strokecolor="black [3213]" strokeweight="1pt">
                              <v:stroke endarrow="block"/>
                              <o:lock v:ext="edit" shapetype="f"/>
                            </v:shape>
                            <v:shape id="直接箭头连接符 113"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" strokecolor="black [3213]" strokeweight="1pt">
                              <v:stroke endarrow="block"/>
                              <o:lock v:ext="edit" shapetype="f"/>
                            </v:shape>
                            <v:shape id="直接箭头连接符 114"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" strokecolor="black [3213]" strokeweight="1pt">
                              <v:stroke endarrow="block"/>
                              <o:lock v:ext="edit" shapetype="f"/>
                            </v:shape>
                            <v:shape id="直接箭头连接符 115"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" strokecolor="black [3213]" strokeweight="1pt">
                              <v:stroke endarrow="block"/>
                              <o:lock v:ext="edit" shapetype="f"/>
                            </v:shape>
                            <v:shape id="图片 116"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" stroked="t" strokecolor="black [3213]">
                              <v:imagedata r:id="rId26" o:title=""/>
                            </v:shape>
                            <v:shape id="图片 117"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" stroked="t" strokecolor="black [3213]">
                              <v:imagedata r:id="rId27" o:title=""/>
                            </v:shape>
                            <v:shape id="直接箭头连接符 118"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" strokecolor="black [3213]" strokeweight="1pt">
                              <v:stroke endarrow="block"/>
                              <o:lock v:ext="edit" shapetype="f"/>
                            </v:shape>
                            <v:shape id="直接箭头连接符 119"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" strokecolor="black [3213]" strokeweight="1pt">
                              <v:stroke endarrow="block"/>
                              <o:lock v:ext="edit" shapetype="f"/>
                            </v:shape>
                            <v:shape id="直接箭头连接符 120"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" strokecolor="black [3213]" strokeweight="1pt">
                              <v:stroke endarrow="block"/>
                              <o:lock v:ext="edit" shapetype="f"/>
                            </v:shape>
                            <v:shape id="直接箭头连接符 121"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" strokecolor="black [3213]" strokeweight="1pt">
                              <v:stroke endarrow="block"/>
                              <o:lock v:ext="edit" shapetype="f"/>
                            </v:shape>
                            <v:shape id="直接箭头连接符 122"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" strokecolor="black [3213]" strokeweight="1pt">
                              <v:stroke endarrow="block"/>
                              <o:lock v:ext="edit" shapetype="f"/>
                            </v:shape>
                            <v:shape id="直接箭头连接符 123"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" strokecolor="black [3213]" strokeweight="1pt">
                              <v:stroke endarrow="block"/>
                              <o:lock v:ext="edit" shapetype="f"/>
                            </v:shape>
                            <v:shape id="直接箭头连接符 124"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" strokecolor="black [3213]" strokeweight="1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5"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" adj="2817" strokecolor="black [3213]" strokeweight="1pt">
                              <v:stroke endarrow="block"/>
                              <o:lock v:ext="edit" shapetype="f"/>
                            </v:shape>
                            <w10:anchorlock/>
                          </v:group>
                        </w:pict>
                      </mc:Fallback>
                    </mc:AlternateContent>
                  </w:r>
                  <w:r w:rsidR="00883E1F" w:rsidRPr="00620585">
                    <w:rPr>
                      <w:rFonts w:ascii="Arial" w:eastAsia="楷体_GB2312" w:hAnsi="Arial" w:cs="Arial"/>
                      <w:color w:val="1F497D" w:themeColor="text2"/>
                      <w:sz w:val="15"/>
                      <w:szCs w:val="21"/>
                      <w:lang w:eastAsia="zh-CN"/>
                    </w:rPr>
                    <w:t>数据来源：</w:t>
                  </w:r>
                  <w:r w:rsidR="00883E1F" w:rsidRPr="00620585">
                    <w:rPr>
                      <w:rFonts w:ascii="Arial" w:eastAsia="楷体_GB2312" w:hAnsi="Arial" w:cs="Arial"/>
                      <w:color w:val="1F497D" w:themeColor="text2"/>
                      <w:sz w:val="15"/>
                      <w:szCs w:val="21"/>
                      <w:lang w:eastAsia="zh-CN"/>
                    </w:rPr>
                    <w:t xml:space="preserve">Wind, </w:t>
                  </w:r>
                  <w:r w:rsidR="00883E1F" w:rsidRPr="00620585">
                    <w:rPr>
                      <w:rFonts w:ascii="Arial" w:eastAsia="楷体_GB2312" w:hAnsi="Arial" w:cs="Arial"/>
                      <w:color w:val="1F497D" w:themeColor="text2"/>
                      <w:sz w:val="15"/>
                      <w:szCs w:val="21"/>
                      <w:lang w:eastAsia="zh-CN"/>
                    </w:rPr>
                    <w:t>广发证券发展研究中心</w:t>
                  </w:r>
                </w:p>
              </w:tc>
            </w:tr>
            <w:tr w:rsidR="00883E1F" w:rsidRPr="007C53E8" w14:paraId="4EA26A41" w14:textId="77777777" w:rsidTr="00390048">
              <w:trPr>
                <w:trHeight w:val="348"/>
                <w:jc w:val="right"/>
              </w:trPr>
              <w:tc>
                <w:tcPr>
                  <w:tcW w:w="3515" w:type="dxa"/>
                  <w:gridSpan w:val="2"/>
                  <w:tcBorders>
                    <w:top w:val="nil"/>
                    <w:bottom w:val="single" w:sz="4" w:space="0" w:color="1F497D" w:themeColor="text2"/>
                  </w:tcBorders>
                  <w:shd w:val="clear" w:color="auto" w:fill="DEDFEF"/>
                  <w:vAlign w:val="center"/>
                </w:tcPr>
                <w:p w14:paraId="20A4000B" w14:textId="570A18D7"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r w:rsidR="00390048">
                    <w:rPr>
                      <w:rFonts w:ascii="Arial" w:eastAsia="楷体_GB2312" w:hAnsi="Arial" w:hint="eastAsia"/>
                      <w:b/>
                      <w:color w:val="1F497D" w:themeColor="text2"/>
                      <w:sz w:val="21"/>
                      <w:lang w:eastAsia="zh-CN"/>
                    </w:rPr>
                    <w:t>偏股混合型基金最常用业绩比较基准</w:t>
                  </w:r>
                </w:p>
              </w:tc>
            </w:tr>
            <w:tr w:rsidR="00390048" w:rsidRPr="00996EC2" w14:paraId="02C0B063" w14:textId="77777777" w:rsidTr="00390048">
              <w:trPr>
                <w:trHeight w:val="336"/>
                <w:jc w:val="right"/>
              </w:trPr>
              <w:tc>
                <w:tcPr>
                  <w:tcW w:w="963" w:type="dxa"/>
                  <w:tcBorders>
                    <w:top w:val="single" w:sz="4" w:space="0" w:color="1F497D" w:themeColor="text2"/>
                    <w:bottom w:val="single" w:sz="4" w:space="0" w:color="1F497D" w:themeColor="text2"/>
                  </w:tcBorders>
                  <w:vAlign w:val="center"/>
                </w:tcPr>
                <w:p w14:paraId="47D32BA9" w14:textId="3CC1318B" w:rsidR="00390048" w:rsidRPr="00996EC2" w:rsidRDefault="00390048" w:rsidP="00390048">
                  <w:pPr>
                    <w:ind w:leftChars="-27" w:left="-65"/>
                    <w:jc w:val="both"/>
                    <w:rPr>
                      <w:rFonts w:ascii="Arial" w:eastAsia="楷体_GB2312" w:hAnsi="Arial"/>
                      <w:color w:val="1F497D" w:themeColor="text2"/>
                      <w:kern w:val="0"/>
                      <w:sz w:val="18"/>
                      <w:szCs w:val="18"/>
                      <w:lang w:eastAsia="zh-CN"/>
                    </w:rPr>
                  </w:pPr>
                  <w:r>
                    <w:rPr>
                      <w:rFonts w:ascii="楷体_GB2312" w:eastAsia="楷体_GB2312" w:hAnsi="等线" w:cs="宋体" w:hint="eastAsia"/>
                      <w:b/>
                      <w:bCs/>
                      <w:color w:val="0F243E"/>
                      <w:kern w:val="0"/>
                      <w:sz w:val="16"/>
                      <w:szCs w:val="16"/>
                      <w:lang w:eastAsia="zh-CN"/>
                    </w:rPr>
                    <w:t>双</w:t>
                  </w:r>
                  <w:r w:rsidRPr="00F87E3A">
                    <w:rPr>
                      <w:rFonts w:ascii="楷体_GB2312" w:eastAsia="楷体_GB2312" w:hAnsi="等线" w:cs="宋体" w:hint="eastAsia"/>
                      <w:b/>
                      <w:bCs/>
                      <w:color w:val="0F243E"/>
                      <w:kern w:val="0"/>
                      <w:sz w:val="16"/>
                      <w:szCs w:val="16"/>
                      <w:lang w:eastAsia="zh-CN"/>
                    </w:rPr>
                    <w:t>基准基金</w:t>
                  </w:r>
                </w:p>
              </w:tc>
              <w:tc>
                <w:tcPr>
                  <w:tcW w:w="2552" w:type="dxa"/>
                  <w:tcBorders>
                    <w:top w:val="single" w:sz="4" w:space="0" w:color="1F497D" w:themeColor="text2"/>
                    <w:bottom w:val="single" w:sz="4" w:space="0" w:color="1F497D" w:themeColor="text2"/>
                  </w:tcBorders>
                  <w:vAlign w:val="center"/>
                </w:tcPr>
                <w:p w14:paraId="0B3EC964" w14:textId="58D5B19F" w:rsidR="00390048" w:rsidRPr="00996EC2" w:rsidRDefault="00390048" w:rsidP="00390048">
                  <w:pPr>
                    <w:ind w:left="-60"/>
                    <w:jc w:val="right"/>
                    <w:rPr>
                      <w:rFonts w:ascii="Arial" w:eastAsia="楷体_GB2312" w:hAnsi="Arial"/>
                      <w:color w:val="1F497D" w:themeColor="text2"/>
                      <w:position w:val="6"/>
                      <w:sz w:val="18"/>
                      <w:lang w:eastAsia="zh-CN"/>
                    </w:rPr>
                  </w:pPr>
                  <w:r w:rsidRPr="00F87E3A">
                    <w:rPr>
                      <w:rFonts w:ascii="楷体_GB2312" w:eastAsia="楷体_GB2312" w:hAnsi="等线" w:cs="宋体" w:hint="eastAsia"/>
                      <w:b/>
                      <w:bCs/>
                      <w:color w:val="0F243E"/>
                      <w:kern w:val="0"/>
                      <w:sz w:val="16"/>
                      <w:szCs w:val="16"/>
                      <w:lang w:eastAsia="zh-CN"/>
                    </w:rPr>
                    <w:t>业绩比较基准</w:t>
                  </w:r>
                </w:p>
              </w:tc>
            </w:tr>
            <w:tr w:rsidR="00390048" w:rsidRPr="00996EC2" w14:paraId="5C654EA9" w14:textId="77777777" w:rsidTr="00390048">
              <w:trPr>
                <w:trHeight w:val="336"/>
                <w:jc w:val="right"/>
              </w:trPr>
              <w:tc>
                <w:tcPr>
                  <w:tcW w:w="963" w:type="dxa"/>
                  <w:vMerge w:val="restart"/>
                  <w:tcBorders>
                    <w:top w:val="single" w:sz="4" w:space="0" w:color="1F497D" w:themeColor="text2"/>
                  </w:tcBorders>
                  <w:vAlign w:val="center"/>
                </w:tcPr>
                <w:p w14:paraId="353B7C24" w14:textId="7DC19EC8" w:rsidR="00390048" w:rsidRPr="00996EC2" w:rsidRDefault="00390048" w:rsidP="00390048">
                  <w:pPr>
                    <w:ind w:leftChars="-27" w:left="-65"/>
                    <w:jc w:val="both"/>
                    <w:rPr>
                      <w:rFonts w:ascii="Arial" w:eastAsia="楷体_GB2312" w:hAnsi="Arial"/>
                      <w:color w:val="1F497D" w:themeColor="text2"/>
                      <w:kern w:val="0"/>
                      <w:sz w:val="18"/>
                      <w:szCs w:val="18"/>
                      <w:lang w:eastAsia="zh-CN"/>
                    </w:rPr>
                  </w:pPr>
                  <w:r>
                    <w:rPr>
                      <w:rFonts w:ascii="Arial" w:eastAsia="等线" w:hAnsi="Arial" w:cs="Arial"/>
                      <w:b/>
                      <w:bCs/>
                      <w:color w:val="0F243E"/>
                      <w:sz w:val="16"/>
                      <w:szCs w:val="16"/>
                    </w:rPr>
                    <w:t>混合型基金</w:t>
                  </w:r>
                </w:p>
              </w:tc>
              <w:tc>
                <w:tcPr>
                  <w:tcW w:w="2552" w:type="dxa"/>
                  <w:tcBorders>
                    <w:top w:val="single" w:sz="4" w:space="0" w:color="1F497D" w:themeColor="text2"/>
                    <w:bottom w:val="nil"/>
                  </w:tcBorders>
                  <w:vAlign w:val="center"/>
                </w:tcPr>
                <w:p w14:paraId="46163112" w14:textId="6D5B979D"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r>
            <w:tr w:rsidR="00390048" w:rsidRPr="00996EC2" w14:paraId="3AB11D09" w14:textId="77777777" w:rsidTr="00390048">
              <w:trPr>
                <w:trHeight w:val="327"/>
                <w:jc w:val="right"/>
              </w:trPr>
              <w:tc>
                <w:tcPr>
                  <w:tcW w:w="963" w:type="dxa"/>
                  <w:vMerge/>
                  <w:vAlign w:val="center"/>
                </w:tcPr>
                <w:p w14:paraId="4108E8FC" w14:textId="77777777" w:rsidR="00390048" w:rsidRPr="00996EC2" w:rsidRDefault="00390048" w:rsidP="00390048">
                  <w:pPr>
                    <w:ind w:leftChars="-27" w:left="-65"/>
                    <w:jc w:val="both"/>
                    <w:rPr>
                      <w:rFonts w:ascii="Arial" w:eastAsia="楷体_GB2312" w:hAnsi="Arial"/>
                      <w:color w:val="1F497D" w:themeColor="text2"/>
                      <w:kern w:val="0"/>
                      <w:sz w:val="18"/>
                      <w:szCs w:val="18"/>
                      <w:lang w:eastAsia="zh-CN"/>
                    </w:rPr>
                  </w:pPr>
                </w:p>
              </w:tc>
              <w:tc>
                <w:tcPr>
                  <w:tcW w:w="2552" w:type="dxa"/>
                  <w:tcBorders>
                    <w:top w:val="nil"/>
                    <w:bottom w:val="nil"/>
                  </w:tcBorders>
                  <w:vAlign w:val="center"/>
                </w:tcPr>
                <w:p w14:paraId="0DDEE2D7" w14:textId="6DD44324"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661BCEF9" w14:textId="77777777" w:rsidTr="00390048">
              <w:trPr>
                <w:trHeight w:val="327"/>
                <w:jc w:val="right"/>
              </w:trPr>
              <w:tc>
                <w:tcPr>
                  <w:tcW w:w="963" w:type="dxa"/>
                  <w:vMerge/>
                  <w:vAlign w:val="center"/>
                </w:tcPr>
                <w:p w14:paraId="37B3AE53" w14:textId="77777777" w:rsidR="00390048" w:rsidRPr="00996EC2" w:rsidRDefault="00390048" w:rsidP="00390048">
                  <w:pPr>
                    <w:ind w:leftChars="-27" w:left="-65"/>
                    <w:jc w:val="both"/>
                    <w:rPr>
                      <w:rFonts w:ascii="Arial" w:eastAsia="楷体_GB2312" w:hAnsi="Arial"/>
                      <w:color w:val="1F497D" w:themeColor="text2"/>
                      <w:kern w:val="0"/>
                      <w:sz w:val="18"/>
                      <w:szCs w:val="18"/>
                      <w:lang w:eastAsia="zh-CN"/>
                    </w:rPr>
                  </w:pPr>
                </w:p>
              </w:tc>
              <w:tc>
                <w:tcPr>
                  <w:tcW w:w="2552" w:type="dxa"/>
                  <w:tcBorders>
                    <w:top w:val="nil"/>
                    <w:bottom w:val="nil"/>
                  </w:tcBorders>
                  <w:vAlign w:val="center"/>
                </w:tcPr>
                <w:p w14:paraId="033367A5" w14:textId="0320A582"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一年期定期存款利率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5DE00C70" w14:textId="77777777" w:rsidTr="00390048">
              <w:trPr>
                <w:trHeight w:val="327"/>
                <w:jc w:val="right"/>
              </w:trPr>
              <w:tc>
                <w:tcPr>
                  <w:tcW w:w="963" w:type="dxa"/>
                  <w:vMerge/>
                  <w:vAlign w:val="center"/>
                </w:tcPr>
                <w:p w14:paraId="53E022D7" w14:textId="77777777" w:rsidR="00390048" w:rsidRPr="00996EC2" w:rsidRDefault="00390048" w:rsidP="00390048">
                  <w:pPr>
                    <w:ind w:leftChars="-27" w:left="-65"/>
                    <w:jc w:val="both"/>
                    <w:rPr>
                      <w:rFonts w:ascii="Arial" w:eastAsia="楷体_GB2312" w:hAnsi="Arial"/>
                      <w:color w:val="1F497D" w:themeColor="text2"/>
                      <w:kern w:val="0"/>
                      <w:sz w:val="18"/>
                      <w:szCs w:val="18"/>
                      <w:lang w:eastAsia="zh-CN"/>
                    </w:rPr>
                  </w:pPr>
                </w:p>
              </w:tc>
              <w:tc>
                <w:tcPr>
                  <w:tcW w:w="2552" w:type="dxa"/>
                  <w:tcBorders>
                    <w:top w:val="nil"/>
                    <w:bottom w:val="nil"/>
                  </w:tcBorders>
                  <w:vAlign w:val="center"/>
                </w:tcPr>
                <w:p w14:paraId="58A570AA" w14:textId="167A0F39"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1</w:t>
                  </w:r>
                  <w:r>
                    <w:rPr>
                      <w:rFonts w:ascii="Arial" w:eastAsia="等线" w:hAnsi="Arial" w:cs="Arial"/>
                      <w:b/>
                      <w:bCs/>
                      <w:color w:val="0F243E"/>
                      <w:sz w:val="16"/>
                      <w:szCs w:val="16"/>
                      <w:lang w:eastAsia="zh-CN"/>
                    </w:rPr>
                    <w:t>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56A4CD97" w14:textId="77777777" w:rsidTr="00390048">
              <w:trPr>
                <w:trHeight w:val="327"/>
                <w:jc w:val="right"/>
              </w:trPr>
              <w:tc>
                <w:tcPr>
                  <w:tcW w:w="963" w:type="dxa"/>
                  <w:vMerge/>
                  <w:tcBorders>
                    <w:bottom w:val="nil"/>
                  </w:tcBorders>
                  <w:vAlign w:val="center"/>
                </w:tcPr>
                <w:p w14:paraId="774A06FE" w14:textId="77777777" w:rsidR="00390048" w:rsidRPr="00996EC2" w:rsidRDefault="00390048" w:rsidP="00390048">
                  <w:pPr>
                    <w:ind w:leftChars="-27" w:left="-65"/>
                    <w:jc w:val="both"/>
                    <w:rPr>
                      <w:rFonts w:ascii="Arial" w:eastAsia="楷体_GB2312" w:hAnsi="Arial"/>
                      <w:color w:val="1F497D" w:themeColor="text2"/>
                      <w:kern w:val="0"/>
                      <w:sz w:val="18"/>
                      <w:szCs w:val="18"/>
                      <w:lang w:eastAsia="zh-CN"/>
                    </w:rPr>
                  </w:pPr>
                </w:p>
              </w:tc>
              <w:tc>
                <w:tcPr>
                  <w:tcW w:w="2552" w:type="dxa"/>
                  <w:tcBorders>
                    <w:top w:val="nil"/>
                    <w:bottom w:val="nil"/>
                  </w:tcBorders>
                  <w:vAlign w:val="center"/>
                </w:tcPr>
                <w:p w14:paraId="6DFB2419" w14:textId="63A6AA84"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r>
            <w:tr w:rsidR="00883E1F" w:rsidRPr="00996EC2" w14:paraId="77928136" w14:textId="77777777" w:rsidTr="00390048">
              <w:trPr>
                <w:trHeight w:val="336"/>
                <w:jc w:val="right"/>
              </w:trPr>
              <w:tc>
                <w:tcPr>
                  <w:tcW w:w="3515" w:type="dxa"/>
                  <w:gridSpan w:val="2"/>
                  <w:tcBorders>
                    <w:top w:val="single" w:sz="4" w:space="0" w:color="auto"/>
                    <w:bottom w:val="nil"/>
                  </w:tcBorders>
                  <w:vAlign w:val="center"/>
                </w:tcPr>
                <w:p w14:paraId="78F55A34" w14:textId="77777777"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r w:rsidR="00883E1F" w:rsidRPr="00996EC2" w14:paraId="051F6545"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hRule="exact" w:val="23"/>
                <w:jc w:val="right"/>
              </w:trPr>
              <w:tc>
                <w:tcPr>
                  <w:tcW w:w="3510" w:type="dxa"/>
                  <w:gridSpan w:val="2"/>
                  <w:shd w:val="clear" w:color="auto" w:fill="auto"/>
                  <w:vAlign w:val="center"/>
                </w:tcPr>
                <w:p w14:paraId="60ADC304" w14:textId="77777777"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proofErr w:type="spellStart"/>
                  <w:r w:rsidRPr="00996EC2">
                    <w:rPr>
                      <w:rFonts w:ascii="Arial" w:eastAsia="楷体_GB2312" w:hAnsi="Arial" w:hint="eastAsia"/>
                      <w:sz w:val="15"/>
                      <w:szCs w:val="15"/>
                    </w:rPr>
                    <w:t>Table_Author</w:t>
                  </w:r>
                  <w:proofErr w:type="spellEnd"/>
                  <w:r w:rsidRPr="00996EC2">
                    <w:rPr>
                      <w:rFonts w:ascii="Arial" w:eastAsia="楷体_GB2312" w:hAnsi="Arial" w:hint="eastAsia"/>
                      <w:sz w:val="15"/>
                      <w:szCs w:val="15"/>
                      <w:lang w:eastAsia="zh-CN"/>
                    </w:rPr>
                    <w:t>]</w:t>
                  </w:r>
                </w:p>
              </w:tc>
            </w:tr>
            <w:tr w:rsidR="00883E1F" w:rsidRPr="00996EC2" w14:paraId="44F61010"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07CC25D"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D392966"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14:paraId="0A63712E"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ED2FFC5" w14:textId="77777777"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56488374" wp14:editId="36E7D035">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FAAE6C1" w14:textId="77777777" w:rsidR="00883E1F" w:rsidRPr="00996EC2" w:rsidRDefault="00540879" w:rsidP="00540879">
                  <w:pPr>
                    <w:pStyle w:val="aff0"/>
                  </w:pPr>
                  <w:r>
                    <w:rPr>
                      <w:rFonts w:hint="eastAsia"/>
                    </w:rPr>
                    <w:t xml:space="preserve">SAC </w:t>
                  </w:r>
                  <w:r>
                    <w:rPr>
                      <w:rFonts w:hint="eastAsia"/>
                    </w:rPr>
                    <w:t>执证号：</w:t>
                  </w:r>
                  <w:r>
                    <w:rPr>
                      <w:rFonts w:hint="eastAsia"/>
                    </w:rPr>
                    <w:t>S0260517080003</w:t>
                  </w:r>
                </w:p>
              </w:tc>
            </w:tr>
            <w:tr w:rsidR="00883E1F" w:rsidRPr="00996EC2" w14:paraId="3A591856"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3F996F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762B5DA3" wp14:editId="78B434FE">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3920CCAF"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14:paraId="3B837A3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07076F0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61DB00" wp14:editId="291B6A0A">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33AA2C7"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14:paraId="5A299A06"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DF48C9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9C232F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14:paraId="2E6D6902"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0906BACA"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1BBFCFB6" wp14:editId="289036EF">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2388C5B" w14:textId="77777777" w:rsidR="00540879" w:rsidRPr="00996EC2" w:rsidRDefault="00540879" w:rsidP="00540879">
                  <w:pPr>
                    <w:pStyle w:val="aff0"/>
                  </w:pPr>
                  <w:r>
                    <w:rPr>
                      <w:rFonts w:hint="eastAsia"/>
                    </w:rPr>
                    <w:t xml:space="preserve">SAC </w:t>
                  </w:r>
                  <w:r>
                    <w:rPr>
                      <w:rFonts w:hint="eastAsia"/>
                    </w:rPr>
                    <w:t>执证号：</w:t>
                  </w:r>
                  <w:r>
                    <w:rPr>
                      <w:rFonts w:hint="eastAsia"/>
                    </w:rPr>
                    <w:t>S0260511010004</w:t>
                  </w:r>
                </w:p>
              </w:tc>
            </w:tr>
            <w:tr w:rsidR="00540879" w:rsidRPr="00996EC2" w14:paraId="7E6D03AF"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662456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F98430B" wp14:editId="4F50DD21">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730E15F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14:paraId="50F041AD"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7334CE2"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6C40168C" wp14:editId="71ADF7B6">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6193AC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14:paraId="674D217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C1466D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25B9E32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安宁宁</w:t>
                  </w:r>
                </w:p>
              </w:tc>
            </w:tr>
            <w:tr w:rsidR="00540879" w:rsidRPr="00996EC2" w14:paraId="46A74AEC"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1509D68F"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A04EEE3" wp14:editId="6A4D5859">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3578D6E2" w14:textId="77777777" w:rsidR="00540879" w:rsidRDefault="00540879" w:rsidP="00540879">
                  <w:pPr>
                    <w:pStyle w:val="aff0"/>
                  </w:pPr>
                  <w:r>
                    <w:rPr>
                      <w:rFonts w:hint="eastAsia"/>
                    </w:rPr>
                    <w:t xml:space="preserve">SAC </w:t>
                  </w:r>
                  <w:r>
                    <w:rPr>
                      <w:rFonts w:hint="eastAsia"/>
                    </w:rPr>
                    <w:t>执证号：</w:t>
                  </w:r>
                  <w:r>
                    <w:rPr>
                      <w:rFonts w:hint="eastAsia"/>
                    </w:rPr>
                    <w:t>S0260512020003</w:t>
                  </w:r>
                </w:p>
                <w:p w14:paraId="77D87902" w14:textId="77777777" w:rsidR="00540879" w:rsidRPr="00996EC2" w:rsidRDefault="00540879" w:rsidP="00540879">
                  <w:pPr>
                    <w:pStyle w:val="aff0"/>
                  </w:pPr>
                  <w:r>
                    <w:t>SFC CE No. BNW179</w:t>
                  </w:r>
                </w:p>
              </w:tc>
            </w:tr>
            <w:tr w:rsidR="00540879" w:rsidRPr="00996EC2" w14:paraId="5C29777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1AF209B1"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433F06" wp14:editId="12D5AA37">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526A897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14:paraId="5A802DEE"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DD9287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29EFBC13" wp14:editId="6D0EF24D">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EF2FA7B"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14:paraId="71356FC4"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3510" w:type="dxa"/>
                  <w:gridSpan w:val="2"/>
                  <w:shd w:val="clear" w:color="auto" w:fill="auto"/>
                  <w:vAlign w:val="center"/>
                </w:tcPr>
                <w:p w14:paraId="026ED6DC" w14:textId="77777777" w:rsidR="00540879" w:rsidRPr="00996EC2" w:rsidRDefault="00540879" w:rsidP="00540879">
                  <w:pPr>
                    <w:pStyle w:val="aff"/>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14:paraId="2A0D94BD"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14:paraId="096B1421" w14:textId="77777777" w:rsidTr="00B9063D">
              <w:trPr>
                <w:trHeight w:hRule="exact" w:val="23"/>
                <w:jc w:val="right"/>
              </w:trPr>
              <w:tc>
                <w:tcPr>
                  <w:tcW w:w="3510" w:type="dxa"/>
                  <w:gridSpan w:val="2"/>
                  <w:tcBorders>
                    <w:bottom w:val="single" w:sz="4" w:space="0" w:color="1F497D" w:themeColor="text2"/>
                  </w:tcBorders>
                  <w:shd w:val="clear" w:color="auto" w:fill="FFFFFF" w:themeFill="background1"/>
                  <w:vAlign w:val="bottom"/>
                </w:tcPr>
                <w:p w14:paraId="660FDBAB" w14:textId="77777777"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w:t>
                  </w:r>
                  <w:proofErr w:type="spellStart"/>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roofErr w:type="spellEnd"/>
                  <w:r w:rsidRPr="00996EC2">
                    <w:rPr>
                      <w:rFonts w:ascii="Arial" w:eastAsia="楷体_GB2312" w:hAnsi="Arial"/>
                      <w:sz w:val="15"/>
                      <w:szCs w:val="15"/>
                    </w:rPr>
                    <w:t>]</w:t>
                  </w:r>
                </w:p>
              </w:tc>
            </w:tr>
            <w:tr w:rsidR="00883E1F" w:rsidRPr="00996EC2" w14:paraId="6D01D5BB" w14:textId="77777777" w:rsidTr="00B9063D">
              <w:trPr>
                <w:trHeight w:val="247"/>
                <w:jc w:val="right"/>
              </w:trPr>
              <w:tc>
                <w:tcPr>
                  <w:tcW w:w="3510" w:type="dxa"/>
                  <w:gridSpan w:val="2"/>
                  <w:tcBorders>
                    <w:bottom w:val="single" w:sz="4" w:space="0" w:color="1F497D" w:themeColor="text2"/>
                  </w:tcBorders>
                  <w:shd w:val="clear" w:color="auto" w:fill="FFFFFF" w:themeFill="background1"/>
                  <w:vAlign w:val="bottom"/>
                </w:tcPr>
                <w:p w14:paraId="6BEFE3C4" w14:textId="77777777"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14:paraId="3D508D89" w14:textId="77777777" w:rsidTr="00540879">
              <w:trPr>
                <w:trHeight w:val="20"/>
                <w:jc w:val="right"/>
              </w:trPr>
              <w:tc>
                <w:tcPr>
                  <w:tcW w:w="2518" w:type="dxa"/>
                  <w:tcBorders>
                    <w:top w:val="single" w:sz="4" w:space="0" w:color="1F497D" w:themeColor="text2"/>
                  </w:tcBorders>
                  <w:shd w:val="clear" w:color="auto" w:fill="auto"/>
                </w:tcPr>
                <w:p w14:paraId="7A7146C3"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14:paraId="66B4B354" w14:textId="77777777"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14:paraId="5A3C6465" w14:textId="77777777" w:rsidTr="00540879">
              <w:trPr>
                <w:trHeight w:val="20"/>
                <w:jc w:val="right"/>
              </w:trPr>
              <w:tc>
                <w:tcPr>
                  <w:tcW w:w="2518" w:type="dxa"/>
                  <w:shd w:val="clear" w:color="auto" w:fill="auto"/>
                </w:tcPr>
                <w:p w14:paraId="5652897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14:paraId="376FE1F6" w14:textId="77777777"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14:paraId="59E46236"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3510"/>
            </w:tblGrid>
            <w:tr w:rsidR="00883E1F" w:rsidRPr="00996EC2" w14:paraId="5FEDCDDA" w14:textId="77777777" w:rsidTr="00B9063D">
              <w:trPr>
                <w:trHeight w:hRule="exact" w:val="23"/>
                <w:jc w:val="right"/>
              </w:trPr>
              <w:tc>
                <w:tcPr>
                  <w:tcW w:w="3510" w:type="dxa"/>
                  <w:shd w:val="clear" w:color="auto" w:fill="auto"/>
                  <w:vAlign w:val="center"/>
                </w:tcPr>
                <w:p w14:paraId="2998A48F" w14:textId="77777777"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proofErr w:type="spellStart"/>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roofErr w:type="spellEnd"/>
                  <w:r w:rsidRPr="00996EC2">
                    <w:rPr>
                      <w:rFonts w:ascii="Arial" w:eastAsia="楷体_GB2312" w:hAnsi="Arial" w:hint="eastAsia"/>
                      <w:color w:val="FFFFFF" w:themeColor="background1"/>
                      <w:sz w:val="15"/>
                      <w:szCs w:val="15"/>
                      <w:lang w:eastAsia="zh-CN"/>
                    </w:rPr>
                    <w:t>]</w:t>
                  </w:r>
                </w:p>
              </w:tc>
            </w:tr>
          </w:tbl>
          <w:p w14:paraId="54E2E75A" w14:textId="77777777" w:rsidR="00CE3057" w:rsidRDefault="00CE3057" w:rsidP="00170B96">
            <w:pPr>
              <w:ind w:rightChars="58" w:right="139"/>
              <w:rPr>
                <w:rFonts w:ascii="Arial" w:eastAsia="楷体_GB2312" w:hAnsi="Arial" w:cs="Arial"/>
                <w:color w:val="FF0000"/>
                <w:sz w:val="21"/>
                <w:szCs w:val="28"/>
                <w:lang w:eastAsia="zh-CN"/>
              </w:rPr>
            </w:pPr>
          </w:p>
        </w:tc>
      </w:tr>
    </w:tbl>
    <w:p w14:paraId="63846FC5" w14:textId="77777777" w:rsidR="00C13789" w:rsidRDefault="00FD1A9C" w:rsidP="00DE16E1">
      <w:pPr>
        <w:pStyle w:val="ae"/>
        <w:spacing w:line="80" w:lineRule="exact"/>
        <w:ind w:left="3017"/>
        <w:rPr>
          <w:lang w:eastAsia="zh-CN"/>
        </w:rPr>
      </w:pPr>
      <w:r>
        <w:br w:type="page"/>
      </w:r>
      <w:bookmarkStart w:id="0" w:name="_Toc319605073"/>
    </w:p>
    <w:p w14:paraId="6AC0D3BF" w14:textId="77777777" w:rsidR="000646CE" w:rsidRDefault="000646CE" w:rsidP="00B9063D">
      <w:pPr>
        <w:widowControl/>
        <w:ind w:leftChars="1284" w:left="3082"/>
        <w:rPr>
          <w:rFonts w:eastAsia="楷体_GB2312"/>
          <w:b/>
          <w:bCs/>
          <w:color w:val="0F243E" w:themeColor="text2" w:themeShade="80"/>
          <w:kern w:val="0"/>
          <w:sz w:val="32"/>
          <w:szCs w:val="40"/>
          <w:lang w:eastAsia="zh-CN"/>
        </w:rPr>
        <w:sectPr w:rsidR="000646CE" w:rsidSect="00267FF4">
          <w:headerReference w:type="default" r:id="rId31"/>
          <w:footerReference w:type="default" r:id="rId32"/>
          <w:headerReference w:type="first" r:id="rId33"/>
          <w:footerReference w:type="first" r:id="rId34"/>
          <w:type w:val="continuous"/>
          <w:pgSz w:w="11906" w:h="16838" w:code="9"/>
          <w:pgMar w:top="1134" w:right="641" w:bottom="720" w:left="635" w:header="794" w:footer="737" w:gutter="0"/>
          <w:cols w:space="142"/>
          <w:titlePg/>
          <w:docGrid w:type="lines" w:linePitch="326"/>
        </w:sectPr>
      </w:pPr>
    </w:p>
    <w:p w14:paraId="028837E8" w14:textId="77777777"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14:paraId="3ED579E0"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14:paraId="35D22814" w14:textId="0277D31A" w:rsidR="004D7F4B" w:rsidRDefault="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rStyle w:val="ab"/>
          <w:rFonts w:ascii="Times New Roman" w:eastAsia="楷体_GB2312" w:hAnsi="Times New Roman" w:cs="Times New Roman"/>
          <w:b w:val="0"/>
          <w:color w:val="0F243E" w:themeColor="text2" w:themeShade="80"/>
          <w:sz w:val="24"/>
          <w:szCs w:val="24"/>
        </w:rPr>
        <w:fldChar w:fldCharType="begin"/>
      </w:r>
      <w:r>
        <w:rPr>
          <w:rStyle w:val="ab"/>
          <w:rFonts w:ascii="Times New Roman" w:eastAsia="楷体_GB2312" w:hAnsi="Times New Roman" w:cs="Times New Roman"/>
          <w:b w:val="0"/>
          <w:color w:val="0F243E" w:themeColor="text2" w:themeShade="80"/>
          <w:sz w:val="24"/>
          <w:szCs w:val="24"/>
          <w:lang w:eastAsia="zh-CN"/>
        </w:rPr>
        <w:instrText xml:space="preserve"> TOC \o "1-3" \u </w:instrText>
      </w:r>
      <w:r>
        <w:rPr>
          <w:rStyle w:val="ab"/>
          <w:rFonts w:ascii="Times New Roman" w:eastAsia="楷体_GB2312" w:hAnsi="Times New Roman" w:cs="Times New Roman"/>
          <w:b w:val="0"/>
          <w:color w:val="0F243E" w:themeColor="text2" w:themeShade="80"/>
          <w:sz w:val="24"/>
          <w:szCs w:val="24"/>
        </w:rPr>
        <w:fldChar w:fldCharType="separate"/>
      </w:r>
      <w:r w:rsidR="004D7F4B">
        <w:rPr>
          <w:noProof/>
          <w:lang w:eastAsia="zh-CN"/>
        </w:rPr>
        <w:t>一、基金业绩评价基准的定义</w:t>
      </w:r>
      <w:r w:rsidR="004D7F4B">
        <w:rPr>
          <w:noProof/>
          <w:lang w:eastAsia="zh-CN"/>
        </w:rPr>
        <w:tab/>
      </w:r>
      <w:r w:rsidR="004D7F4B">
        <w:rPr>
          <w:noProof/>
        </w:rPr>
        <w:fldChar w:fldCharType="begin"/>
      </w:r>
      <w:r w:rsidR="004D7F4B">
        <w:rPr>
          <w:noProof/>
          <w:lang w:eastAsia="zh-CN"/>
        </w:rPr>
        <w:instrText xml:space="preserve"> PAGEREF _Toc65798985 \h </w:instrText>
      </w:r>
      <w:r w:rsidR="004D7F4B">
        <w:rPr>
          <w:noProof/>
        </w:rPr>
      </w:r>
      <w:r w:rsidR="004D7F4B">
        <w:rPr>
          <w:noProof/>
        </w:rPr>
        <w:fldChar w:fldCharType="separate"/>
      </w:r>
      <w:r w:rsidR="004D7F4B">
        <w:rPr>
          <w:noProof/>
          <w:lang w:eastAsia="zh-CN"/>
        </w:rPr>
        <w:t>4</w:t>
      </w:r>
      <w:r w:rsidR="004D7F4B">
        <w:rPr>
          <w:noProof/>
        </w:rPr>
        <w:fldChar w:fldCharType="end"/>
      </w:r>
    </w:p>
    <w:p w14:paraId="5A585C62" w14:textId="4A97423F" w:rsidR="004D7F4B" w:rsidRDefault="004D7F4B">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二、基准组合的适用性评价</w:t>
      </w:r>
      <w:r>
        <w:rPr>
          <w:noProof/>
          <w:lang w:eastAsia="zh-CN"/>
        </w:rPr>
        <w:tab/>
      </w:r>
      <w:r>
        <w:rPr>
          <w:noProof/>
        </w:rPr>
        <w:fldChar w:fldCharType="begin"/>
      </w:r>
      <w:r>
        <w:rPr>
          <w:noProof/>
          <w:lang w:eastAsia="zh-CN"/>
        </w:rPr>
        <w:instrText xml:space="preserve"> PAGEREF _Toc65798986 \h </w:instrText>
      </w:r>
      <w:r>
        <w:rPr>
          <w:noProof/>
        </w:rPr>
      </w:r>
      <w:r>
        <w:rPr>
          <w:noProof/>
        </w:rPr>
        <w:fldChar w:fldCharType="separate"/>
      </w:r>
      <w:r>
        <w:rPr>
          <w:noProof/>
          <w:lang w:eastAsia="zh-CN"/>
        </w:rPr>
        <w:t>4</w:t>
      </w:r>
      <w:r>
        <w:rPr>
          <w:noProof/>
        </w:rPr>
        <w:fldChar w:fldCharType="end"/>
      </w:r>
    </w:p>
    <w:p w14:paraId="0ADD02A2" w14:textId="125E357F" w:rsidR="004D7F4B" w:rsidRDefault="004D7F4B">
      <w:pPr>
        <w:pStyle w:val="TOC2"/>
        <w:ind w:left="2880"/>
        <w:rPr>
          <w:rFonts w:asciiTheme="minorHAnsi" w:eastAsiaTheme="minorEastAsia" w:hAnsiTheme="minorHAnsi" w:cstheme="minorBidi"/>
          <w:smallCaps w:val="0"/>
          <w:szCs w:val="22"/>
          <w:lang w:eastAsia="zh-CN"/>
        </w:rPr>
      </w:pPr>
      <w:r>
        <w:rPr>
          <w:lang w:eastAsia="zh-CN"/>
        </w:rPr>
        <w:t>（一）业绩评价基准的特征</w:t>
      </w:r>
      <w:r>
        <w:rPr>
          <w:lang w:eastAsia="zh-CN"/>
        </w:rPr>
        <w:tab/>
      </w:r>
      <w:r>
        <w:fldChar w:fldCharType="begin"/>
      </w:r>
      <w:r>
        <w:rPr>
          <w:lang w:eastAsia="zh-CN"/>
        </w:rPr>
        <w:instrText xml:space="preserve"> PAGEREF _Toc65798987 \h </w:instrText>
      </w:r>
      <w:r>
        <w:fldChar w:fldCharType="separate"/>
      </w:r>
      <w:r>
        <w:rPr>
          <w:lang w:eastAsia="zh-CN"/>
        </w:rPr>
        <w:t>4</w:t>
      </w:r>
      <w:r>
        <w:fldChar w:fldCharType="end"/>
      </w:r>
    </w:p>
    <w:p w14:paraId="5BBAAAF6" w14:textId="79E292FB" w:rsidR="004D7F4B" w:rsidRDefault="004D7F4B">
      <w:pPr>
        <w:pStyle w:val="TOC2"/>
        <w:ind w:left="2880"/>
        <w:rPr>
          <w:rFonts w:asciiTheme="minorHAnsi" w:eastAsiaTheme="minorEastAsia" w:hAnsiTheme="minorHAnsi" w:cstheme="minorBidi"/>
          <w:smallCaps w:val="0"/>
          <w:szCs w:val="22"/>
          <w:lang w:eastAsia="zh-CN"/>
        </w:rPr>
      </w:pPr>
      <w:r>
        <w:rPr>
          <w:lang w:eastAsia="zh-CN"/>
        </w:rPr>
        <w:t>（二）正交属性检测基金业绩评价基准的适用性</w:t>
      </w:r>
      <w:r>
        <w:rPr>
          <w:lang w:eastAsia="zh-CN"/>
        </w:rPr>
        <w:tab/>
      </w:r>
      <w:r>
        <w:fldChar w:fldCharType="begin"/>
      </w:r>
      <w:r>
        <w:rPr>
          <w:lang w:eastAsia="zh-CN"/>
        </w:rPr>
        <w:instrText xml:space="preserve"> PAGEREF _Toc65798988 \h </w:instrText>
      </w:r>
      <w:r>
        <w:fldChar w:fldCharType="separate"/>
      </w:r>
      <w:r>
        <w:rPr>
          <w:lang w:eastAsia="zh-CN"/>
        </w:rPr>
        <w:t>5</w:t>
      </w:r>
      <w:r>
        <w:fldChar w:fldCharType="end"/>
      </w:r>
    </w:p>
    <w:p w14:paraId="233D7C5B" w14:textId="148F5884" w:rsidR="004D7F4B" w:rsidRDefault="004D7F4B">
      <w:pPr>
        <w:pStyle w:val="TOC2"/>
        <w:ind w:left="2880"/>
        <w:rPr>
          <w:rFonts w:asciiTheme="minorHAnsi" w:eastAsiaTheme="minorEastAsia" w:hAnsiTheme="minorHAnsi" w:cstheme="minorBidi"/>
          <w:smallCaps w:val="0"/>
          <w:szCs w:val="22"/>
          <w:lang w:eastAsia="zh-CN"/>
        </w:rPr>
      </w:pPr>
      <w:r>
        <w:rPr>
          <w:lang w:eastAsia="zh-CN"/>
        </w:rPr>
        <w:t>（三）从基金业绩归因中评估业绩评价基准选择的影响</w:t>
      </w:r>
      <w:r>
        <w:rPr>
          <w:lang w:eastAsia="zh-CN"/>
        </w:rPr>
        <w:tab/>
      </w:r>
      <w:r>
        <w:fldChar w:fldCharType="begin"/>
      </w:r>
      <w:r>
        <w:rPr>
          <w:lang w:eastAsia="zh-CN"/>
        </w:rPr>
        <w:instrText xml:space="preserve"> PAGEREF _Toc65798989 \h </w:instrText>
      </w:r>
      <w:r>
        <w:fldChar w:fldCharType="separate"/>
      </w:r>
      <w:r>
        <w:rPr>
          <w:lang w:eastAsia="zh-CN"/>
        </w:rPr>
        <w:t>6</w:t>
      </w:r>
      <w:r>
        <w:fldChar w:fldCharType="end"/>
      </w:r>
    </w:p>
    <w:p w14:paraId="08D8727F" w14:textId="6AF20018" w:rsidR="004D7F4B" w:rsidRDefault="004D7F4B">
      <w:pPr>
        <w:pStyle w:val="TOC2"/>
        <w:ind w:left="2880"/>
        <w:rPr>
          <w:rFonts w:asciiTheme="minorHAnsi" w:eastAsiaTheme="minorEastAsia" w:hAnsiTheme="minorHAnsi" w:cstheme="minorBidi"/>
          <w:smallCaps w:val="0"/>
          <w:szCs w:val="22"/>
          <w:lang w:eastAsia="zh-CN"/>
        </w:rPr>
      </w:pPr>
      <w:r>
        <w:rPr>
          <w:lang w:eastAsia="zh-CN"/>
        </w:rPr>
        <w:t>（四）债券型基金业绩评价基准的选择</w:t>
      </w:r>
      <w:r>
        <w:rPr>
          <w:lang w:eastAsia="zh-CN"/>
        </w:rPr>
        <w:tab/>
      </w:r>
      <w:r>
        <w:fldChar w:fldCharType="begin"/>
      </w:r>
      <w:r>
        <w:rPr>
          <w:lang w:eastAsia="zh-CN"/>
        </w:rPr>
        <w:instrText xml:space="preserve"> PAGEREF _Toc65798990 \h </w:instrText>
      </w:r>
      <w:r>
        <w:fldChar w:fldCharType="separate"/>
      </w:r>
      <w:r>
        <w:rPr>
          <w:lang w:eastAsia="zh-CN"/>
        </w:rPr>
        <w:t>8</w:t>
      </w:r>
      <w:r>
        <w:fldChar w:fldCharType="end"/>
      </w:r>
    </w:p>
    <w:p w14:paraId="72AD37E4" w14:textId="6D10BA18" w:rsidR="004D7F4B" w:rsidRDefault="004D7F4B">
      <w:pPr>
        <w:pStyle w:val="TOC2"/>
        <w:ind w:left="2880"/>
        <w:rPr>
          <w:rFonts w:asciiTheme="minorHAnsi" w:eastAsiaTheme="minorEastAsia" w:hAnsiTheme="minorHAnsi" w:cstheme="minorBidi"/>
          <w:smallCaps w:val="0"/>
          <w:szCs w:val="22"/>
          <w:lang w:eastAsia="zh-CN"/>
        </w:rPr>
      </w:pPr>
      <w:r>
        <w:rPr>
          <w:lang w:eastAsia="zh-CN"/>
        </w:rPr>
        <w:t>（五）期权基金业绩评价基准的选择</w:t>
      </w:r>
      <w:r>
        <w:rPr>
          <w:lang w:eastAsia="zh-CN"/>
        </w:rPr>
        <w:tab/>
      </w:r>
      <w:r>
        <w:fldChar w:fldCharType="begin"/>
      </w:r>
      <w:r>
        <w:rPr>
          <w:lang w:eastAsia="zh-CN"/>
        </w:rPr>
        <w:instrText xml:space="preserve"> PAGEREF _Toc65798991 \h </w:instrText>
      </w:r>
      <w:r>
        <w:fldChar w:fldCharType="separate"/>
      </w:r>
      <w:r>
        <w:rPr>
          <w:lang w:eastAsia="zh-CN"/>
        </w:rPr>
        <w:t>8</w:t>
      </w:r>
      <w:r>
        <w:fldChar w:fldCharType="end"/>
      </w:r>
    </w:p>
    <w:p w14:paraId="7A462A26" w14:textId="58D30F4F" w:rsidR="004D7F4B" w:rsidRDefault="004D7F4B">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三、中国市场常见的基金业绩比较基准</w:t>
      </w:r>
      <w:r>
        <w:rPr>
          <w:noProof/>
          <w:lang w:eastAsia="zh-CN"/>
        </w:rPr>
        <w:tab/>
      </w:r>
      <w:r>
        <w:rPr>
          <w:noProof/>
        </w:rPr>
        <w:fldChar w:fldCharType="begin"/>
      </w:r>
      <w:r>
        <w:rPr>
          <w:noProof/>
          <w:lang w:eastAsia="zh-CN"/>
        </w:rPr>
        <w:instrText xml:space="preserve"> PAGEREF _Toc65798992 \h </w:instrText>
      </w:r>
      <w:r>
        <w:rPr>
          <w:noProof/>
        </w:rPr>
      </w:r>
      <w:r>
        <w:rPr>
          <w:noProof/>
        </w:rPr>
        <w:fldChar w:fldCharType="separate"/>
      </w:r>
      <w:r>
        <w:rPr>
          <w:noProof/>
          <w:lang w:eastAsia="zh-CN"/>
        </w:rPr>
        <w:t>9</w:t>
      </w:r>
      <w:r>
        <w:rPr>
          <w:noProof/>
        </w:rPr>
        <w:fldChar w:fldCharType="end"/>
      </w:r>
    </w:p>
    <w:p w14:paraId="70CBEB9D" w14:textId="7C93199D" w:rsidR="004D7F4B" w:rsidRDefault="004D7F4B">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四、风险提示</w:t>
      </w:r>
      <w:r>
        <w:rPr>
          <w:noProof/>
        </w:rPr>
        <w:tab/>
      </w:r>
      <w:r>
        <w:rPr>
          <w:noProof/>
        </w:rPr>
        <w:fldChar w:fldCharType="begin"/>
      </w:r>
      <w:r>
        <w:rPr>
          <w:noProof/>
        </w:rPr>
        <w:instrText xml:space="preserve"> PAGEREF _Toc65798993 \h </w:instrText>
      </w:r>
      <w:r>
        <w:rPr>
          <w:noProof/>
        </w:rPr>
      </w:r>
      <w:r>
        <w:rPr>
          <w:noProof/>
        </w:rPr>
        <w:fldChar w:fldCharType="separate"/>
      </w:r>
      <w:r>
        <w:rPr>
          <w:noProof/>
        </w:rPr>
        <w:t>19</w:t>
      </w:r>
      <w:r>
        <w:rPr>
          <w:noProof/>
        </w:rPr>
        <w:fldChar w:fldCharType="end"/>
      </w:r>
    </w:p>
    <w:p w14:paraId="004FDD4C" w14:textId="5A1AD0F5" w:rsidR="00742EE3" w:rsidRPr="000D33F4" w:rsidRDefault="00742EE3" w:rsidP="00742EE3">
      <w:pPr>
        <w:pStyle w:val="ae"/>
        <w:ind w:left="3017"/>
        <w:rPr>
          <w:rStyle w:val="ab"/>
          <w:rFonts w:ascii="Times New Roman" w:eastAsia="楷体_GB2312" w:hAnsi="Times New Roman" w:cs="Times New Roman"/>
          <w:b w:val="0"/>
          <w:color w:val="0F243E" w:themeColor="text2" w:themeShade="80"/>
          <w:sz w:val="24"/>
          <w:szCs w:val="24"/>
          <w:lang w:eastAsia="zh-CN"/>
        </w:rPr>
      </w:pPr>
      <w:r>
        <w:rPr>
          <w:rStyle w:val="ab"/>
          <w:rFonts w:ascii="Times New Roman" w:eastAsia="楷体_GB2312" w:hAnsi="Times New Roman" w:cs="Times New Roman"/>
          <w:b w:val="0"/>
          <w:color w:val="0F243E" w:themeColor="text2" w:themeShade="80"/>
          <w:sz w:val="24"/>
          <w:szCs w:val="24"/>
        </w:rPr>
        <w:fldChar w:fldCharType="end"/>
      </w:r>
    </w:p>
    <w:p w14:paraId="12E956A6" w14:textId="77777777" w:rsidR="00742EE3" w:rsidRPr="00CB27DC" w:rsidRDefault="00742EE3" w:rsidP="00742EE3">
      <w:pPr>
        <w:pStyle w:val="ae"/>
        <w:ind w:left="3017"/>
        <w:rPr>
          <w:color w:val="0F243E" w:themeColor="text2" w:themeShade="80"/>
          <w:sz w:val="18"/>
          <w:szCs w:val="18"/>
          <w:lang w:eastAsia="zh-CN"/>
        </w:rPr>
      </w:pPr>
      <w:r w:rsidRPr="00CB27DC">
        <w:rPr>
          <w:rStyle w:val="ab"/>
          <w:rFonts w:ascii="Times New Roman" w:eastAsia="楷体_GB2312" w:hAnsi="Times New Roman" w:cs="Times New Roman"/>
          <w:color w:val="0F243E" w:themeColor="text2" w:themeShade="80"/>
          <w:lang w:eastAsia="zh-CN"/>
        </w:rPr>
        <w:br w:type="page"/>
      </w:r>
    </w:p>
    <w:p w14:paraId="1CADCDF7"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14:paraId="52C32C4A"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lang w:eastAsia="zh-CN"/>
        </w:rPr>
        <w:t>图表索引</w:t>
      </w:r>
    </w:p>
    <w:bookmarkStart w:id="1" w:name="_Toc319606275"/>
    <w:p w14:paraId="6EE6BCDE" w14:textId="22B40F17" w:rsidR="004D7F4B" w:rsidRDefault="00742EE3">
      <w:pPr>
        <w:pStyle w:val="ad"/>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65798996" w:history="1">
        <w:r w:rsidR="004D7F4B" w:rsidRPr="00ED3CDC">
          <w:rPr>
            <w:rStyle w:val="ac"/>
            <w:noProof/>
          </w:rPr>
          <w:t>图</w:t>
        </w:r>
        <w:r w:rsidR="004D7F4B" w:rsidRPr="00ED3CDC">
          <w:rPr>
            <w:rStyle w:val="ac"/>
            <w:noProof/>
          </w:rPr>
          <w:t xml:space="preserve"> 1</w:t>
        </w:r>
        <w:r w:rsidR="004D7F4B" w:rsidRPr="00ED3CDC">
          <w:rPr>
            <w:rStyle w:val="ac"/>
            <w:noProof/>
          </w:rPr>
          <w:t>：包括基准选择的四维度业绩归因分析</w:t>
        </w:r>
        <w:r w:rsidR="004D7F4B">
          <w:rPr>
            <w:noProof/>
            <w:webHidden/>
          </w:rPr>
          <w:tab/>
        </w:r>
        <w:r w:rsidR="004D7F4B">
          <w:rPr>
            <w:noProof/>
            <w:webHidden/>
          </w:rPr>
          <w:fldChar w:fldCharType="begin"/>
        </w:r>
        <w:r w:rsidR="004D7F4B">
          <w:rPr>
            <w:noProof/>
            <w:webHidden/>
          </w:rPr>
          <w:instrText xml:space="preserve"> PAGEREF _Toc65798996 \h </w:instrText>
        </w:r>
        <w:r w:rsidR="004D7F4B">
          <w:rPr>
            <w:noProof/>
            <w:webHidden/>
          </w:rPr>
        </w:r>
        <w:r w:rsidR="004D7F4B">
          <w:rPr>
            <w:noProof/>
            <w:webHidden/>
          </w:rPr>
          <w:fldChar w:fldCharType="separate"/>
        </w:r>
        <w:r w:rsidR="004D7F4B">
          <w:rPr>
            <w:noProof/>
            <w:webHidden/>
          </w:rPr>
          <w:t>6</w:t>
        </w:r>
        <w:r w:rsidR="004D7F4B">
          <w:rPr>
            <w:noProof/>
            <w:webHidden/>
          </w:rPr>
          <w:fldChar w:fldCharType="end"/>
        </w:r>
      </w:hyperlink>
    </w:p>
    <w:p w14:paraId="24E891C0" w14:textId="6568642B"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8997" w:history="1">
        <w:r w:rsidR="004D7F4B" w:rsidRPr="00ED3CDC">
          <w:rPr>
            <w:rStyle w:val="ac"/>
            <w:noProof/>
          </w:rPr>
          <w:t>图</w:t>
        </w:r>
        <w:r w:rsidR="004D7F4B" w:rsidRPr="00ED3CDC">
          <w:rPr>
            <w:rStyle w:val="ac"/>
            <w:noProof/>
          </w:rPr>
          <w:t xml:space="preserve"> 2</w:t>
        </w:r>
        <w:r w:rsidR="004D7F4B" w:rsidRPr="00ED3CDC">
          <w:rPr>
            <w:rStyle w:val="ac"/>
            <w:noProof/>
          </w:rPr>
          <w:t>：中国基金</w:t>
        </w:r>
        <w:r w:rsidR="004D7F4B" w:rsidRPr="00ED3CDC">
          <w:rPr>
            <w:rStyle w:val="ac"/>
            <w:noProof/>
          </w:rPr>
          <w:t>Wind</w:t>
        </w:r>
        <w:r w:rsidR="004D7F4B" w:rsidRPr="00ED3CDC">
          <w:rPr>
            <w:rStyle w:val="ac"/>
            <w:noProof/>
          </w:rPr>
          <w:t>一级分类情况</w:t>
        </w:r>
        <w:r w:rsidR="004D7F4B">
          <w:rPr>
            <w:noProof/>
            <w:webHidden/>
          </w:rPr>
          <w:tab/>
        </w:r>
        <w:r w:rsidR="004D7F4B">
          <w:rPr>
            <w:noProof/>
            <w:webHidden/>
          </w:rPr>
          <w:fldChar w:fldCharType="begin"/>
        </w:r>
        <w:r w:rsidR="004D7F4B">
          <w:rPr>
            <w:noProof/>
            <w:webHidden/>
          </w:rPr>
          <w:instrText xml:space="preserve"> PAGEREF _Toc65798997 \h </w:instrText>
        </w:r>
        <w:r w:rsidR="004D7F4B">
          <w:rPr>
            <w:noProof/>
            <w:webHidden/>
          </w:rPr>
        </w:r>
        <w:r w:rsidR="004D7F4B">
          <w:rPr>
            <w:noProof/>
            <w:webHidden/>
          </w:rPr>
          <w:fldChar w:fldCharType="separate"/>
        </w:r>
        <w:r w:rsidR="004D7F4B">
          <w:rPr>
            <w:noProof/>
            <w:webHidden/>
          </w:rPr>
          <w:t>9</w:t>
        </w:r>
        <w:r w:rsidR="004D7F4B">
          <w:rPr>
            <w:noProof/>
            <w:webHidden/>
          </w:rPr>
          <w:fldChar w:fldCharType="end"/>
        </w:r>
      </w:hyperlink>
    </w:p>
    <w:p w14:paraId="092C4B65" w14:textId="7438D096"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8998" w:history="1">
        <w:r w:rsidR="004D7F4B" w:rsidRPr="00ED3CDC">
          <w:rPr>
            <w:rStyle w:val="ac"/>
            <w:noProof/>
          </w:rPr>
          <w:t>图</w:t>
        </w:r>
        <w:r w:rsidR="004D7F4B" w:rsidRPr="00ED3CDC">
          <w:rPr>
            <w:rStyle w:val="ac"/>
            <w:noProof/>
          </w:rPr>
          <w:t xml:space="preserve"> 3</w:t>
        </w:r>
        <w:r w:rsidR="004D7F4B" w:rsidRPr="00ED3CDC">
          <w:rPr>
            <w:rStyle w:val="ac"/>
            <w:noProof/>
          </w:rPr>
          <w:t>：中国基金</w:t>
        </w:r>
        <w:r w:rsidR="004D7F4B" w:rsidRPr="00ED3CDC">
          <w:rPr>
            <w:rStyle w:val="ac"/>
            <w:noProof/>
          </w:rPr>
          <w:t>Wind</w:t>
        </w:r>
        <w:r w:rsidR="004D7F4B" w:rsidRPr="00ED3CDC">
          <w:rPr>
            <w:rStyle w:val="ac"/>
            <w:noProof/>
          </w:rPr>
          <w:t>一级分类情况</w:t>
        </w:r>
        <w:r w:rsidR="004D7F4B">
          <w:rPr>
            <w:noProof/>
            <w:webHidden/>
          </w:rPr>
          <w:tab/>
        </w:r>
        <w:r w:rsidR="004D7F4B">
          <w:rPr>
            <w:noProof/>
            <w:webHidden/>
          </w:rPr>
          <w:fldChar w:fldCharType="begin"/>
        </w:r>
        <w:r w:rsidR="004D7F4B">
          <w:rPr>
            <w:noProof/>
            <w:webHidden/>
          </w:rPr>
          <w:instrText xml:space="preserve"> PAGEREF _Toc65798998 \h </w:instrText>
        </w:r>
        <w:r w:rsidR="004D7F4B">
          <w:rPr>
            <w:noProof/>
            <w:webHidden/>
          </w:rPr>
        </w:r>
        <w:r w:rsidR="004D7F4B">
          <w:rPr>
            <w:noProof/>
            <w:webHidden/>
          </w:rPr>
          <w:fldChar w:fldCharType="separate"/>
        </w:r>
        <w:r w:rsidR="004D7F4B">
          <w:rPr>
            <w:noProof/>
            <w:webHidden/>
          </w:rPr>
          <w:t>9</w:t>
        </w:r>
        <w:r w:rsidR="004D7F4B">
          <w:rPr>
            <w:noProof/>
            <w:webHidden/>
          </w:rPr>
          <w:fldChar w:fldCharType="end"/>
        </w:r>
      </w:hyperlink>
    </w:p>
    <w:p w14:paraId="0355109A" w14:textId="61F2A625"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8999" w:history="1">
        <w:r w:rsidR="004D7F4B" w:rsidRPr="00ED3CDC">
          <w:rPr>
            <w:rStyle w:val="ac"/>
            <w:noProof/>
          </w:rPr>
          <w:t>图</w:t>
        </w:r>
        <w:r w:rsidR="004D7F4B" w:rsidRPr="00ED3CDC">
          <w:rPr>
            <w:rStyle w:val="ac"/>
            <w:noProof/>
          </w:rPr>
          <w:t xml:space="preserve"> 4</w:t>
        </w:r>
        <w:r w:rsidR="004D7F4B" w:rsidRPr="00ED3CDC">
          <w:rPr>
            <w:rStyle w:val="ac"/>
            <w:noProof/>
          </w:rPr>
          <w:t>：中国基金</w:t>
        </w:r>
        <w:r w:rsidR="004D7F4B" w:rsidRPr="00ED3CDC">
          <w:rPr>
            <w:rStyle w:val="ac"/>
            <w:noProof/>
          </w:rPr>
          <w:t>Wind</w:t>
        </w:r>
        <w:r w:rsidR="004D7F4B" w:rsidRPr="00ED3CDC">
          <w:rPr>
            <w:rStyle w:val="ac"/>
            <w:noProof/>
          </w:rPr>
          <w:t>行业主题分类情况</w:t>
        </w:r>
        <w:r w:rsidR="004D7F4B">
          <w:rPr>
            <w:noProof/>
            <w:webHidden/>
          </w:rPr>
          <w:tab/>
        </w:r>
        <w:r w:rsidR="004D7F4B">
          <w:rPr>
            <w:noProof/>
            <w:webHidden/>
          </w:rPr>
          <w:fldChar w:fldCharType="begin"/>
        </w:r>
        <w:r w:rsidR="004D7F4B">
          <w:rPr>
            <w:noProof/>
            <w:webHidden/>
          </w:rPr>
          <w:instrText xml:space="preserve"> PAGEREF _Toc65798999 \h </w:instrText>
        </w:r>
        <w:r w:rsidR="004D7F4B">
          <w:rPr>
            <w:noProof/>
            <w:webHidden/>
          </w:rPr>
        </w:r>
        <w:r w:rsidR="004D7F4B">
          <w:rPr>
            <w:noProof/>
            <w:webHidden/>
          </w:rPr>
          <w:fldChar w:fldCharType="separate"/>
        </w:r>
        <w:r w:rsidR="004D7F4B">
          <w:rPr>
            <w:noProof/>
            <w:webHidden/>
          </w:rPr>
          <w:t>10</w:t>
        </w:r>
        <w:r w:rsidR="004D7F4B">
          <w:rPr>
            <w:noProof/>
            <w:webHidden/>
          </w:rPr>
          <w:fldChar w:fldCharType="end"/>
        </w:r>
      </w:hyperlink>
    </w:p>
    <w:p w14:paraId="716A8C2E" w14:textId="186E8D0A"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0" w:history="1">
        <w:r w:rsidR="004D7F4B" w:rsidRPr="00ED3CDC">
          <w:rPr>
            <w:rStyle w:val="ac"/>
            <w:noProof/>
          </w:rPr>
          <w:t>图</w:t>
        </w:r>
        <w:r w:rsidR="004D7F4B" w:rsidRPr="00ED3CDC">
          <w:rPr>
            <w:rStyle w:val="ac"/>
            <w:noProof/>
          </w:rPr>
          <w:t xml:space="preserve"> 5</w:t>
        </w:r>
        <w:r w:rsidR="004D7F4B" w:rsidRPr="00ED3CDC">
          <w:rPr>
            <w:rStyle w:val="ac"/>
            <w:noProof/>
          </w:rPr>
          <w:t>：偏股混合型基金所选第一基准对应的基金数目</w:t>
        </w:r>
        <w:r w:rsidR="004D7F4B">
          <w:rPr>
            <w:noProof/>
            <w:webHidden/>
          </w:rPr>
          <w:tab/>
        </w:r>
        <w:r w:rsidR="004D7F4B">
          <w:rPr>
            <w:noProof/>
            <w:webHidden/>
          </w:rPr>
          <w:fldChar w:fldCharType="begin"/>
        </w:r>
        <w:r w:rsidR="004D7F4B">
          <w:rPr>
            <w:noProof/>
            <w:webHidden/>
          </w:rPr>
          <w:instrText xml:space="preserve"> PAGEREF _Toc65799000 \h </w:instrText>
        </w:r>
        <w:r w:rsidR="004D7F4B">
          <w:rPr>
            <w:noProof/>
            <w:webHidden/>
          </w:rPr>
        </w:r>
        <w:r w:rsidR="004D7F4B">
          <w:rPr>
            <w:noProof/>
            <w:webHidden/>
          </w:rPr>
          <w:fldChar w:fldCharType="separate"/>
        </w:r>
        <w:r w:rsidR="004D7F4B">
          <w:rPr>
            <w:noProof/>
            <w:webHidden/>
          </w:rPr>
          <w:t>13</w:t>
        </w:r>
        <w:r w:rsidR="004D7F4B">
          <w:rPr>
            <w:noProof/>
            <w:webHidden/>
          </w:rPr>
          <w:fldChar w:fldCharType="end"/>
        </w:r>
      </w:hyperlink>
    </w:p>
    <w:p w14:paraId="1F90AF4F" w14:textId="587C50EE"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1" w:history="1">
        <w:r w:rsidR="004D7F4B" w:rsidRPr="00ED3CDC">
          <w:rPr>
            <w:rStyle w:val="ac"/>
            <w:noProof/>
          </w:rPr>
          <w:t>图</w:t>
        </w:r>
        <w:r w:rsidR="004D7F4B" w:rsidRPr="00ED3CDC">
          <w:rPr>
            <w:rStyle w:val="ac"/>
            <w:noProof/>
          </w:rPr>
          <w:t xml:space="preserve"> 6</w:t>
        </w:r>
        <w:r w:rsidR="004D7F4B" w:rsidRPr="00ED3CDC">
          <w:rPr>
            <w:rStyle w:val="ac"/>
            <w:noProof/>
          </w:rPr>
          <w:t>：偏股混合型基金所选第二基准应的基金数目</w:t>
        </w:r>
        <w:r w:rsidR="004D7F4B">
          <w:rPr>
            <w:noProof/>
            <w:webHidden/>
          </w:rPr>
          <w:tab/>
        </w:r>
        <w:r w:rsidR="004D7F4B">
          <w:rPr>
            <w:noProof/>
            <w:webHidden/>
          </w:rPr>
          <w:fldChar w:fldCharType="begin"/>
        </w:r>
        <w:r w:rsidR="004D7F4B">
          <w:rPr>
            <w:noProof/>
            <w:webHidden/>
          </w:rPr>
          <w:instrText xml:space="preserve"> PAGEREF _Toc65799001 \h </w:instrText>
        </w:r>
        <w:r w:rsidR="004D7F4B">
          <w:rPr>
            <w:noProof/>
            <w:webHidden/>
          </w:rPr>
        </w:r>
        <w:r w:rsidR="004D7F4B">
          <w:rPr>
            <w:noProof/>
            <w:webHidden/>
          </w:rPr>
          <w:fldChar w:fldCharType="separate"/>
        </w:r>
        <w:r w:rsidR="004D7F4B">
          <w:rPr>
            <w:noProof/>
            <w:webHidden/>
          </w:rPr>
          <w:t>13</w:t>
        </w:r>
        <w:r w:rsidR="004D7F4B">
          <w:rPr>
            <w:noProof/>
            <w:webHidden/>
          </w:rPr>
          <w:fldChar w:fldCharType="end"/>
        </w:r>
      </w:hyperlink>
    </w:p>
    <w:p w14:paraId="0CA23827" w14:textId="49C144A0"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2" w:history="1">
        <w:r w:rsidR="004D7F4B" w:rsidRPr="00ED3CDC">
          <w:rPr>
            <w:rStyle w:val="ac"/>
            <w:noProof/>
          </w:rPr>
          <w:t>图</w:t>
        </w:r>
        <w:r w:rsidR="004D7F4B" w:rsidRPr="00ED3CDC">
          <w:rPr>
            <w:rStyle w:val="ac"/>
            <w:noProof/>
          </w:rPr>
          <w:t xml:space="preserve"> 7</w:t>
        </w:r>
        <w:r w:rsidR="004D7F4B" w:rsidRPr="00ED3CDC">
          <w:rPr>
            <w:rStyle w:val="ac"/>
            <w:noProof/>
          </w:rPr>
          <w:t>：灵活配置型基金所选第一基准对应的基金数目</w:t>
        </w:r>
        <w:r w:rsidR="004D7F4B">
          <w:rPr>
            <w:noProof/>
            <w:webHidden/>
          </w:rPr>
          <w:tab/>
        </w:r>
        <w:r w:rsidR="004D7F4B">
          <w:rPr>
            <w:noProof/>
            <w:webHidden/>
          </w:rPr>
          <w:fldChar w:fldCharType="begin"/>
        </w:r>
        <w:r w:rsidR="004D7F4B">
          <w:rPr>
            <w:noProof/>
            <w:webHidden/>
          </w:rPr>
          <w:instrText xml:space="preserve"> PAGEREF _Toc65799002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4650EA76" w14:textId="14398479"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3" w:history="1">
        <w:r w:rsidR="004D7F4B" w:rsidRPr="00ED3CDC">
          <w:rPr>
            <w:rStyle w:val="ac"/>
            <w:noProof/>
          </w:rPr>
          <w:t>图</w:t>
        </w:r>
        <w:r w:rsidR="004D7F4B" w:rsidRPr="00ED3CDC">
          <w:rPr>
            <w:rStyle w:val="ac"/>
            <w:noProof/>
          </w:rPr>
          <w:t xml:space="preserve"> 8</w:t>
        </w:r>
        <w:r w:rsidR="004D7F4B" w:rsidRPr="00ED3CDC">
          <w:rPr>
            <w:rStyle w:val="ac"/>
            <w:noProof/>
          </w:rPr>
          <w:t>：灵活配置型基金所选第二基准对应的基金数目</w:t>
        </w:r>
        <w:r w:rsidR="004D7F4B">
          <w:rPr>
            <w:noProof/>
            <w:webHidden/>
          </w:rPr>
          <w:tab/>
        </w:r>
        <w:r w:rsidR="004D7F4B">
          <w:rPr>
            <w:noProof/>
            <w:webHidden/>
          </w:rPr>
          <w:fldChar w:fldCharType="begin"/>
        </w:r>
        <w:r w:rsidR="004D7F4B">
          <w:rPr>
            <w:noProof/>
            <w:webHidden/>
          </w:rPr>
          <w:instrText xml:space="preserve"> PAGEREF _Toc65799003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293F96D9" w14:textId="17A1236D"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4" w:history="1">
        <w:r w:rsidR="004D7F4B" w:rsidRPr="00ED3CDC">
          <w:rPr>
            <w:rStyle w:val="ac"/>
            <w:noProof/>
          </w:rPr>
          <w:t>图</w:t>
        </w:r>
        <w:r w:rsidR="004D7F4B" w:rsidRPr="00ED3CDC">
          <w:rPr>
            <w:rStyle w:val="ac"/>
            <w:noProof/>
          </w:rPr>
          <w:t xml:space="preserve"> 9</w:t>
        </w:r>
        <w:r w:rsidR="004D7F4B" w:rsidRPr="00ED3CDC">
          <w:rPr>
            <w:rStyle w:val="ac"/>
            <w:noProof/>
          </w:rPr>
          <w:t>：普通股票型基金所选第一基准对应的基金数目</w:t>
        </w:r>
        <w:r w:rsidR="004D7F4B">
          <w:rPr>
            <w:noProof/>
            <w:webHidden/>
          </w:rPr>
          <w:tab/>
        </w:r>
        <w:r w:rsidR="004D7F4B">
          <w:rPr>
            <w:noProof/>
            <w:webHidden/>
          </w:rPr>
          <w:fldChar w:fldCharType="begin"/>
        </w:r>
        <w:r w:rsidR="004D7F4B">
          <w:rPr>
            <w:noProof/>
            <w:webHidden/>
          </w:rPr>
          <w:instrText xml:space="preserve"> PAGEREF _Toc65799004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078ABE7B" w14:textId="7F367EE6"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5" w:history="1">
        <w:r w:rsidR="004D7F4B" w:rsidRPr="00ED3CDC">
          <w:rPr>
            <w:rStyle w:val="ac"/>
            <w:noProof/>
          </w:rPr>
          <w:t>图</w:t>
        </w:r>
        <w:r w:rsidR="004D7F4B" w:rsidRPr="00ED3CDC">
          <w:rPr>
            <w:rStyle w:val="ac"/>
            <w:noProof/>
          </w:rPr>
          <w:t xml:space="preserve"> 10</w:t>
        </w:r>
        <w:r w:rsidR="004D7F4B" w:rsidRPr="00ED3CDC">
          <w:rPr>
            <w:rStyle w:val="ac"/>
            <w:noProof/>
          </w:rPr>
          <w:t>：普通股票型基金所选第二基准对应的基金数目</w:t>
        </w:r>
        <w:r w:rsidR="004D7F4B">
          <w:rPr>
            <w:noProof/>
            <w:webHidden/>
          </w:rPr>
          <w:tab/>
        </w:r>
        <w:r w:rsidR="004D7F4B">
          <w:rPr>
            <w:noProof/>
            <w:webHidden/>
          </w:rPr>
          <w:fldChar w:fldCharType="begin"/>
        </w:r>
        <w:r w:rsidR="004D7F4B">
          <w:rPr>
            <w:noProof/>
            <w:webHidden/>
          </w:rPr>
          <w:instrText xml:space="preserve"> PAGEREF _Toc65799005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70BA1846" w14:textId="1E810FD0"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6" w:history="1">
        <w:r w:rsidR="004D7F4B" w:rsidRPr="00ED3CDC">
          <w:rPr>
            <w:rStyle w:val="ac"/>
            <w:noProof/>
          </w:rPr>
          <w:t>图</w:t>
        </w:r>
        <w:r w:rsidR="004D7F4B" w:rsidRPr="00ED3CDC">
          <w:rPr>
            <w:rStyle w:val="ac"/>
            <w:noProof/>
          </w:rPr>
          <w:t xml:space="preserve"> 11</w:t>
        </w:r>
        <w:r w:rsidR="004D7F4B" w:rsidRPr="00ED3CDC">
          <w:rPr>
            <w:rStyle w:val="ac"/>
            <w:noProof/>
          </w:rPr>
          <w:t>：偏债混合型基金所选第一基准对应的基金数目</w:t>
        </w:r>
        <w:r w:rsidR="004D7F4B">
          <w:rPr>
            <w:noProof/>
            <w:webHidden/>
          </w:rPr>
          <w:tab/>
        </w:r>
        <w:r w:rsidR="004D7F4B">
          <w:rPr>
            <w:noProof/>
            <w:webHidden/>
          </w:rPr>
          <w:fldChar w:fldCharType="begin"/>
        </w:r>
        <w:r w:rsidR="004D7F4B">
          <w:rPr>
            <w:noProof/>
            <w:webHidden/>
          </w:rPr>
          <w:instrText xml:space="preserve"> PAGEREF _Toc65799006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2E4219FC" w14:textId="4802283C"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7" w:history="1">
        <w:r w:rsidR="004D7F4B" w:rsidRPr="00ED3CDC">
          <w:rPr>
            <w:rStyle w:val="ac"/>
            <w:noProof/>
          </w:rPr>
          <w:t>图</w:t>
        </w:r>
        <w:r w:rsidR="004D7F4B" w:rsidRPr="00ED3CDC">
          <w:rPr>
            <w:rStyle w:val="ac"/>
            <w:noProof/>
          </w:rPr>
          <w:t xml:space="preserve"> 12</w:t>
        </w:r>
        <w:r w:rsidR="004D7F4B" w:rsidRPr="00ED3CDC">
          <w:rPr>
            <w:rStyle w:val="ac"/>
            <w:noProof/>
          </w:rPr>
          <w:t>：偏债混合型基金所选第二基准对应的基金数目</w:t>
        </w:r>
        <w:r w:rsidR="004D7F4B">
          <w:rPr>
            <w:noProof/>
            <w:webHidden/>
          </w:rPr>
          <w:tab/>
        </w:r>
        <w:r w:rsidR="004D7F4B">
          <w:rPr>
            <w:noProof/>
            <w:webHidden/>
          </w:rPr>
          <w:fldChar w:fldCharType="begin"/>
        </w:r>
        <w:r w:rsidR="004D7F4B">
          <w:rPr>
            <w:noProof/>
            <w:webHidden/>
          </w:rPr>
          <w:instrText xml:space="preserve"> PAGEREF _Toc65799007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38EBA965" w14:textId="36D787BC"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8" w:history="1">
        <w:r w:rsidR="004D7F4B" w:rsidRPr="00ED3CDC">
          <w:rPr>
            <w:rStyle w:val="ac"/>
            <w:noProof/>
          </w:rPr>
          <w:t>图</w:t>
        </w:r>
        <w:r w:rsidR="004D7F4B" w:rsidRPr="00ED3CDC">
          <w:rPr>
            <w:rStyle w:val="ac"/>
            <w:noProof/>
          </w:rPr>
          <w:t xml:space="preserve"> 13</w:t>
        </w:r>
        <w:r w:rsidR="004D7F4B" w:rsidRPr="00ED3CDC">
          <w:rPr>
            <w:rStyle w:val="ac"/>
            <w:noProof/>
          </w:rPr>
          <w:t>：酒类行业主题基金所选第一基准对应的基金数目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_Toc65799008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43CE6128" w14:textId="6E8D99F6"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09" w:history="1">
        <w:r w:rsidR="004D7F4B" w:rsidRPr="00ED3CDC">
          <w:rPr>
            <w:rStyle w:val="ac"/>
            <w:noProof/>
          </w:rPr>
          <w:t>图</w:t>
        </w:r>
        <w:r w:rsidR="004D7F4B" w:rsidRPr="00ED3CDC">
          <w:rPr>
            <w:rStyle w:val="ac"/>
            <w:noProof/>
          </w:rPr>
          <w:t xml:space="preserve"> 14</w:t>
        </w:r>
        <w:r w:rsidR="004D7F4B" w:rsidRPr="00ED3CDC">
          <w:rPr>
            <w:rStyle w:val="ac"/>
            <w:noProof/>
          </w:rPr>
          <w:t>：酒类行业主题基金所选第二基准应的基金数目</w:t>
        </w:r>
        <w:r w:rsidR="004D7F4B">
          <w:rPr>
            <w:noProof/>
            <w:webHidden/>
          </w:rPr>
          <w:tab/>
        </w:r>
        <w:r w:rsidR="004D7F4B">
          <w:rPr>
            <w:noProof/>
            <w:webHidden/>
          </w:rPr>
          <w:fldChar w:fldCharType="begin"/>
        </w:r>
        <w:r w:rsidR="004D7F4B">
          <w:rPr>
            <w:noProof/>
            <w:webHidden/>
          </w:rPr>
          <w:instrText xml:space="preserve"> PAGEREF _Toc65799009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5F7210B9" w14:textId="3AA48751"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0" w:history="1">
        <w:r w:rsidR="004D7F4B" w:rsidRPr="00ED3CDC">
          <w:rPr>
            <w:rStyle w:val="ac"/>
            <w:noProof/>
          </w:rPr>
          <w:t>图</w:t>
        </w:r>
        <w:r w:rsidR="004D7F4B" w:rsidRPr="00ED3CDC">
          <w:rPr>
            <w:rStyle w:val="ac"/>
            <w:noProof/>
          </w:rPr>
          <w:t xml:space="preserve"> 15</w:t>
        </w:r>
        <w:r w:rsidR="004D7F4B" w:rsidRPr="00ED3CDC">
          <w:rPr>
            <w:rStyle w:val="ac"/>
            <w:noProof/>
          </w:rPr>
          <w:t>：电子元器件行业主题基金所选第一基准对应的基金数目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_Toc65799010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35F87734" w14:textId="7405D6A8"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1" w:history="1">
        <w:r w:rsidR="004D7F4B" w:rsidRPr="00ED3CDC">
          <w:rPr>
            <w:rStyle w:val="ac"/>
            <w:noProof/>
          </w:rPr>
          <w:t>图</w:t>
        </w:r>
        <w:r w:rsidR="004D7F4B" w:rsidRPr="00ED3CDC">
          <w:rPr>
            <w:rStyle w:val="ac"/>
            <w:noProof/>
          </w:rPr>
          <w:t xml:space="preserve"> 16</w:t>
        </w:r>
        <w:r w:rsidR="004D7F4B" w:rsidRPr="00ED3CDC">
          <w:rPr>
            <w:rStyle w:val="ac"/>
            <w:noProof/>
          </w:rPr>
          <w:t>：电子元器件行业主题基金所选第二基准对应的基金数目</w:t>
        </w:r>
        <w:r w:rsidR="004D7F4B">
          <w:rPr>
            <w:noProof/>
            <w:webHidden/>
          </w:rPr>
          <w:tab/>
        </w:r>
        <w:r w:rsidR="004D7F4B">
          <w:rPr>
            <w:noProof/>
            <w:webHidden/>
          </w:rPr>
          <w:fldChar w:fldCharType="begin"/>
        </w:r>
        <w:r w:rsidR="004D7F4B">
          <w:rPr>
            <w:noProof/>
            <w:webHidden/>
          </w:rPr>
          <w:instrText xml:space="preserve"> PAGEREF _Toc65799011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1801D23F" w14:textId="3EA89454"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2" w:history="1">
        <w:r w:rsidR="004D7F4B" w:rsidRPr="00ED3CDC">
          <w:rPr>
            <w:rStyle w:val="ac"/>
            <w:noProof/>
          </w:rPr>
          <w:t>图</w:t>
        </w:r>
        <w:r w:rsidR="004D7F4B" w:rsidRPr="00ED3CDC">
          <w:rPr>
            <w:rStyle w:val="ac"/>
            <w:noProof/>
          </w:rPr>
          <w:t xml:space="preserve"> 17</w:t>
        </w:r>
        <w:r w:rsidR="004D7F4B" w:rsidRPr="00ED3CDC">
          <w:rPr>
            <w:rStyle w:val="ac"/>
            <w:noProof/>
          </w:rPr>
          <w:t>：电工电网行业主题基金所选第一基准对应的基金数目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_Toc65799012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18EB71E3" w14:textId="434FB13B"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3" w:history="1">
        <w:r w:rsidR="004D7F4B" w:rsidRPr="00ED3CDC">
          <w:rPr>
            <w:rStyle w:val="ac"/>
            <w:noProof/>
          </w:rPr>
          <w:t>图</w:t>
        </w:r>
        <w:r w:rsidR="004D7F4B" w:rsidRPr="00ED3CDC">
          <w:rPr>
            <w:rStyle w:val="ac"/>
            <w:noProof/>
          </w:rPr>
          <w:t xml:space="preserve"> 18</w:t>
        </w:r>
        <w:r w:rsidR="004D7F4B" w:rsidRPr="00ED3CDC">
          <w:rPr>
            <w:rStyle w:val="ac"/>
            <w:noProof/>
          </w:rPr>
          <w:t>：电工电网行业主题基金所选第二基准对应的基金数目</w:t>
        </w:r>
        <w:r w:rsidR="004D7F4B">
          <w:rPr>
            <w:noProof/>
            <w:webHidden/>
          </w:rPr>
          <w:tab/>
        </w:r>
        <w:r w:rsidR="004D7F4B">
          <w:rPr>
            <w:noProof/>
            <w:webHidden/>
          </w:rPr>
          <w:fldChar w:fldCharType="begin"/>
        </w:r>
        <w:r w:rsidR="004D7F4B">
          <w:rPr>
            <w:noProof/>
            <w:webHidden/>
          </w:rPr>
          <w:instrText xml:space="preserve"> PAGEREF _Toc65799013 \h </w:instrText>
        </w:r>
        <w:r w:rsidR="004D7F4B">
          <w:rPr>
            <w:noProof/>
            <w:webHidden/>
          </w:rPr>
        </w:r>
        <w:r w:rsidR="004D7F4B">
          <w:rPr>
            <w:noProof/>
            <w:webHidden/>
          </w:rPr>
          <w:fldChar w:fldCharType="separate"/>
        </w:r>
        <w:r w:rsidR="004D7F4B">
          <w:rPr>
            <w:noProof/>
            <w:webHidden/>
          </w:rPr>
          <w:t>16</w:t>
        </w:r>
        <w:r w:rsidR="004D7F4B">
          <w:rPr>
            <w:noProof/>
            <w:webHidden/>
          </w:rPr>
          <w:fldChar w:fldCharType="end"/>
        </w:r>
      </w:hyperlink>
    </w:p>
    <w:p w14:paraId="1B7CD162" w14:textId="2B239D31"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4" w:history="1">
        <w:r w:rsidR="004D7F4B" w:rsidRPr="00ED3CDC">
          <w:rPr>
            <w:rStyle w:val="ac"/>
            <w:noProof/>
          </w:rPr>
          <w:t>图</w:t>
        </w:r>
        <w:r w:rsidR="004D7F4B" w:rsidRPr="00ED3CDC">
          <w:rPr>
            <w:rStyle w:val="ac"/>
            <w:noProof/>
          </w:rPr>
          <w:t xml:space="preserve"> 19</w:t>
        </w:r>
        <w:r w:rsidR="004D7F4B" w:rsidRPr="00ED3CDC">
          <w:rPr>
            <w:rStyle w:val="ac"/>
            <w:noProof/>
          </w:rPr>
          <w:t>：半导体行业主题基金所选第一基准对应的基金数目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_Toc65799014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1E794DC2" w14:textId="7079F9BB"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5" w:history="1">
        <w:r w:rsidR="004D7F4B" w:rsidRPr="00ED3CDC">
          <w:rPr>
            <w:rStyle w:val="ac"/>
            <w:noProof/>
          </w:rPr>
          <w:t>图</w:t>
        </w:r>
        <w:r w:rsidR="004D7F4B" w:rsidRPr="00ED3CDC">
          <w:rPr>
            <w:rStyle w:val="ac"/>
            <w:noProof/>
          </w:rPr>
          <w:t xml:space="preserve"> 20</w:t>
        </w:r>
        <w:r w:rsidR="004D7F4B" w:rsidRPr="00ED3CDC">
          <w:rPr>
            <w:rStyle w:val="ac"/>
            <w:noProof/>
          </w:rPr>
          <w:t>：半导体行业主题基金所选第二基准对应的基金数目</w:t>
        </w:r>
        <w:r w:rsidR="004D7F4B">
          <w:rPr>
            <w:noProof/>
            <w:webHidden/>
          </w:rPr>
          <w:tab/>
        </w:r>
        <w:r w:rsidR="004D7F4B">
          <w:rPr>
            <w:noProof/>
            <w:webHidden/>
          </w:rPr>
          <w:fldChar w:fldCharType="begin"/>
        </w:r>
        <w:r w:rsidR="004D7F4B">
          <w:rPr>
            <w:noProof/>
            <w:webHidden/>
          </w:rPr>
          <w:instrText xml:space="preserve"> PAGEREF _Toc65799015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2EA8C4F3" w14:textId="271FCBC0"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6" w:history="1">
        <w:r w:rsidR="004D7F4B" w:rsidRPr="00ED3CDC">
          <w:rPr>
            <w:rStyle w:val="ac"/>
            <w:noProof/>
          </w:rPr>
          <w:t>图</w:t>
        </w:r>
        <w:r w:rsidR="004D7F4B" w:rsidRPr="00ED3CDC">
          <w:rPr>
            <w:rStyle w:val="ac"/>
            <w:noProof/>
          </w:rPr>
          <w:t xml:space="preserve"> 21</w:t>
        </w:r>
        <w:r w:rsidR="004D7F4B" w:rsidRPr="00ED3CDC">
          <w:rPr>
            <w:rStyle w:val="ac"/>
            <w:noProof/>
          </w:rPr>
          <w:t>：生物科技行业主题基金所选第一基准对应的基金数目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_Toc65799016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1B985DF8" w14:textId="25BC89CA"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7" w:history="1">
        <w:r w:rsidR="004D7F4B" w:rsidRPr="00ED3CDC">
          <w:rPr>
            <w:rStyle w:val="ac"/>
            <w:noProof/>
          </w:rPr>
          <w:t>图</w:t>
        </w:r>
        <w:r w:rsidR="004D7F4B" w:rsidRPr="00ED3CDC">
          <w:rPr>
            <w:rStyle w:val="ac"/>
            <w:noProof/>
          </w:rPr>
          <w:t xml:space="preserve"> 22</w:t>
        </w:r>
        <w:r w:rsidR="004D7F4B" w:rsidRPr="00ED3CDC">
          <w:rPr>
            <w:rStyle w:val="ac"/>
            <w:noProof/>
          </w:rPr>
          <w:t>：电工电网行业主题基金所选第二基准对应的基金数目</w:t>
        </w:r>
        <w:r w:rsidR="004D7F4B">
          <w:rPr>
            <w:noProof/>
            <w:webHidden/>
          </w:rPr>
          <w:tab/>
        </w:r>
        <w:r w:rsidR="004D7F4B">
          <w:rPr>
            <w:noProof/>
            <w:webHidden/>
          </w:rPr>
          <w:fldChar w:fldCharType="begin"/>
        </w:r>
        <w:r w:rsidR="004D7F4B">
          <w:rPr>
            <w:noProof/>
            <w:webHidden/>
          </w:rPr>
          <w:instrText xml:space="preserve"> PAGEREF _Toc65799017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3F59B5B5" w14:textId="53A67B0E"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8" w:history="1">
        <w:r w:rsidR="004D7F4B" w:rsidRPr="00ED3CDC">
          <w:rPr>
            <w:rStyle w:val="ac"/>
            <w:noProof/>
          </w:rPr>
          <w:t>图</w:t>
        </w:r>
        <w:r w:rsidR="004D7F4B" w:rsidRPr="00ED3CDC">
          <w:rPr>
            <w:rStyle w:val="ac"/>
            <w:noProof/>
          </w:rPr>
          <w:t xml:space="preserve"> 23</w:t>
        </w:r>
        <w:r w:rsidR="004D7F4B" w:rsidRPr="00ED3CDC">
          <w:rPr>
            <w:rStyle w:val="ac"/>
            <w:noProof/>
          </w:rPr>
          <w:t>：银行行业主题基金所选第一基准对应的基金数目</w:t>
        </w:r>
        <w:r w:rsidR="004D7F4B">
          <w:rPr>
            <w:noProof/>
            <w:webHidden/>
          </w:rPr>
          <w:tab/>
        </w:r>
        <w:r w:rsidR="004D7F4B">
          <w:rPr>
            <w:noProof/>
            <w:webHidden/>
          </w:rPr>
          <w:fldChar w:fldCharType="begin"/>
        </w:r>
        <w:r w:rsidR="004D7F4B">
          <w:rPr>
            <w:noProof/>
            <w:webHidden/>
          </w:rPr>
          <w:instrText xml:space="preserve"> PAGEREF _Toc65799018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6F9CA696" w14:textId="7E05D25C"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19" w:history="1">
        <w:r w:rsidR="004D7F4B" w:rsidRPr="00ED3CDC">
          <w:rPr>
            <w:rStyle w:val="ac"/>
            <w:noProof/>
          </w:rPr>
          <w:t>图</w:t>
        </w:r>
        <w:r w:rsidR="004D7F4B" w:rsidRPr="00ED3CDC">
          <w:rPr>
            <w:rStyle w:val="ac"/>
            <w:noProof/>
          </w:rPr>
          <w:t xml:space="preserve"> 24</w:t>
        </w:r>
        <w:r w:rsidR="004D7F4B" w:rsidRPr="00ED3CDC">
          <w:rPr>
            <w:rStyle w:val="ac"/>
            <w:noProof/>
          </w:rPr>
          <w:t>：银行行业主题基金所选第二基准对应的基金数目</w:t>
        </w:r>
        <w:r w:rsidR="004D7F4B">
          <w:rPr>
            <w:noProof/>
            <w:webHidden/>
          </w:rPr>
          <w:tab/>
        </w:r>
        <w:r w:rsidR="004D7F4B">
          <w:rPr>
            <w:noProof/>
            <w:webHidden/>
          </w:rPr>
          <w:fldChar w:fldCharType="begin"/>
        </w:r>
        <w:r w:rsidR="004D7F4B">
          <w:rPr>
            <w:noProof/>
            <w:webHidden/>
          </w:rPr>
          <w:instrText xml:space="preserve"> PAGEREF _Toc65799019 \h </w:instrText>
        </w:r>
        <w:r w:rsidR="004D7F4B">
          <w:rPr>
            <w:noProof/>
            <w:webHidden/>
          </w:rPr>
        </w:r>
        <w:r w:rsidR="004D7F4B">
          <w:rPr>
            <w:noProof/>
            <w:webHidden/>
          </w:rPr>
          <w:fldChar w:fldCharType="separate"/>
        </w:r>
        <w:r w:rsidR="004D7F4B">
          <w:rPr>
            <w:noProof/>
            <w:webHidden/>
          </w:rPr>
          <w:t>17</w:t>
        </w:r>
        <w:r w:rsidR="004D7F4B">
          <w:rPr>
            <w:noProof/>
            <w:webHidden/>
          </w:rPr>
          <w:fldChar w:fldCharType="end"/>
        </w:r>
      </w:hyperlink>
    </w:p>
    <w:p w14:paraId="52B42614" w14:textId="67AFAD6B" w:rsidR="00742EE3" w:rsidRPr="00526CC1" w:rsidRDefault="00742EE3" w:rsidP="00742EE3">
      <w:pPr>
        <w:pStyle w:val="ae"/>
        <w:ind w:left="3017"/>
        <w:rPr>
          <w:color w:val="0F243E" w:themeColor="text2" w:themeShade="80"/>
          <w:lang w:eastAsia="zh-CN"/>
        </w:rPr>
      </w:pPr>
      <w:r w:rsidRPr="003956CF">
        <w:rPr>
          <w:color w:val="0F243E" w:themeColor="text2" w:themeShade="80"/>
          <w:kern w:val="2"/>
          <w:szCs w:val="24"/>
          <w:lang w:eastAsia="zh-CN"/>
        </w:rPr>
        <w:fldChar w:fldCharType="end"/>
      </w:r>
    </w:p>
    <w:p w14:paraId="6692ACD2" w14:textId="72928C64" w:rsidR="004D7F4B" w:rsidRDefault="00742EE3">
      <w:pPr>
        <w:pStyle w:val="ad"/>
        <w:tabs>
          <w:tab w:val="right" w:leader="dot" w:pos="10620"/>
        </w:tabs>
        <w:ind w:left="3082"/>
        <w:rPr>
          <w:rFonts w:asciiTheme="minorHAnsi" w:eastAsiaTheme="minorEastAsia" w:hAnsiTheme="minorHAnsi" w:cstheme="minorBidi"/>
          <w:noProof/>
          <w:szCs w:val="22"/>
        </w:rPr>
      </w:pPr>
      <w:r>
        <w:rPr>
          <w:rStyle w:val="ab"/>
          <w:rFonts w:ascii="Times New Roman" w:eastAsia="楷体_GB2312" w:hAnsi="Times New Roman" w:cs="Times New Roman"/>
          <w:color w:val="0F243E" w:themeColor="text2" w:themeShade="80"/>
        </w:rPr>
        <w:fldChar w:fldCharType="begin"/>
      </w:r>
      <w:r>
        <w:rPr>
          <w:rStyle w:val="ab"/>
          <w:rFonts w:ascii="Times New Roman" w:eastAsia="楷体_GB2312" w:hAnsi="Times New Roman" w:cs="Times New Roman"/>
          <w:color w:val="0F243E" w:themeColor="text2" w:themeShade="80"/>
        </w:rPr>
        <w:instrText xml:space="preserve"> TOC \h \z \c "</w:instrText>
      </w:r>
      <w:r>
        <w:rPr>
          <w:rStyle w:val="ab"/>
          <w:rFonts w:ascii="Times New Roman" w:eastAsia="楷体_GB2312" w:hAnsi="Times New Roman" w:cs="Times New Roman"/>
          <w:color w:val="0F243E" w:themeColor="text2" w:themeShade="80"/>
        </w:rPr>
        <w:instrText>表</w:instrText>
      </w:r>
      <w:r>
        <w:rPr>
          <w:rStyle w:val="ab"/>
          <w:rFonts w:ascii="Times New Roman" w:eastAsia="楷体_GB2312" w:hAnsi="Times New Roman" w:cs="Times New Roman"/>
          <w:color w:val="0F243E" w:themeColor="text2" w:themeShade="80"/>
        </w:rPr>
        <w:instrText xml:space="preserve">" </w:instrText>
      </w:r>
      <w:r>
        <w:rPr>
          <w:rStyle w:val="ab"/>
          <w:rFonts w:ascii="Times New Roman" w:eastAsia="楷体_GB2312" w:hAnsi="Times New Roman" w:cs="Times New Roman"/>
          <w:color w:val="0F243E" w:themeColor="text2" w:themeShade="80"/>
        </w:rPr>
        <w:fldChar w:fldCharType="separate"/>
      </w:r>
      <w:hyperlink w:anchor="_Toc65799020" w:history="1">
        <w:r w:rsidR="004D7F4B" w:rsidRPr="00BB5174">
          <w:rPr>
            <w:rStyle w:val="ac"/>
            <w:noProof/>
          </w:rPr>
          <w:t>表</w:t>
        </w:r>
        <w:r w:rsidR="004D7F4B" w:rsidRPr="00BB5174">
          <w:rPr>
            <w:rStyle w:val="ac"/>
            <w:noProof/>
          </w:rPr>
          <w:t xml:space="preserve"> 1</w:t>
        </w:r>
        <w:r w:rsidR="004D7F4B" w:rsidRPr="00BB5174">
          <w:rPr>
            <w:rStyle w:val="ac"/>
            <w:noProof/>
          </w:rPr>
          <w:t>：</w:t>
        </w:r>
        <w:r w:rsidR="004D7F4B" w:rsidRPr="00BB5174">
          <w:rPr>
            <w:rStyle w:val="ac"/>
            <w:noProof/>
          </w:rPr>
          <w:t>Wind</w:t>
        </w:r>
        <w:r w:rsidR="004D7F4B" w:rsidRPr="00BB5174">
          <w:rPr>
            <w:rStyle w:val="ac"/>
            <w:noProof/>
          </w:rPr>
          <w:t>基金一级分类下业绩评价基准组成部分个数情况统计</w:t>
        </w:r>
        <w:r w:rsidR="004D7F4B">
          <w:rPr>
            <w:noProof/>
            <w:webHidden/>
          </w:rPr>
          <w:tab/>
        </w:r>
        <w:r w:rsidR="004D7F4B">
          <w:rPr>
            <w:noProof/>
            <w:webHidden/>
          </w:rPr>
          <w:fldChar w:fldCharType="begin"/>
        </w:r>
        <w:r w:rsidR="004D7F4B">
          <w:rPr>
            <w:noProof/>
            <w:webHidden/>
          </w:rPr>
          <w:instrText xml:space="preserve"> PAGEREF _Toc65799020 \h </w:instrText>
        </w:r>
        <w:r w:rsidR="004D7F4B">
          <w:rPr>
            <w:noProof/>
            <w:webHidden/>
          </w:rPr>
        </w:r>
        <w:r w:rsidR="004D7F4B">
          <w:rPr>
            <w:noProof/>
            <w:webHidden/>
          </w:rPr>
          <w:fldChar w:fldCharType="separate"/>
        </w:r>
        <w:r w:rsidR="004D7F4B">
          <w:rPr>
            <w:noProof/>
            <w:webHidden/>
          </w:rPr>
          <w:t>11</w:t>
        </w:r>
        <w:r w:rsidR="004D7F4B">
          <w:rPr>
            <w:noProof/>
            <w:webHidden/>
          </w:rPr>
          <w:fldChar w:fldCharType="end"/>
        </w:r>
      </w:hyperlink>
    </w:p>
    <w:p w14:paraId="23FCE6C8" w14:textId="471F3156"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21" w:history="1">
        <w:r w:rsidR="004D7F4B" w:rsidRPr="00BB5174">
          <w:rPr>
            <w:rStyle w:val="ac"/>
            <w:noProof/>
          </w:rPr>
          <w:t>表</w:t>
        </w:r>
        <w:r w:rsidR="004D7F4B" w:rsidRPr="00BB5174">
          <w:rPr>
            <w:rStyle w:val="ac"/>
            <w:noProof/>
          </w:rPr>
          <w:t xml:space="preserve"> 2</w:t>
        </w:r>
        <w:r w:rsidR="004D7F4B" w:rsidRPr="00BB5174">
          <w:rPr>
            <w:rStyle w:val="ac"/>
            <w:noProof/>
          </w:rPr>
          <w:t>：</w:t>
        </w:r>
        <w:r w:rsidR="004D7F4B" w:rsidRPr="00BB5174">
          <w:rPr>
            <w:rStyle w:val="ac"/>
            <w:noProof/>
          </w:rPr>
          <w:t>Wind</w:t>
        </w:r>
        <w:r w:rsidR="004D7F4B" w:rsidRPr="00BB5174">
          <w:rPr>
            <w:rStyle w:val="ac"/>
            <w:noProof/>
          </w:rPr>
          <w:t>基金一级分类单一基准基金所选基准以及对应的基金数目</w:t>
        </w:r>
        <w:r w:rsidR="004D7F4B">
          <w:rPr>
            <w:noProof/>
            <w:webHidden/>
          </w:rPr>
          <w:tab/>
        </w:r>
        <w:r w:rsidR="004D7F4B">
          <w:rPr>
            <w:noProof/>
            <w:webHidden/>
          </w:rPr>
          <w:fldChar w:fldCharType="begin"/>
        </w:r>
        <w:r w:rsidR="004D7F4B">
          <w:rPr>
            <w:noProof/>
            <w:webHidden/>
          </w:rPr>
          <w:instrText xml:space="preserve"> PAGEREF _Toc65799021 \h </w:instrText>
        </w:r>
        <w:r w:rsidR="004D7F4B">
          <w:rPr>
            <w:noProof/>
            <w:webHidden/>
          </w:rPr>
        </w:r>
        <w:r w:rsidR="004D7F4B">
          <w:rPr>
            <w:noProof/>
            <w:webHidden/>
          </w:rPr>
          <w:fldChar w:fldCharType="separate"/>
        </w:r>
        <w:r w:rsidR="004D7F4B">
          <w:rPr>
            <w:noProof/>
            <w:webHidden/>
          </w:rPr>
          <w:t>11</w:t>
        </w:r>
        <w:r w:rsidR="004D7F4B">
          <w:rPr>
            <w:noProof/>
            <w:webHidden/>
          </w:rPr>
          <w:fldChar w:fldCharType="end"/>
        </w:r>
      </w:hyperlink>
    </w:p>
    <w:p w14:paraId="382E4F1D" w14:textId="7E908E07"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22" w:history="1">
        <w:r w:rsidR="004D7F4B" w:rsidRPr="00BB5174">
          <w:rPr>
            <w:rStyle w:val="ac"/>
            <w:noProof/>
          </w:rPr>
          <w:t>表</w:t>
        </w:r>
        <w:r w:rsidR="004D7F4B" w:rsidRPr="00BB5174">
          <w:rPr>
            <w:rStyle w:val="ac"/>
            <w:noProof/>
          </w:rPr>
          <w:t xml:space="preserve"> 3</w:t>
        </w:r>
        <w:r w:rsidR="004D7F4B" w:rsidRPr="00BB5174">
          <w:rPr>
            <w:rStyle w:val="ac"/>
            <w:noProof/>
          </w:rPr>
          <w:t>：</w:t>
        </w:r>
        <w:r w:rsidR="004D7F4B" w:rsidRPr="00BB5174">
          <w:rPr>
            <w:rStyle w:val="ac"/>
            <w:noProof/>
          </w:rPr>
          <w:t>Wind</w:t>
        </w:r>
        <w:r w:rsidR="004D7F4B" w:rsidRPr="00BB5174">
          <w:rPr>
            <w:rStyle w:val="ac"/>
            <w:noProof/>
          </w:rPr>
          <w:t>基金一级分类双基准基金所选基准以及对应的基金数目</w:t>
        </w:r>
        <w:r w:rsidR="004D7F4B">
          <w:rPr>
            <w:noProof/>
            <w:webHidden/>
          </w:rPr>
          <w:tab/>
        </w:r>
        <w:r w:rsidR="004D7F4B">
          <w:rPr>
            <w:noProof/>
            <w:webHidden/>
          </w:rPr>
          <w:fldChar w:fldCharType="begin"/>
        </w:r>
        <w:r w:rsidR="004D7F4B">
          <w:rPr>
            <w:noProof/>
            <w:webHidden/>
          </w:rPr>
          <w:instrText xml:space="preserve"> PAGEREF _Toc65799022 \h </w:instrText>
        </w:r>
        <w:r w:rsidR="004D7F4B">
          <w:rPr>
            <w:noProof/>
            <w:webHidden/>
          </w:rPr>
        </w:r>
        <w:r w:rsidR="004D7F4B">
          <w:rPr>
            <w:noProof/>
            <w:webHidden/>
          </w:rPr>
          <w:fldChar w:fldCharType="separate"/>
        </w:r>
        <w:r w:rsidR="004D7F4B">
          <w:rPr>
            <w:noProof/>
            <w:webHidden/>
          </w:rPr>
          <w:t>12</w:t>
        </w:r>
        <w:r w:rsidR="004D7F4B">
          <w:rPr>
            <w:noProof/>
            <w:webHidden/>
          </w:rPr>
          <w:fldChar w:fldCharType="end"/>
        </w:r>
      </w:hyperlink>
    </w:p>
    <w:p w14:paraId="639DD7CF" w14:textId="2B696EC2"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23" w:history="1">
        <w:r w:rsidR="004D7F4B" w:rsidRPr="00BB5174">
          <w:rPr>
            <w:rStyle w:val="ac"/>
            <w:noProof/>
          </w:rPr>
          <w:t>表</w:t>
        </w:r>
        <w:r w:rsidR="004D7F4B" w:rsidRPr="00BB5174">
          <w:rPr>
            <w:rStyle w:val="ac"/>
            <w:noProof/>
          </w:rPr>
          <w:t xml:space="preserve"> 4</w:t>
        </w:r>
        <w:r w:rsidR="004D7F4B" w:rsidRPr="00BB5174">
          <w:rPr>
            <w:rStyle w:val="ac"/>
            <w:noProof/>
          </w:rPr>
          <w:t>：</w:t>
        </w:r>
        <w:r w:rsidR="004D7F4B" w:rsidRPr="00BB5174">
          <w:rPr>
            <w:rStyle w:val="ac"/>
            <w:noProof/>
          </w:rPr>
          <w:t>Wind</w:t>
        </w:r>
        <w:r w:rsidR="004D7F4B" w:rsidRPr="00BB5174">
          <w:rPr>
            <w:rStyle w:val="ac"/>
            <w:noProof/>
          </w:rPr>
          <w:t>基金一级分类三基准基金所选基准以及对应的基金数目</w:t>
        </w:r>
        <w:r w:rsidR="004D7F4B">
          <w:rPr>
            <w:noProof/>
            <w:webHidden/>
          </w:rPr>
          <w:tab/>
        </w:r>
        <w:r w:rsidR="004D7F4B">
          <w:rPr>
            <w:noProof/>
            <w:webHidden/>
          </w:rPr>
          <w:fldChar w:fldCharType="begin"/>
        </w:r>
        <w:r w:rsidR="004D7F4B">
          <w:rPr>
            <w:noProof/>
            <w:webHidden/>
          </w:rPr>
          <w:instrText xml:space="preserve"> PAGEREF _Toc65799023 \h </w:instrText>
        </w:r>
        <w:r w:rsidR="004D7F4B">
          <w:rPr>
            <w:noProof/>
            <w:webHidden/>
          </w:rPr>
        </w:r>
        <w:r w:rsidR="004D7F4B">
          <w:rPr>
            <w:noProof/>
            <w:webHidden/>
          </w:rPr>
          <w:fldChar w:fldCharType="separate"/>
        </w:r>
        <w:r w:rsidR="004D7F4B">
          <w:rPr>
            <w:noProof/>
            <w:webHidden/>
          </w:rPr>
          <w:t>12</w:t>
        </w:r>
        <w:r w:rsidR="004D7F4B">
          <w:rPr>
            <w:noProof/>
            <w:webHidden/>
          </w:rPr>
          <w:fldChar w:fldCharType="end"/>
        </w:r>
      </w:hyperlink>
    </w:p>
    <w:p w14:paraId="396D1CF5" w14:textId="3AEE5358"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24" w:history="1">
        <w:r w:rsidR="004D7F4B" w:rsidRPr="00BB5174">
          <w:rPr>
            <w:rStyle w:val="ac"/>
            <w:noProof/>
          </w:rPr>
          <w:t>表</w:t>
        </w:r>
        <w:r w:rsidR="004D7F4B" w:rsidRPr="00BB5174">
          <w:rPr>
            <w:rStyle w:val="ac"/>
            <w:noProof/>
          </w:rPr>
          <w:t xml:space="preserve"> 5</w:t>
        </w:r>
        <w:r w:rsidR="004D7F4B" w:rsidRPr="00BB5174">
          <w:rPr>
            <w:rStyle w:val="ac"/>
            <w:noProof/>
          </w:rPr>
          <w:t>：行业主题基金业绩评价基准选择情况统计</w:t>
        </w:r>
        <w:r w:rsidR="004D7F4B">
          <w:rPr>
            <w:noProof/>
            <w:webHidden/>
          </w:rPr>
          <w:tab/>
        </w:r>
        <w:r w:rsidR="004D7F4B">
          <w:rPr>
            <w:noProof/>
            <w:webHidden/>
          </w:rPr>
          <w:fldChar w:fldCharType="begin"/>
        </w:r>
        <w:r w:rsidR="004D7F4B">
          <w:rPr>
            <w:noProof/>
            <w:webHidden/>
          </w:rPr>
          <w:instrText xml:space="preserve"> PAGEREF _Toc65799024 \h </w:instrText>
        </w:r>
        <w:r w:rsidR="004D7F4B">
          <w:rPr>
            <w:noProof/>
            <w:webHidden/>
          </w:rPr>
        </w:r>
        <w:r w:rsidR="004D7F4B">
          <w:rPr>
            <w:noProof/>
            <w:webHidden/>
          </w:rPr>
          <w:fldChar w:fldCharType="separate"/>
        </w:r>
        <w:r w:rsidR="004D7F4B">
          <w:rPr>
            <w:noProof/>
            <w:webHidden/>
          </w:rPr>
          <w:t>14</w:t>
        </w:r>
        <w:r w:rsidR="004D7F4B">
          <w:rPr>
            <w:noProof/>
            <w:webHidden/>
          </w:rPr>
          <w:fldChar w:fldCharType="end"/>
        </w:r>
      </w:hyperlink>
    </w:p>
    <w:p w14:paraId="29FCA70A" w14:textId="4662DA46" w:rsidR="004D7F4B" w:rsidRDefault="009F679D">
      <w:pPr>
        <w:pStyle w:val="ad"/>
        <w:tabs>
          <w:tab w:val="right" w:leader="dot" w:pos="10620"/>
        </w:tabs>
        <w:ind w:left="3082"/>
        <w:rPr>
          <w:rFonts w:asciiTheme="minorHAnsi" w:eastAsiaTheme="minorEastAsia" w:hAnsiTheme="minorHAnsi" w:cstheme="minorBidi"/>
          <w:noProof/>
          <w:szCs w:val="22"/>
        </w:rPr>
      </w:pPr>
      <w:hyperlink w:anchor="_Toc65799025" w:history="1">
        <w:r w:rsidR="004D7F4B" w:rsidRPr="00BB5174">
          <w:rPr>
            <w:rStyle w:val="ac"/>
            <w:noProof/>
          </w:rPr>
          <w:t>表</w:t>
        </w:r>
        <w:r w:rsidR="004D7F4B" w:rsidRPr="00BB5174">
          <w:rPr>
            <w:rStyle w:val="ac"/>
            <w:noProof/>
          </w:rPr>
          <w:t xml:space="preserve"> 6</w:t>
        </w:r>
        <w:r w:rsidR="004D7F4B" w:rsidRPr="00BB5174">
          <w:rPr>
            <w:rStyle w:val="ac"/>
            <w:noProof/>
          </w:rPr>
          <w:t>：行业主题基金业绩评价基准选择情况统计</w:t>
        </w:r>
        <w:r w:rsidR="004D7F4B">
          <w:rPr>
            <w:noProof/>
            <w:webHidden/>
          </w:rPr>
          <w:tab/>
        </w:r>
        <w:r w:rsidR="004D7F4B">
          <w:rPr>
            <w:noProof/>
            <w:webHidden/>
          </w:rPr>
          <w:fldChar w:fldCharType="begin"/>
        </w:r>
        <w:r w:rsidR="004D7F4B">
          <w:rPr>
            <w:noProof/>
            <w:webHidden/>
          </w:rPr>
          <w:instrText xml:space="preserve"> PAGEREF _Toc65799025 \h </w:instrText>
        </w:r>
        <w:r w:rsidR="004D7F4B">
          <w:rPr>
            <w:noProof/>
            <w:webHidden/>
          </w:rPr>
        </w:r>
        <w:r w:rsidR="004D7F4B">
          <w:rPr>
            <w:noProof/>
            <w:webHidden/>
          </w:rPr>
          <w:fldChar w:fldCharType="separate"/>
        </w:r>
        <w:r w:rsidR="004D7F4B">
          <w:rPr>
            <w:noProof/>
            <w:webHidden/>
          </w:rPr>
          <w:t>18</w:t>
        </w:r>
        <w:r w:rsidR="004D7F4B">
          <w:rPr>
            <w:noProof/>
            <w:webHidden/>
          </w:rPr>
          <w:fldChar w:fldCharType="end"/>
        </w:r>
      </w:hyperlink>
    </w:p>
    <w:p w14:paraId="17AF5770" w14:textId="5CA101C6" w:rsidR="00742EE3" w:rsidRPr="00CB27DC" w:rsidRDefault="00742EE3" w:rsidP="00742EE3">
      <w:pPr>
        <w:pStyle w:val="ae"/>
        <w:ind w:left="3017"/>
        <w:rPr>
          <w:b/>
          <w:color w:val="0F243E" w:themeColor="text2" w:themeShade="80"/>
          <w:sz w:val="18"/>
          <w:szCs w:val="18"/>
          <w:lang w:eastAsia="zh-CN"/>
        </w:rPr>
      </w:pPr>
      <w:r>
        <w:rPr>
          <w:rStyle w:val="ab"/>
          <w:rFonts w:ascii="Times New Roman" w:eastAsia="楷体_GB2312" w:hAnsi="Times New Roman" w:cs="Times New Roman"/>
          <w:color w:val="0F243E" w:themeColor="text2" w:themeShade="80"/>
        </w:rPr>
        <w:fldChar w:fldCharType="end"/>
      </w:r>
      <w:r w:rsidRPr="00CB27DC">
        <w:rPr>
          <w:rStyle w:val="ab"/>
          <w:rFonts w:ascii="Times New Roman" w:eastAsia="楷体_GB2312" w:hAnsi="Times New Roman" w:cs="Times New Roman"/>
          <w:color w:val="0F243E" w:themeColor="text2" w:themeShade="80"/>
          <w:lang w:eastAsia="zh-CN"/>
        </w:rPr>
        <w:br w:type="page"/>
      </w:r>
      <w:bookmarkStart w:id="2" w:name="start_tag"/>
    </w:p>
    <w:p w14:paraId="3CBA25ED" w14:textId="1406ED06" w:rsidR="00742EE3" w:rsidRPr="009B1FB9" w:rsidRDefault="00742EE3" w:rsidP="00742EE3">
      <w:pPr>
        <w:pStyle w:val="1"/>
        <w:spacing w:before="326"/>
        <w:rPr>
          <w:lang w:eastAsia="zh-CN"/>
        </w:rPr>
      </w:pPr>
      <w:bookmarkStart w:id="3" w:name="_Toc518314372"/>
      <w:bookmarkStart w:id="4" w:name="_Toc34803846"/>
      <w:bookmarkStart w:id="5" w:name="_Toc65798985"/>
      <w:bookmarkEnd w:id="1"/>
      <w:bookmarkEnd w:id="2"/>
      <w:r>
        <w:rPr>
          <w:rFonts w:hint="eastAsia"/>
          <w:lang w:eastAsia="zh-CN"/>
        </w:rPr>
        <w:lastRenderedPageBreak/>
        <w:t>一、</w:t>
      </w:r>
      <w:r w:rsidR="00222605">
        <w:rPr>
          <w:rFonts w:hint="eastAsia"/>
          <w:lang w:eastAsia="zh-CN"/>
        </w:rPr>
        <w:t>基金业绩评价基准</w:t>
      </w:r>
      <w:bookmarkEnd w:id="3"/>
      <w:bookmarkEnd w:id="4"/>
      <w:r w:rsidR="00222605">
        <w:rPr>
          <w:rFonts w:hint="eastAsia"/>
          <w:lang w:eastAsia="zh-CN"/>
        </w:rPr>
        <w:t>的定义</w:t>
      </w:r>
      <w:bookmarkEnd w:id="5"/>
    </w:p>
    <w:p w14:paraId="04B73594" w14:textId="745530B5" w:rsidR="004C4B89" w:rsidRDefault="00430157" w:rsidP="009F679D">
      <w:pPr>
        <w:pStyle w:val="ae"/>
        <w:spacing w:beforeLines="50" w:before="163" w:afterLines="50" w:after="163" w:line="252" w:lineRule="auto"/>
        <w:ind w:left="3017" w:firstLine="583"/>
        <w:jc w:val="both"/>
        <w:rPr>
          <w:lang w:eastAsia="zh-CN"/>
        </w:rPr>
      </w:pPr>
      <w:r>
        <w:rPr>
          <w:rFonts w:hint="eastAsia"/>
          <w:lang w:eastAsia="zh-CN"/>
        </w:rPr>
        <w:t>业界中认为的基金</w:t>
      </w:r>
      <w:r w:rsidR="00222605">
        <w:rPr>
          <w:rFonts w:hint="eastAsia"/>
          <w:lang w:eastAsia="zh-CN"/>
        </w:rPr>
        <w:t>业绩比较基准</w:t>
      </w:r>
      <w:r>
        <w:rPr>
          <w:rFonts w:hint="eastAsia"/>
          <w:lang w:eastAsia="zh-CN"/>
        </w:rPr>
        <w:t>即金融学学界中认为的投资组合的预期收益率</w:t>
      </w:r>
      <w:r w:rsidR="004C4B89">
        <w:rPr>
          <w:rFonts w:hint="eastAsia"/>
          <w:lang w:eastAsia="zh-CN"/>
        </w:rPr>
        <w:t>。但是在实务中，</w:t>
      </w:r>
      <w:r w:rsidR="00222605">
        <w:rPr>
          <w:rFonts w:hint="eastAsia"/>
          <w:lang w:eastAsia="zh-CN"/>
        </w:rPr>
        <w:t>由于监管要求不得使用预期收益率</w:t>
      </w:r>
      <w:r w:rsidR="004C4B89">
        <w:rPr>
          <w:rFonts w:hint="eastAsia"/>
          <w:lang w:eastAsia="zh-CN"/>
        </w:rPr>
        <w:t>等字眼以免误导投资者，基金管理人一般遵循</w:t>
      </w:r>
      <w:r w:rsidR="00222605">
        <w:rPr>
          <w:rFonts w:hint="eastAsia"/>
          <w:lang w:eastAsia="zh-CN"/>
        </w:rPr>
        <w:t>“实质重于形式”的</w:t>
      </w:r>
      <w:r w:rsidR="004C4B89">
        <w:rPr>
          <w:rFonts w:hint="eastAsia"/>
          <w:lang w:eastAsia="zh-CN"/>
        </w:rPr>
        <w:t>原则</w:t>
      </w:r>
      <w:r w:rsidR="00222605">
        <w:rPr>
          <w:rFonts w:hint="eastAsia"/>
          <w:lang w:eastAsia="zh-CN"/>
        </w:rPr>
        <w:t>，</w:t>
      </w:r>
      <w:r w:rsidR="004C4B89">
        <w:rPr>
          <w:rFonts w:hint="eastAsia"/>
          <w:lang w:eastAsia="zh-CN"/>
        </w:rPr>
        <w:t>即</w:t>
      </w:r>
      <w:r w:rsidR="00222605">
        <w:rPr>
          <w:rFonts w:hint="eastAsia"/>
          <w:lang w:eastAsia="zh-CN"/>
        </w:rPr>
        <w:t>约定“业绩比较基准”或“业绩报酬计提标准”，但</w:t>
      </w:r>
      <w:r w:rsidR="004C4B89">
        <w:rPr>
          <w:rFonts w:hint="eastAsia"/>
          <w:lang w:eastAsia="zh-CN"/>
        </w:rPr>
        <w:t>这些</w:t>
      </w:r>
      <w:r w:rsidR="00222605">
        <w:rPr>
          <w:rFonts w:hint="eastAsia"/>
          <w:lang w:eastAsia="zh-CN"/>
        </w:rPr>
        <w:t>概念的使用与</w:t>
      </w:r>
      <w:r w:rsidR="004C4B89">
        <w:rPr>
          <w:rFonts w:hint="eastAsia"/>
          <w:lang w:eastAsia="zh-CN"/>
        </w:rPr>
        <w:t>业绩评价基准的</w:t>
      </w:r>
      <w:r w:rsidR="00222605">
        <w:rPr>
          <w:rFonts w:hint="eastAsia"/>
          <w:lang w:eastAsia="zh-CN"/>
        </w:rPr>
        <w:t>内涵</w:t>
      </w:r>
      <w:r w:rsidR="004C4B89">
        <w:rPr>
          <w:rFonts w:hint="eastAsia"/>
          <w:lang w:eastAsia="zh-CN"/>
        </w:rPr>
        <w:t>是保持</w:t>
      </w:r>
      <w:r w:rsidR="00222605">
        <w:rPr>
          <w:rFonts w:hint="eastAsia"/>
          <w:lang w:eastAsia="zh-CN"/>
        </w:rPr>
        <w:t>一致</w:t>
      </w:r>
      <w:r w:rsidR="004C4B89">
        <w:rPr>
          <w:rFonts w:hint="eastAsia"/>
          <w:lang w:eastAsia="zh-CN"/>
        </w:rPr>
        <w:t>的</w:t>
      </w:r>
      <w:r w:rsidR="00222605">
        <w:rPr>
          <w:rFonts w:hint="eastAsia"/>
          <w:lang w:eastAsia="zh-CN"/>
        </w:rPr>
        <w:t>。</w:t>
      </w:r>
    </w:p>
    <w:p w14:paraId="4EE1B90D" w14:textId="77777777" w:rsidR="004C4B89" w:rsidRDefault="004C4B89" w:rsidP="00430157">
      <w:pPr>
        <w:pStyle w:val="ae"/>
        <w:spacing w:beforeLines="50" w:before="163" w:afterLines="50" w:after="163" w:line="252" w:lineRule="auto"/>
        <w:ind w:left="3017" w:firstLine="583"/>
        <w:jc w:val="both"/>
        <w:rPr>
          <w:lang w:eastAsia="zh-CN"/>
        </w:rPr>
      </w:pPr>
      <w:r>
        <w:rPr>
          <w:rFonts w:hint="eastAsia"/>
          <w:lang w:eastAsia="zh-CN"/>
        </w:rPr>
        <w:t>业绩比较基准的含义可以从以下三个方面进行理解。</w:t>
      </w:r>
    </w:p>
    <w:p w14:paraId="033A8219" w14:textId="77BA3F64" w:rsidR="004C4B89" w:rsidRDefault="004C4B89" w:rsidP="00430157">
      <w:pPr>
        <w:pStyle w:val="ae"/>
        <w:spacing w:beforeLines="50" w:before="163" w:afterLines="50" w:after="163" w:line="252" w:lineRule="auto"/>
        <w:ind w:left="3017" w:firstLine="583"/>
        <w:jc w:val="both"/>
        <w:rPr>
          <w:lang w:eastAsia="zh-CN"/>
        </w:rPr>
      </w:pPr>
      <w:r>
        <w:rPr>
          <w:rFonts w:hint="eastAsia"/>
          <w:lang w:eastAsia="zh-CN"/>
        </w:rPr>
        <w:t>首先，基金的业绩比较基准意味着投资组合回报情况的最基础要求，或者说是“及格线”。不同基金的业绩比较基准差异相对较大。对于主动投资基金（</w:t>
      </w:r>
      <w:r>
        <w:rPr>
          <w:rFonts w:hint="eastAsia"/>
          <w:lang w:eastAsia="zh-CN"/>
        </w:rPr>
        <w:t>Active</w:t>
      </w:r>
      <w:r w:rsidR="009F679D">
        <w:rPr>
          <w:lang w:eastAsia="zh-CN"/>
        </w:rPr>
        <w:t xml:space="preserve"> </w:t>
      </w:r>
      <w:r>
        <w:rPr>
          <w:rFonts w:hint="eastAsia"/>
          <w:lang w:eastAsia="zh-CN"/>
        </w:rPr>
        <w:t>investment</w:t>
      </w:r>
      <w:r>
        <w:rPr>
          <w:rFonts w:hint="eastAsia"/>
          <w:lang w:eastAsia="zh-CN"/>
        </w:rPr>
        <w:t>），我们可以通过基金业绩和业绩比较基准之间的存在的超额收益的大小和波动性来判断一个基金经理的主动管理能力。</w:t>
      </w:r>
    </w:p>
    <w:p w14:paraId="20A4DCA9" w14:textId="49F9F7CE" w:rsidR="00222605" w:rsidRDefault="004C4B89" w:rsidP="00430157">
      <w:pPr>
        <w:pStyle w:val="ae"/>
        <w:spacing w:beforeLines="50" w:before="163" w:afterLines="50" w:after="163" w:line="252" w:lineRule="auto"/>
        <w:ind w:left="3017" w:firstLine="583"/>
        <w:jc w:val="both"/>
        <w:rPr>
          <w:lang w:eastAsia="zh-CN"/>
        </w:rPr>
      </w:pPr>
      <w:r>
        <w:rPr>
          <w:rFonts w:hint="eastAsia"/>
          <w:lang w:eastAsia="zh-CN"/>
        </w:rPr>
        <w:t>其次，基金的业绩比较基准的构成代表了基金的基本投资风格。</w:t>
      </w:r>
      <w:r w:rsidR="00222605">
        <w:rPr>
          <w:rFonts w:hint="eastAsia"/>
          <w:lang w:eastAsia="zh-CN"/>
        </w:rPr>
        <w:t>市场上的业绩比较基准主要有单一数值型、区间数值型、基准利率或市场化利率上做加减和指数或指数组合。</w:t>
      </w:r>
      <w:r>
        <w:rPr>
          <w:rFonts w:hint="eastAsia"/>
          <w:lang w:eastAsia="zh-CN"/>
        </w:rPr>
        <w:t>对于单一组成部分构成基准的基金，其主要对标的是某一指数资产；对于由两个组成部分构成基准的基金，其基准的构成就代表了其在市场中性（</w:t>
      </w:r>
      <w:r>
        <w:rPr>
          <w:rFonts w:hint="eastAsia"/>
          <w:lang w:eastAsia="zh-CN"/>
        </w:rPr>
        <w:t>market</w:t>
      </w:r>
      <w:r>
        <w:rPr>
          <w:lang w:eastAsia="zh-CN"/>
        </w:rPr>
        <w:t xml:space="preserve"> neutralization</w:t>
      </w:r>
      <w:r>
        <w:rPr>
          <w:rFonts w:hint="eastAsia"/>
          <w:lang w:eastAsia="zh-CN"/>
        </w:rPr>
        <w:t>）环境下的战略型资产配置（</w:t>
      </w:r>
      <w:r>
        <w:rPr>
          <w:rFonts w:hint="eastAsia"/>
          <w:lang w:eastAsia="zh-CN"/>
        </w:rPr>
        <w:t>strategic</w:t>
      </w:r>
      <w:r>
        <w:rPr>
          <w:lang w:eastAsia="zh-CN"/>
        </w:rPr>
        <w:t xml:space="preserve"> </w:t>
      </w:r>
      <w:r>
        <w:rPr>
          <w:rFonts w:hint="eastAsia"/>
          <w:lang w:eastAsia="zh-CN"/>
        </w:rPr>
        <w:t>asset</w:t>
      </w:r>
      <w:r>
        <w:rPr>
          <w:lang w:eastAsia="zh-CN"/>
        </w:rPr>
        <w:t xml:space="preserve"> </w:t>
      </w:r>
      <w:r>
        <w:rPr>
          <w:rFonts w:hint="eastAsia"/>
          <w:lang w:eastAsia="zh-CN"/>
        </w:rPr>
        <w:t>allocation</w:t>
      </w:r>
      <w:r>
        <w:rPr>
          <w:rFonts w:hint="eastAsia"/>
          <w:lang w:eastAsia="zh-CN"/>
        </w:rPr>
        <w:t>）风格和相应的仓位水平。比如，</w:t>
      </w:r>
      <w:r>
        <w:rPr>
          <w:lang w:eastAsia="zh-CN"/>
        </w:rPr>
        <w:t>A</w:t>
      </w:r>
      <w:r>
        <w:rPr>
          <w:rFonts w:hint="eastAsia"/>
          <w:lang w:eastAsia="zh-CN"/>
        </w:rPr>
        <w:t>基金的业绩比较基准为：</w:t>
      </w:r>
      <w:r>
        <w:rPr>
          <w:lang w:eastAsia="zh-CN"/>
        </w:rPr>
        <w:t>75%×</w:t>
      </w:r>
      <w:r>
        <w:rPr>
          <w:rFonts w:hint="eastAsia"/>
          <w:lang w:eastAsia="zh-CN"/>
        </w:rPr>
        <w:t>沪深</w:t>
      </w:r>
      <w:r>
        <w:rPr>
          <w:lang w:eastAsia="zh-CN"/>
        </w:rPr>
        <w:t>300</w:t>
      </w:r>
      <w:r>
        <w:rPr>
          <w:rFonts w:hint="eastAsia"/>
          <w:lang w:eastAsia="zh-CN"/>
        </w:rPr>
        <w:t>指数收益率</w:t>
      </w:r>
      <w:r>
        <w:rPr>
          <w:lang w:eastAsia="zh-CN"/>
        </w:rPr>
        <w:t>+25%×</w:t>
      </w:r>
      <w:r>
        <w:rPr>
          <w:rFonts w:hint="eastAsia"/>
          <w:lang w:eastAsia="zh-CN"/>
        </w:rPr>
        <w:t>中证全债指数收益率，</w:t>
      </w:r>
      <w:r>
        <w:rPr>
          <w:lang w:eastAsia="zh-CN"/>
        </w:rPr>
        <w:t>B</w:t>
      </w:r>
      <w:r>
        <w:rPr>
          <w:rFonts w:hint="eastAsia"/>
          <w:lang w:eastAsia="zh-CN"/>
        </w:rPr>
        <w:t>基金的业绩比较基准为：沪深</w:t>
      </w:r>
      <w:r>
        <w:rPr>
          <w:lang w:eastAsia="zh-CN"/>
        </w:rPr>
        <w:t>300</w:t>
      </w:r>
      <w:r>
        <w:rPr>
          <w:rFonts w:hint="eastAsia"/>
          <w:lang w:eastAsia="zh-CN"/>
        </w:rPr>
        <w:t>指数收益率×</w:t>
      </w:r>
      <w:r>
        <w:rPr>
          <w:lang w:eastAsia="zh-CN"/>
        </w:rPr>
        <w:t>20%+</w:t>
      </w:r>
      <w:r>
        <w:rPr>
          <w:rFonts w:hint="eastAsia"/>
          <w:lang w:eastAsia="zh-CN"/>
        </w:rPr>
        <w:t>中债总全价指数收益率×</w:t>
      </w:r>
      <w:r>
        <w:rPr>
          <w:lang w:eastAsia="zh-CN"/>
        </w:rPr>
        <w:t>80%</w:t>
      </w:r>
      <w:r>
        <w:rPr>
          <w:rFonts w:hint="eastAsia"/>
          <w:lang w:eastAsia="zh-CN"/>
        </w:rPr>
        <w:t>，前者为偏股混合型基金，后者为偏债混合型基金，虽然所选用的股指基准相同，但是总得来说</w:t>
      </w:r>
      <w:r>
        <w:rPr>
          <w:lang w:eastAsia="zh-CN"/>
        </w:rPr>
        <w:t>B</w:t>
      </w:r>
      <w:r>
        <w:rPr>
          <w:rFonts w:hint="eastAsia"/>
          <w:lang w:eastAsia="zh-CN"/>
        </w:rPr>
        <w:t>基金的基准股票仓位为</w:t>
      </w:r>
      <w:r>
        <w:rPr>
          <w:lang w:eastAsia="zh-CN"/>
        </w:rPr>
        <w:t>20%</w:t>
      </w:r>
      <w:r>
        <w:rPr>
          <w:rFonts w:hint="eastAsia"/>
          <w:lang w:eastAsia="zh-CN"/>
        </w:rPr>
        <w:t>，而</w:t>
      </w:r>
      <w:r>
        <w:rPr>
          <w:lang w:eastAsia="zh-CN"/>
        </w:rPr>
        <w:t>A</w:t>
      </w:r>
      <w:r>
        <w:rPr>
          <w:rFonts w:hint="eastAsia"/>
          <w:lang w:eastAsia="zh-CN"/>
        </w:rPr>
        <w:t>基金为</w:t>
      </w:r>
      <w:r>
        <w:rPr>
          <w:lang w:eastAsia="zh-CN"/>
        </w:rPr>
        <w:t>75%</w:t>
      </w:r>
      <w:r>
        <w:rPr>
          <w:rFonts w:hint="eastAsia"/>
          <w:lang w:eastAsia="zh-CN"/>
        </w:rPr>
        <w:t>。</w:t>
      </w:r>
    </w:p>
    <w:p w14:paraId="5348C170" w14:textId="36C58CD4" w:rsidR="00742EE3" w:rsidRDefault="00222605" w:rsidP="00222605">
      <w:pPr>
        <w:pStyle w:val="ae"/>
        <w:spacing w:beforeLines="50" w:before="163" w:afterLines="50" w:after="163" w:line="252" w:lineRule="auto"/>
        <w:ind w:left="3017"/>
        <w:jc w:val="both"/>
        <w:rPr>
          <w:lang w:eastAsia="zh-CN"/>
        </w:rPr>
      </w:pPr>
      <w:r>
        <w:rPr>
          <w:lang w:eastAsia="zh-CN"/>
        </w:rPr>
        <w:tab/>
      </w:r>
      <w:r w:rsidR="004C4B89">
        <w:rPr>
          <w:rFonts w:hint="eastAsia"/>
          <w:lang w:eastAsia="zh-CN"/>
        </w:rPr>
        <w:t>最后，基金的业绩</w:t>
      </w:r>
      <w:r>
        <w:rPr>
          <w:rFonts w:hint="eastAsia"/>
          <w:lang w:eastAsia="zh-CN"/>
        </w:rPr>
        <w:t>比较基准</w:t>
      </w:r>
      <w:r w:rsidR="004C4B89">
        <w:rPr>
          <w:rFonts w:hint="eastAsia"/>
          <w:lang w:eastAsia="zh-CN"/>
        </w:rPr>
        <w:t>还反映了基金的风险管理能力或其风险等级。从指数的选择上看，我们可以从业绩比较基准弄清基金与相应的系统性风险的关系，并且从这种理论上可以维持的系统性风险的关系来客观的评价基金的管理团队能力的高低。</w:t>
      </w:r>
    </w:p>
    <w:p w14:paraId="10A47F06" w14:textId="1F2C7A33" w:rsidR="009A63B1" w:rsidRDefault="009A63B1" w:rsidP="009A63B1">
      <w:pPr>
        <w:pStyle w:val="1"/>
        <w:spacing w:before="326"/>
        <w:rPr>
          <w:lang w:eastAsia="zh-CN"/>
        </w:rPr>
      </w:pPr>
      <w:bookmarkStart w:id="6" w:name="_Toc65798986"/>
      <w:r>
        <w:rPr>
          <w:rFonts w:hint="eastAsia"/>
          <w:lang w:eastAsia="zh-CN"/>
        </w:rPr>
        <w:t>二、</w:t>
      </w:r>
      <w:r w:rsidRPr="00222605">
        <w:rPr>
          <w:rFonts w:hint="eastAsia"/>
          <w:lang w:eastAsia="zh-CN"/>
        </w:rPr>
        <w:t>基准组合的适用性</w:t>
      </w:r>
      <w:r>
        <w:rPr>
          <w:rFonts w:hint="eastAsia"/>
          <w:lang w:eastAsia="zh-CN"/>
        </w:rPr>
        <w:t>评价</w:t>
      </w:r>
      <w:bookmarkEnd w:id="6"/>
    </w:p>
    <w:p w14:paraId="11A9B038" w14:textId="77777777" w:rsidR="009A63B1" w:rsidRDefault="009A63B1" w:rsidP="009A63B1">
      <w:pPr>
        <w:pStyle w:val="2"/>
        <w:spacing w:before="326"/>
        <w:ind w:leftChars="0"/>
        <w:rPr>
          <w:lang w:eastAsia="zh-CN"/>
        </w:rPr>
      </w:pPr>
      <w:bookmarkStart w:id="7" w:name="_Toc65798987"/>
      <w:r>
        <w:rPr>
          <w:rFonts w:hint="eastAsia"/>
          <w:lang w:eastAsia="zh-CN"/>
        </w:rPr>
        <w:t>（一）业绩评价基准的特征</w:t>
      </w:r>
      <w:bookmarkEnd w:id="7"/>
    </w:p>
    <w:p w14:paraId="35DA202C" w14:textId="77777777" w:rsidR="009A63B1" w:rsidRPr="00D54BE2" w:rsidRDefault="009A63B1" w:rsidP="009F679D">
      <w:pPr>
        <w:autoSpaceDE w:val="0"/>
        <w:autoSpaceDN w:val="0"/>
        <w:adjustRightInd w:val="0"/>
        <w:spacing w:beforeLines="50" w:before="163" w:after="100"/>
        <w:ind w:leftChars="1257" w:left="3017" w:firstLineChars="181" w:firstLine="380"/>
        <w:jc w:val="both"/>
        <w:rPr>
          <w:rFonts w:ascii="Arial" w:eastAsia="楷体_GB2312" w:hAnsi="Arial"/>
          <w:kern w:val="0"/>
          <w:sz w:val="21"/>
          <w:szCs w:val="21"/>
          <w:lang w:eastAsia="zh-CN"/>
        </w:rPr>
      </w:pPr>
      <w:r w:rsidRPr="00D54BE2">
        <w:rPr>
          <w:rFonts w:ascii="Arial" w:eastAsia="楷体_GB2312" w:hAnsi="Arial" w:hint="eastAsia"/>
          <w:kern w:val="0"/>
          <w:sz w:val="21"/>
          <w:szCs w:val="21"/>
          <w:lang w:eastAsia="zh-CN"/>
        </w:rPr>
        <w:t>有效的业绩比较基准应该具备以下特征</w:t>
      </w:r>
      <w:r>
        <w:rPr>
          <w:rStyle w:val="aff7"/>
          <w:rFonts w:ascii="Arial" w:eastAsia="楷体_GB2312" w:hAnsi="Arial"/>
          <w:kern w:val="0"/>
          <w:sz w:val="21"/>
          <w:szCs w:val="21"/>
          <w:lang w:eastAsia="zh-CN"/>
        </w:rPr>
        <w:footnoteReference w:id="1"/>
      </w:r>
      <w:r w:rsidRPr="00D54BE2">
        <w:rPr>
          <w:rFonts w:ascii="Arial" w:eastAsia="楷体_GB2312" w:hAnsi="Arial" w:hint="eastAsia"/>
          <w:kern w:val="0"/>
          <w:sz w:val="21"/>
          <w:szCs w:val="21"/>
          <w:lang w:eastAsia="zh-CN"/>
        </w:rPr>
        <w:t>：</w:t>
      </w:r>
    </w:p>
    <w:p w14:paraId="0C110AEF"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清晰。构成业绩比较基准的指数的成份证券是市场公认的，并且指数的在基准中的权重构成是清晰的。</w:t>
      </w:r>
    </w:p>
    <w:p w14:paraId="04DD293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可投资。可以越过主动管理直接使用指数化工具复制某类资产业绩，即直接使用指数化工具就能获得整个业绩比较基准的表现。</w:t>
      </w:r>
    </w:p>
    <w:p w14:paraId="3383449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可衡量。给定时间窗口，业绩比较基准的业绩表现可以量化成数量指标。</w:t>
      </w:r>
    </w:p>
    <w:p w14:paraId="4DEB9A11"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恰当。业绩比较基准能较好的反映投资策略的表现以及组合经理的投资风格。</w:t>
      </w:r>
    </w:p>
    <w:p w14:paraId="62825B03"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lastRenderedPageBreak/>
        <w:t>反映当前投资观点。组合经理对于构成业绩比较基准的基础证券以及因子暴露（</w:t>
      </w:r>
      <w:r w:rsidRPr="00C25E5D">
        <w:rPr>
          <w:rFonts w:ascii="Arial" w:eastAsia="楷体_GB2312" w:hAnsi="Arial"/>
          <w:kern w:val="0"/>
          <w:szCs w:val="21"/>
        </w:rPr>
        <w:t>factor exposures</w:t>
      </w:r>
      <w:r w:rsidRPr="00C25E5D">
        <w:rPr>
          <w:rFonts w:ascii="Arial" w:eastAsia="楷体_GB2312" w:hAnsi="Arial" w:hint="eastAsia"/>
          <w:kern w:val="0"/>
          <w:szCs w:val="21"/>
        </w:rPr>
        <w:t>）有及时全面的了解。</w:t>
      </w:r>
    </w:p>
    <w:p w14:paraId="3DEA5DF4"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提前制定。业绩比较基准的制定和公布要先于业绩评估。</w:t>
      </w:r>
    </w:p>
    <w:p w14:paraId="632327A4" w14:textId="77777777" w:rsidR="009A63B1" w:rsidRPr="00176693" w:rsidRDefault="009A63B1" w:rsidP="009A63B1">
      <w:pPr>
        <w:autoSpaceDE w:val="0"/>
        <w:autoSpaceDN w:val="0"/>
        <w:adjustRightInd w:val="0"/>
        <w:spacing w:after="100"/>
        <w:ind w:leftChars="1257" w:left="3017" w:firstLineChars="1" w:firstLine="2"/>
        <w:jc w:val="both"/>
        <w:rPr>
          <w:rFonts w:eastAsiaTheme="minorEastAsia"/>
          <w:lang w:eastAsia="zh-CN"/>
        </w:rPr>
      </w:pPr>
    </w:p>
    <w:p w14:paraId="56B49BCA" w14:textId="77777777" w:rsidR="009A63B1" w:rsidRPr="00176693" w:rsidRDefault="009A63B1" w:rsidP="009A63B1">
      <w:pPr>
        <w:pStyle w:val="2"/>
        <w:spacing w:before="326"/>
        <w:ind w:leftChars="0"/>
        <w:rPr>
          <w:rFonts w:eastAsiaTheme="minorEastAsia"/>
          <w:lang w:eastAsia="zh-CN"/>
        </w:rPr>
      </w:pPr>
      <w:bookmarkStart w:id="8" w:name="_Toc65798988"/>
      <w:r>
        <w:rPr>
          <w:rFonts w:hint="eastAsia"/>
          <w:lang w:eastAsia="zh-CN"/>
        </w:rPr>
        <w:t>（二）正交属性检测基金业绩评价基准的适用性</w:t>
      </w:r>
      <w:bookmarkEnd w:id="8"/>
    </w:p>
    <w:p w14:paraId="69C96CB9" w14:textId="2DC4E3B6" w:rsidR="009A63B1"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22605">
        <w:rPr>
          <w:rFonts w:ascii="Arial" w:eastAsia="楷体_GB2312" w:hAnsi="Arial"/>
          <w:kern w:val="0"/>
          <w:sz w:val="21"/>
          <w:szCs w:val="21"/>
          <w:lang w:eastAsia="zh-CN"/>
        </w:rPr>
        <w:t>1995</w:t>
      </w:r>
      <w:r w:rsidRPr="00222605">
        <w:rPr>
          <w:rFonts w:ascii="Arial" w:eastAsia="楷体_GB2312" w:hAnsi="Arial" w:hint="eastAsia"/>
          <w:kern w:val="0"/>
          <w:sz w:val="21"/>
          <w:szCs w:val="21"/>
          <w:lang w:eastAsia="zh-CN"/>
        </w:rPr>
        <w:t>年，</w:t>
      </w:r>
      <w:r w:rsidRPr="00222605">
        <w:rPr>
          <w:rFonts w:ascii="Arial" w:eastAsia="楷体_GB2312" w:hAnsi="Arial"/>
          <w:kern w:val="0"/>
          <w:sz w:val="21"/>
          <w:szCs w:val="21"/>
          <w:lang w:eastAsia="zh-CN"/>
        </w:rPr>
        <w:t>Tierney</w:t>
      </w:r>
      <w:r w:rsidRPr="00222605">
        <w:rPr>
          <w:rFonts w:ascii="Arial" w:eastAsia="楷体_GB2312" w:hAnsi="Arial" w:hint="eastAsia"/>
          <w:kern w:val="0"/>
          <w:sz w:val="21"/>
          <w:szCs w:val="21"/>
          <w:lang w:eastAsia="zh-CN"/>
        </w:rPr>
        <w:t>和</w:t>
      </w:r>
      <w:r w:rsidRPr="00222605">
        <w:rPr>
          <w:rFonts w:ascii="Arial" w:eastAsia="楷体_GB2312" w:hAnsi="Arial"/>
          <w:kern w:val="0"/>
          <w:sz w:val="21"/>
          <w:szCs w:val="21"/>
          <w:lang w:eastAsia="zh-CN"/>
        </w:rPr>
        <w:t>Bailey</w:t>
      </w:r>
      <w:r w:rsidRPr="00222605">
        <w:rPr>
          <w:rFonts w:ascii="Arial" w:eastAsia="楷体_GB2312" w:hAnsi="Arial" w:hint="eastAsia"/>
          <w:kern w:val="0"/>
          <w:sz w:val="21"/>
          <w:szCs w:val="21"/>
          <w:lang w:eastAsia="zh-CN"/>
        </w:rPr>
        <w:t>在原有研究的基础上，在“</w:t>
      </w:r>
      <w:r w:rsidRPr="00222605">
        <w:rPr>
          <w:rFonts w:ascii="Arial" w:eastAsia="楷体_GB2312" w:hAnsi="Arial"/>
          <w:kern w:val="0"/>
          <w:sz w:val="21"/>
          <w:szCs w:val="21"/>
          <w:lang w:eastAsia="zh-CN"/>
        </w:rPr>
        <w:t>Benchmark Orthogonally Properties”</w:t>
      </w:r>
      <w:r>
        <w:rPr>
          <w:rStyle w:val="aff7"/>
          <w:rFonts w:ascii="Arial" w:eastAsia="楷体_GB2312" w:hAnsi="Arial"/>
          <w:kern w:val="0"/>
          <w:sz w:val="21"/>
          <w:szCs w:val="21"/>
          <w:lang w:eastAsia="zh-CN"/>
        </w:rPr>
        <w:footnoteReference w:id="2"/>
      </w:r>
      <w:r w:rsidRPr="00222605">
        <w:rPr>
          <w:rFonts w:ascii="Arial" w:eastAsia="楷体_GB2312" w:hAnsi="Arial" w:hint="eastAsia"/>
          <w:kern w:val="0"/>
          <w:sz w:val="21"/>
          <w:szCs w:val="21"/>
          <w:lang w:eastAsia="zh-CN"/>
        </w:rPr>
        <w:t>一文中提出可应用正交属性来检测基准组合的适用性，进一步量化了适用性的判断方式。</w:t>
      </w:r>
      <w:r w:rsidR="009F679D">
        <w:rPr>
          <w:rFonts w:ascii="Arial" w:eastAsia="楷体_GB2312" w:hAnsi="Arial" w:hint="eastAsia"/>
          <w:kern w:val="0"/>
          <w:sz w:val="21"/>
          <w:szCs w:val="21"/>
          <w:lang w:eastAsia="zh-CN"/>
        </w:rPr>
        <w:t>该篇论文</w:t>
      </w:r>
      <w:r w:rsidRPr="00222605">
        <w:rPr>
          <w:rFonts w:ascii="Arial" w:eastAsia="楷体_GB2312" w:hAnsi="Arial" w:hint="eastAsia"/>
          <w:kern w:val="0"/>
          <w:sz w:val="21"/>
          <w:szCs w:val="21"/>
          <w:lang w:eastAsia="zh-CN"/>
        </w:rPr>
        <w:t>采用正交属性判断方式探讨主动基</w:t>
      </w:r>
      <w:r w:rsidR="009F679D">
        <w:rPr>
          <w:rFonts w:ascii="Arial" w:eastAsia="楷体_GB2312" w:hAnsi="Arial" w:hint="eastAsia"/>
          <w:kern w:val="0"/>
          <w:sz w:val="21"/>
          <w:szCs w:val="21"/>
          <w:lang w:eastAsia="zh-CN"/>
        </w:rPr>
        <w:t>金</w:t>
      </w:r>
      <w:r w:rsidRPr="00222605">
        <w:rPr>
          <w:rFonts w:ascii="Arial" w:eastAsia="楷体_GB2312" w:hAnsi="Arial" w:hint="eastAsia"/>
          <w:kern w:val="0"/>
          <w:sz w:val="21"/>
          <w:szCs w:val="21"/>
          <w:lang w:eastAsia="zh-CN"/>
        </w:rPr>
        <w:t>业绩比较基准适用性</w:t>
      </w:r>
      <w:r w:rsidR="009F679D">
        <w:rPr>
          <w:rFonts w:ascii="Arial" w:eastAsia="楷体_GB2312" w:hAnsi="Arial" w:hint="eastAsia"/>
          <w:kern w:val="0"/>
          <w:sz w:val="21"/>
          <w:szCs w:val="21"/>
          <w:lang w:eastAsia="zh-CN"/>
        </w:rPr>
        <w:t>：</w:t>
      </w:r>
      <w:r w:rsidRPr="00222605">
        <w:rPr>
          <w:rFonts w:ascii="Arial" w:eastAsia="楷体_GB2312" w:hAnsi="Arial" w:hint="eastAsia"/>
          <w:kern w:val="0"/>
          <w:sz w:val="21"/>
          <w:szCs w:val="21"/>
          <w:lang w:eastAsia="zh-CN"/>
        </w:rPr>
        <w:t>基金对基准的敏感系数β</w:t>
      </w:r>
      <w:r w:rsidR="009F679D">
        <w:rPr>
          <w:rFonts w:ascii="Arial" w:eastAsia="楷体_GB2312" w:hAnsi="Arial" w:hint="eastAsia"/>
          <w:kern w:val="0"/>
          <w:sz w:val="21"/>
          <w:szCs w:val="21"/>
          <w:lang w:eastAsia="zh-CN"/>
        </w:rPr>
        <w:t>越</w:t>
      </w:r>
      <w:r w:rsidRPr="00222605">
        <w:rPr>
          <w:rFonts w:ascii="Arial" w:eastAsia="楷体_GB2312" w:hAnsi="Arial" w:hint="eastAsia"/>
          <w:kern w:val="0"/>
          <w:sz w:val="21"/>
          <w:szCs w:val="21"/>
          <w:lang w:eastAsia="zh-CN"/>
        </w:rPr>
        <w:t>靠近</w:t>
      </w:r>
      <w:r w:rsidRPr="00222605">
        <w:rPr>
          <w:rFonts w:ascii="Arial" w:eastAsia="楷体_GB2312" w:hAnsi="Arial"/>
          <w:kern w:val="0"/>
          <w:sz w:val="21"/>
          <w:szCs w:val="21"/>
          <w:lang w:eastAsia="zh-CN"/>
        </w:rPr>
        <w:t>1</w:t>
      </w:r>
      <w:r w:rsidRPr="00222605">
        <w:rPr>
          <w:rFonts w:ascii="Arial" w:eastAsia="楷体_GB2312" w:hAnsi="Arial" w:hint="eastAsia"/>
          <w:kern w:val="0"/>
          <w:sz w:val="21"/>
          <w:szCs w:val="21"/>
          <w:lang w:eastAsia="zh-CN"/>
        </w:rPr>
        <w:t>，基准</w:t>
      </w:r>
      <w:r w:rsidR="009F679D">
        <w:rPr>
          <w:rFonts w:ascii="Arial" w:eastAsia="楷体_GB2312" w:hAnsi="Arial" w:hint="eastAsia"/>
          <w:kern w:val="0"/>
          <w:sz w:val="21"/>
          <w:szCs w:val="21"/>
          <w:lang w:eastAsia="zh-CN"/>
        </w:rPr>
        <w:t>越</w:t>
      </w:r>
      <w:r w:rsidRPr="00222605">
        <w:rPr>
          <w:rFonts w:ascii="Arial" w:eastAsia="楷体_GB2312" w:hAnsi="Arial" w:hint="eastAsia"/>
          <w:kern w:val="0"/>
          <w:sz w:val="21"/>
          <w:szCs w:val="21"/>
          <w:lang w:eastAsia="zh-CN"/>
        </w:rPr>
        <w:t>能够正确反映基金经理的投资风格，</w:t>
      </w:r>
      <w:r w:rsidR="009F679D">
        <w:rPr>
          <w:rFonts w:ascii="Arial" w:eastAsia="楷体_GB2312" w:hAnsi="Arial" w:hint="eastAsia"/>
          <w:kern w:val="0"/>
          <w:sz w:val="21"/>
          <w:szCs w:val="21"/>
          <w:lang w:eastAsia="zh-CN"/>
        </w:rPr>
        <w:t>投资者越能够</w:t>
      </w:r>
      <w:r w:rsidRPr="00222605">
        <w:rPr>
          <w:rFonts w:ascii="Arial" w:eastAsia="楷体_GB2312" w:hAnsi="Arial" w:hint="eastAsia"/>
          <w:kern w:val="0"/>
          <w:sz w:val="21"/>
          <w:szCs w:val="21"/>
          <w:lang w:eastAsia="zh-CN"/>
        </w:rPr>
        <w:t>对基金组合业绩做出客观、正确的评价</w:t>
      </w:r>
      <w:r w:rsidR="009F679D">
        <w:rPr>
          <w:rFonts w:ascii="Arial" w:eastAsia="楷体_GB2312" w:hAnsi="Arial" w:hint="eastAsia"/>
          <w:kern w:val="0"/>
          <w:sz w:val="21"/>
          <w:szCs w:val="21"/>
          <w:lang w:eastAsia="zh-CN"/>
        </w:rPr>
        <w:t>。</w:t>
      </w:r>
    </w:p>
    <w:p w14:paraId="6F5CD4F6"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kern w:val="0"/>
          <w:sz w:val="21"/>
          <w:szCs w:val="21"/>
          <w:lang w:eastAsia="zh-CN"/>
        </w:rPr>
        <w:tab/>
      </w:r>
      <w:r>
        <w:rPr>
          <w:rFonts w:ascii="Arial" w:eastAsia="楷体_GB2312" w:hAnsi="Arial" w:hint="eastAsia"/>
          <w:kern w:val="0"/>
          <w:sz w:val="21"/>
          <w:szCs w:val="21"/>
          <w:lang w:eastAsia="zh-CN"/>
        </w:rPr>
        <w:t>首先，假设投资组合</w:t>
      </w:r>
      <w:r>
        <w:rPr>
          <w:rFonts w:ascii="Arial" w:eastAsia="楷体_GB2312" w:hAnsi="Arial" w:hint="eastAsia"/>
          <w:kern w:val="0"/>
          <w:sz w:val="21"/>
          <w:szCs w:val="21"/>
          <w:lang w:eastAsia="zh-CN"/>
        </w:rPr>
        <w:t>P</w:t>
      </w:r>
      <w:r>
        <w:rPr>
          <w:rFonts w:ascii="Arial" w:eastAsia="楷体_GB2312" w:hAnsi="Arial" w:hint="eastAsia"/>
          <w:kern w:val="0"/>
          <w:sz w:val="21"/>
          <w:szCs w:val="21"/>
          <w:lang w:eastAsia="zh-CN"/>
        </w:rPr>
        <w:t>有一个合适的基准</w:t>
      </w:r>
      <w:r>
        <w:rPr>
          <w:rFonts w:ascii="Arial" w:eastAsia="楷体_GB2312" w:hAnsi="Arial" w:hint="eastAsia"/>
          <w:kern w:val="0"/>
          <w:sz w:val="21"/>
          <w:szCs w:val="21"/>
          <w:lang w:eastAsia="zh-CN"/>
        </w:rPr>
        <w:t>B</w:t>
      </w:r>
      <w:r>
        <w:rPr>
          <w:rFonts w:ascii="Arial" w:eastAsia="楷体_GB2312" w:hAnsi="Arial" w:hint="eastAsia"/>
          <w:kern w:val="0"/>
          <w:sz w:val="21"/>
          <w:szCs w:val="21"/>
          <w:lang w:eastAsia="zh-CN"/>
        </w:rPr>
        <w:t>。</w:t>
      </w:r>
    </w:p>
    <w:p w14:paraId="5762E6D0" w14:textId="12666D29" w:rsidR="009A63B1" w:rsidRDefault="009A63B1" w:rsidP="009A63B1">
      <w:pPr>
        <w:pStyle w:val="AMDisplayEquation"/>
        <w:spacing w:after="0"/>
      </w:pPr>
      <w:r>
        <w:tab/>
      </w:r>
      <w:r w:rsidRPr="001E5939">
        <w:rPr>
          <w:position w:val="-11"/>
        </w:rPr>
        <w:object w:dxaOrig="1595" w:dyaOrig="326" w14:anchorId="4880B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5pt;height:16.05pt" o:ole="">
            <v:imagedata r:id="rId35" o:title=""/>
          </v:shape>
          <o:OLEObject Type="Embed" ProgID="Equation.AxMath" ShapeID="_x0000_i1025" DrawAspect="Content" ObjectID="_1676440579"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w:instrText>
        </w:r>
      </w:fldSimple>
      <w:r>
        <w:instrText>)</w:instrText>
      </w:r>
      <w:r>
        <w:fldChar w:fldCharType="end"/>
      </w:r>
    </w:p>
    <w:p w14:paraId="083DA6BD" w14:textId="77777777" w:rsidR="009A63B1" w:rsidRDefault="009A63B1" w:rsidP="009A63B1">
      <w:pPr>
        <w:pStyle w:val="AMDisplayEquation"/>
        <w:spacing w:after="0"/>
        <w:ind w:firstLineChars="301" w:firstLine="632"/>
      </w:pPr>
      <w:r>
        <w:rPr>
          <w:rFonts w:hint="eastAsia"/>
        </w:rPr>
        <w:t>将基金经理的主动投资组合定义为</w:t>
      </w:r>
      <w:r>
        <w:rPr>
          <w:rFonts w:hint="eastAsia"/>
        </w:rPr>
        <w:t>A</w:t>
      </w:r>
      <w:r>
        <w:rPr>
          <w:rFonts w:hint="eastAsia"/>
        </w:rPr>
        <w:t>，</w:t>
      </w:r>
      <w:r w:rsidRPr="00ED5405">
        <w:rPr>
          <w:position w:val="-10"/>
        </w:rPr>
        <w:object w:dxaOrig="1032" w:dyaOrig="314" w14:anchorId="0CEBF97E">
          <v:shape id="_x0000_i1026" type="#_x0000_t75" style="width:51.85pt;height:15.7pt" o:ole="">
            <v:imagedata r:id="rId37" o:title=""/>
          </v:shape>
          <o:OLEObject Type="Embed" ProgID="Equation.AxMath" ShapeID="_x0000_i1026" DrawAspect="Content" ObjectID="_1676440580" r:id="rId38"/>
        </w:object>
      </w:r>
      <w:r>
        <w:rPr>
          <w:rFonts w:hint="eastAsia"/>
        </w:rPr>
        <w:t>。所以投资组合可以拆为两个部分，基金经理的基准（代表其投资风格）和基金经理的主动管理决策（代表其投资技巧）。</w:t>
      </w:r>
      <w:r w:rsidRPr="000B67AB">
        <w:rPr>
          <w:rFonts w:hint="eastAsia"/>
        </w:rPr>
        <w:t>从长期看，投资组合和基准的</w:t>
      </w:r>
      <w:r w:rsidRPr="000B67AB">
        <w:rPr>
          <w:position w:val="-10"/>
        </w:rPr>
        <w:object w:dxaOrig="187" w:dyaOrig="314" w14:anchorId="53CEFB90">
          <v:shape id="_x0000_i1027" type="#_x0000_t75" style="width:9.9pt;height:15.7pt" o:ole="">
            <v:imagedata r:id="rId39" o:title=""/>
          </v:shape>
          <o:OLEObject Type="Embed" ProgID="Equation.AxMath" ShapeID="_x0000_i1027" DrawAspect="Content" ObjectID="_1676440581" r:id="rId40"/>
        </w:object>
      </w:r>
      <w:r>
        <w:rPr>
          <w:rFonts w:hint="eastAsia"/>
        </w:rPr>
        <w:t>为</w:t>
      </w:r>
      <w:r>
        <w:rPr>
          <w:rFonts w:hint="eastAsia"/>
        </w:rPr>
        <w:t>1</w:t>
      </w:r>
      <w:r>
        <w:rPr>
          <w:rFonts w:hint="eastAsia"/>
        </w:rPr>
        <w:t>，即</w:t>
      </w:r>
      <w:r w:rsidRPr="000B67AB">
        <w:rPr>
          <w:position w:val="-11"/>
        </w:rPr>
        <w:object w:dxaOrig="1092" w:dyaOrig="326" w14:anchorId="4695A445">
          <v:shape id="_x0000_i1028" type="#_x0000_t75" style="width:54.6pt;height:16.05pt" o:ole="">
            <v:imagedata r:id="rId41" o:title=""/>
          </v:shape>
          <o:OLEObject Type="Embed" ProgID="Equation.AxMath" ShapeID="_x0000_i1028" DrawAspect="Content" ObjectID="_1676440582" r:id="rId42"/>
        </w:object>
      </w:r>
      <w:r>
        <w:rPr>
          <w:rFonts w:hint="eastAsia"/>
        </w:rPr>
        <w:t>。可以推出：</w:t>
      </w:r>
    </w:p>
    <w:p w14:paraId="403246B9" w14:textId="7E0C07DA" w:rsidR="009A63B1" w:rsidRDefault="009A63B1" w:rsidP="009A63B1">
      <w:pPr>
        <w:autoSpaceDE w:val="0"/>
        <w:autoSpaceDN w:val="0"/>
        <w:adjustRightInd w:val="0"/>
        <w:spacing w:after="100"/>
        <w:ind w:leftChars="1257" w:left="3017" w:firstLineChars="1" w:firstLine="2"/>
        <w:jc w:val="both"/>
      </w:pPr>
      <w:r>
        <w:rPr>
          <w:rFonts w:eastAsiaTheme="minorEastAsia"/>
          <w:lang w:eastAsia="zh-CN"/>
        </w:rPr>
        <w:tab/>
      </w:r>
      <w:r>
        <w:rPr>
          <w:lang w:eastAsia="zh-CN"/>
        </w:rPr>
        <w:tab/>
      </w:r>
      <w:r w:rsidRPr="00CA1FF1">
        <w:rPr>
          <w:position w:val="-11"/>
        </w:rPr>
        <w:object w:dxaOrig="5164" w:dyaOrig="338" w14:anchorId="75CBC68D">
          <v:shape id="_x0000_i1029" type="#_x0000_t75" style="width:257.65pt;height:17.05pt" o:ole="">
            <v:imagedata r:id="rId43" o:title=""/>
          </v:shape>
          <o:OLEObject Type="Embed" ProgID="Equation.AxMath" ShapeID="_x0000_i1029" DrawAspect="Content" ObjectID="_1676440583" r:id="rId44"/>
        </w:object>
      </w:r>
      <w:r>
        <w:rPr>
          <w:lang w:eastAsia="zh-CN"/>
        </w:rPr>
        <w:tab/>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sidR="0010512F">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sidR="0010512F">
        <w:rPr>
          <w:noProof/>
          <w:lang w:eastAsia="zh-CN"/>
        </w:rPr>
        <w:instrText>2</w:instrText>
      </w:r>
      <w:r>
        <w:fldChar w:fldCharType="end"/>
      </w:r>
      <w:r>
        <w:rPr>
          <w:lang w:eastAsia="zh-CN"/>
        </w:rPr>
        <w:instrText>)</w:instrText>
      </w:r>
      <w:r>
        <w:fldChar w:fldCharType="end"/>
      </w:r>
    </w:p>
    <w:p w14:paraId="63D00B89" w14:textId="31C0C685" w:rsidR="009A63B1" w:rsidRDefault="009A63B1" w:rsidP="009A63B1">
      <w:pPr>
        <w:pStyle w:val="AMDisplayEquation"/>
      </w:pPr>
      <w:r>
        <w:tab/>
      </w:r>
      <w:r w:rsidRPr="00CA1FF1">
        <w:rPr>
          <w:position w:val="-54"/>
        </w:rPr>
        <w:object w:dxaOrig="3331" w:dyaOrig="1212" w14:anchorId="258D071C">
          <v:shape id="_x0000_i1030" type="#_x0000_t75" style="width:166.5pt;height:60.75pt" o:ole="">
            <v:imagedata r:id="rId45" o:title=""/>
          </v:shape>
          <o:OLEObject Type="Embed" ProgID="Equation.AxMath" ShapeID="_x0000_i1030" DrawAspect="Content" ObjectID="_1676440584" r:id="rId4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3</w:instrText>
        </w:r>
      </w:fldSimple>
      <w:r>
        <w:instrText>)</w:instrText>
      </w:r>
      <w:r>
        <w:fldChar w:fldCharType="end"/>
      </w:r>
    </w:p>
    <w:p w14:paraId="3F5768ED" w14:textId="77777777" w:rsidR="009A63B1" w:rsidRDefault="009A63B1" w:rsidP="009A63B1">
      <w:pPr>
        <w:pStyle w:val="AMDisplayEquation"/>
        <w:spacing w:after="0"/>
        <w:ind w:firstLineChars="301" w:firstLine="632"/>
      </w:pPr>
      <w:r w:rsidRPr="005044F1">
        <w:rPr>
          <w:rFonts w:hint="eastAsia"/>
        </w:rPr>
        <w:t>在实证研究中，</w:t>
      </w:r>
      <w:r>
        <w:rPr>
          <w:rFonts w:hint="eastAsia"/>
        </w:rPr>
        <w:t>如果投资组合的真实收益率与基准的收益率进行回归的回归系数在一定的显著性水平下为</w:t>
      </w:r>
      <w:r>
        <w:rPr>
          <w:rFonts w:hint="eastAsia"/>
        </w:rPr>
        <w:t>1</w:t>
      </w:r>
      <w:r>
        <w:rPr>
          <w:rFonts w:hint="eastAsia"/>
        </w:rPr>
        <w:t>，则这个基准是一个合适的基金业绩评价基准。</w:t>
      </w:r>
    </w:p>
    <w:p w14:paraId="176123FE" w14:textId="77777777" w:rsidR="009A63B1" w:rsidRDefault="009A63B1" w:rsidP="009A63B1">
      <w:pPr>
        <w:pStyle w:val="AMDisplayEquation"/>
        <w:spacing w:after="0"/>
        <w:ind w:firstLineChars="301" w:firstLine="632"/>
      </w:pPr>
      <w:r w:rsidRPr="00C674C8">
        <w:rPr>
          <w:rFonts w:hint="eastAsia"/>
        </w:rPr>
        <w:t>同时，</w:t>
      </w:r>
      <w:r>
        <w:rPr>
          <w:rFonts w:hint="eastAsia"/>
        </w:rPr>
        <w:t>基金</w:t>
      </w:r>
      <w:r w:rsidRPr="00C674C8">
        <w:rPr>
          <w:rFonts w:hint="eastAsia"/>
        </w:rPr>
        <w:t>和</w:t>
      </w:r>
      <w:r>
        <w:rPr>
          <w:rFonts w:hint="eastAsia"/>
        </w:rPr>
        <w:t>市场的</w:t>
      </w:r>
      <w:r w:rsidRPr="000B67AB">
        <w:rPr>
          <w:position w:val="-10"/>
        </w:rPr>
        <w:object w:dxaOrig="187" w:dyaOrig="314" w14:anchorId="2E5688A0">
          <v:shape id="_x0000_i1031" type="#_x0000_t75" style="width:9.9pt;height:15.7pt" o:ole="">
            <v:imagedata r:id="rId39" o:title=""/>
          </v:shape>
          <o:OLEObject Type="Embed" ProgID="Equation.AxMath" ShapeID="_x0000_i1031" DrawAspect="Content" ObjectID="_1676440585" r:id="rId47"/>
        </w:object>
      </w:r>
      <w:r>
        <w:rPr>
          <w:rFonts w:hint="eastAsia"/>
        </w:rPr>
        <w:t>和基准和市场的</w:t>
      </w:r>
      <w:r w:rsidRPr="000B67AB">
        <w:rPr>
          <w:position w:val="-10"/>
        </w:rPr>
        <w:object w:dxaOrig="187" w:dyaOrig="314" w14:anchorId="48C43898">
          <v:shape id="_x0000_i1032" type="#_x0000_t75" style="width:9.9pt;height:15.7pt" o:ole="">
            <v:imagedata r:id="rId39" o:title=""/>
          </v:shape>
          <o:OLEObject Type="Embed" ProgID="Equation.AxMath" ShapeID="_x0000_i1032" DrawAspect="Content" ObjectID="_1676440586" r:id="rId48"/>
        </w:object>
      </w:r>
      <w:r>
        <w:rPr>
          <w:rFonts w:hint="eastAsia"/>
        </w:rPr>
        <w:t>相同。</w:t>
      </w:r>
    </w:p>
    <w:p w14:paraId="04AE7D3A" w14:textId="7F0E1089" w:rsidR="009A63B1" w:rsidRDefault="009A63B1" w:rsidP="009A63B1">
      <w:pPr>
        <w:pStyle w:val="AMDisplayEquation"/>
        <w:spacing w:after="0"/>
      </w:pPr>
      <w:r>
        <w:tab/>
      </w:r>
      <w:r w:rsidRPr="007D712B">
        <w:rPr>
          <w:position w:val="-26"/>
        </w:rPr>
        <w:object w:dxaOrig="3687" w:dyaOrig="644" w14:anchorId="2ABBEA39">
          <v:shape id="_x0000_i1033" type="#_x0000_t75" style="width:184.25pt;height:32.75pt" o:ole="">
            <v:imagedata r:id="rId49" o:title=""/>
          </v:shape>
          <o:OLEObject Type="Embed" ProgID="Equation.AxMath" ShapeID="_x0000_i1033" DrawAspect="Content" ObjectID="_1676440587" r:id="rId5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4</w:instrText>
        </w:r>
      </w:fldSimple>
      <w:r>
        <w:instrText>)</w:instrText>
      </w:r>
      <w:r>
        <w:fldChar w:fldCharType="end"/>
      </w:r>
    </w:p>
    <w:p w14:paraId="3506C528" w14:textId="77777777" w:rsidR="009A63B1" w:rsidRDefault="009A63B1" w:rsidP="009A63B1">
      <w:pPr>
        <w:pStyle w:val="AMDisplayEquation"/>
        <w:spacing w:after="0"/>
        <w:ind w:firstLineChars="0" w:firstLine="1"/>
        <w:jc w:val="left"/>
      </w:pPr>
      <w:r>
        <w:t xml:space="preserve">      </w:t>
      </w:r>
      <w:r w:rsidRPr="007D712B">
        <w:rPr>
          <w:rFonts w:hint="eastAsia"/>
        </w:rPr>
        <w:t>等式两边同除</w:t>
      </w:r>
      <w:r w:rsidRPr="007D712B">
        <w:rPr>
          <w:position w:val="-11"/>
        </w:rPr>
        <w:object w:dxaOrig="880" w:dyaOrig="326" w14:anchorId="06155FBB">
          <v:shape id="_x0000_i1034" type="#_x0000_t75" style="width:44.35pt;height:16.05pt" o:ole="">
            <v:imagedata r:id="rId51" o:title=""/>
          </v:shape>
          <o:OLEObject Type="Embed" ProgID="Equation.AxMath" ShapeID="_x0000_i1034" DrawAspect="Content" ObjectID="_1676440588" r:id="rId52"/>
        </w:object>
      </w:r>
      <w:r>
        <w:rPr>
          <w:rFonts w:hint="eastAsia"/>
        </w:rPr>
        <w:t>，并考虑</w:t>
      </w:r>
      <w:r w:rsidRPr="00160375">
        <w:rPr>
          <w:position w:val="-11"/>
        </w:rPr>
        <w:object w:dxaOrig="2265" w:dyaOrig="326" w14:anchorId="7D06464C">
          <v:shape id="_x0000_i1035" type="#_x0000_t75" style="width:113.3pt;height:16.05pt" o:ole="">
            <v:imagedata r:id="rId53" o:title=""/>
          </v:shape>
          <o:OLEObject Type="Embed" ProgID="Equation.AxMath" ShapeID="_x0000_i1035" DrawAspect="Content" ObjectID="_1676440589" r:id="rId54"/>
        </w:object>
      </w:r>
      <w:r>
        <w:rPr>
          <w:rFonts w:hint="eastAsia"/>
        </w:rPr>
        <w:t>。</w:t>
      </w:r>
    </w:p>
    <w:p w14:paraId="5FC65404" w14:textId="245C9061" w:rsidR="009A63B1" w:rsidRDefault="009A63B1" w:rsidP="009A63B1">
      <w:pPr>
        <w:pStyle w:val="AMDisplayEquation"/>
        <w:spacing w:after="0"/>
      </w:pPr>
      <w:r>
        <w:tab/>
      </w:r>
      <w:r w:rsidRPr="00C00772">
        <w:rPr>
          <w:position w:val="-29"/>
        </w:rPr>
        <w:object w:dxaOrig="4252" w:dyaOrig="694" w14:anchorId="74C3C8BE">
          <v:shape id="_x0000_i1036" type="#_x0000_t75" style="width:212.6pt;height:34.8pt" o:ole="">
            <v:imagedata r:id="rId55" o:title=""/>
          </v:shape>
          <o:OLEObject Type="Embed" ProgID="Equation.AxMath" ShapeID="_x0000_i1036" DrawAspect="Content" ObjectID="_1676440590" r:id="rId5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9" w:name="ZEqnNum122504"/>
      <w:r>
        <w:instrText>(</w:instrText>
      </w:r>
      <w:fldSimple w:instr=" SEQ AMSec \c \* Arabic \* MERGEFORMAT ">
        <w:r w:rsidR="0010512F">
          <w:rPr>
            <w:noProof/>
          </w:rPr>
          <w:instrText>1</w:instrText>
        </w:r>
      </w:fldSimple>
      <w:r>
        <w:instrText>.</w:instrText>
      </w:r>
      <w:fldSimple w:instr=" SEQ AMEqn \c \* Arabic \* MERGEFORMAT ">
        <w:r w:rsidR="0010512F">
          <w:rPr>
            <w:noProof/>
          </w:rPr>
          <w:instrText>5</w:instrText>
        </w:r>
      </w:fldSimple>
      <w:r>
        <w:instrText>)</w:instrText>
      </w:r>
      <w:bookmarkEnd w:id="9"/>
      <w:r>
        <w:fldChar w:fldCharType="end"/>
      </w:r>
    </w:p>
    <w:p w14:paraId="5691F80A" w14:textId="6DC0696C" w:rsidR="009A63B1" w:rsidRDefault="009A63B1" w:rsidP="009A63B1">
      <w:pPr>
        <w:pStyle w:val="AMDisplayEquation"/>
        <w:spacing w:after="0"/>
        <w:ind w:firstLineChars="301" w:firstLine="632"/>
      </w:pPr>
      <w:r w:rsidRPr="0096533E">
        <w:rPr>
          <w:rFonts w:hint="eastAsia"/>
        </w:rPr>
        <w:t>公式</w:t>
      </w:r>
      <w:r w:rsidRPr="0096533E">
        <w:fldChar w:fldCharType="begin"/>
      </w:r>
      <w:r w:rsidRPr="0096533E">
        <w:instrText xml:space="preserve"> GOTOBUTTON ZEqnNum122504  \* MERGEFORMAT </w:instrText>
      </w:r>
      <w:fldSimple w:instr=" REF ZEqnNum122504 \* Charformat \! \* MERGEFORMAT ">
        <w:r w:rsidR="0010512F">
          <w:instrText>(1.5)</w:instrText>
        </w:r>
      </w:fldSimple>
      <w:r w:rsidRPr="0096533E">
        <w:fldChar w:fldCharType="end"/>
      </w:r>
      <w:r w:rsidRPr="0096533E">
        <w:rPr>
          <w:rFonts w:hint="eastAsia"/>
        </w:rPr>
        <w:t>意味着一个好的投资组合的长期系统性风险和基准的长期系统性风险不存在显著的差异。</w:t>
      </w:r>
    </w:p>
    <w:p w14:paraId="38E588A0" w14:textId="77777777" w:rsidR="009A63B1" w:rsidRDefault="009A63B1" w:rsidP="009A63B1">
      <w:pPr>
        <w:pStyle w:val="AMDisplayEquation"/>
        <w:spacing w:after="0"/>
        <w:ind w:firstLineChars="301" w:firstLine="632"/>
      </w:pPr>
      <w:r w:rsidRPr="00A758E9">
        <w:rPr>
          <w:rFonts w:hint="eastAsia"/>
        </w:rPr>
        <w:t>同时，这篇论文还证明了基金相对于市场组合的波动率要比基金相对于基准组合的波动率大，这意味着基金相对于基准应该更加稳定才是更好的业绩评价基准。</w:t>
      </w:r>
    </w:p>
    <w:p w14:paraId="58B738AA" w14:textId="77777777" w:rsidR="009A63B1" w:rsidRDefault="009A63B1" w:rsidP="009A63B1">
      <w:pPr>
        <w:pStyle w:val="AMDisplayEquation"/>
        <w:spacing w:after="0"/>
        <w:ind w:firstLineChars="301" w:firstLine="632"/>
      </w:pPr>
      <w:r w:rsidRPr="00A758E9">
        <w:rPr>
          <w:rFonts w:hint="eastAsia"/>
        </w:rPr>
        <w:t>我们首先在</w:t>
      </w:r>
      <w:r w:rsidRPr="007B4655">
        <w:rPr>
          <w:position w:val="-10"/>
        </w:rPr>
        <w:object w:dxaOrig="1032" w:dyaOrig="314" w14:anchorId="15F91A09">
          <v:shape id="_x0000_i1037" type="#_x0000_t75" style="width:51.85pt;height:15.7pt" o:ole="">
            <v:imagedata r:id="rId37" o:title=""/>
          </v:shape>
          <o:OLEObject Type="Embed" ProgID="Equation.AxMath" ShapeID="_x0000_i1037" DrawAspect="Content" ObjectID="_1676440591" r:id="rId57"/>
        </w:object>
      </w:r>
      <w:r>
        <w:rPr>
          <w:rFonts w:hint="eastAsia"/>
        </w:rPr>
        <w:t>中考虑市场组合，即</w:t>
      </w:r>
      <w:r w:rsidRPr="007B4655">
        <w:rPr>
          <w:position w:val="-11"/>
        </w:rPr>
        <w:object w:dxaOrig="2120" w:dyaOrig="326" w14:anchorId="10688C3C">
          <v:shape id="_x0000_i1038" type="#_x0000_t75" style="width:106.1pt;height:16.05pt" o:ole="">
            <v:imagedata r:id="rId58" o:title=""/>
          </v:shape>
          <o:OLEObject Type="Embed" ProgID="Equation.AxMath" ShapeID="_x0000_i1038" DrawAspect="Content" ObjectID="_1676440592" r:id="rId59"/>
        </w:object>
      </w:r>
      <w:r>
        <w:rPr>
          <w:rFonts w:hint="eastAsia"/>
        </w:rPr>
        <w:t>。其中</w:t>
      </w:r>
      <w:r w:rsidRPr="007B4655">
        <w:rPr>
          <w:position w:val="-11"/>
        </w:rPr>
        <w:object w:dxaOrig="823" w:dyaOrig="326" w14:anchorId="15D89FC8">
          <v:shape id="_x0000_i1039" type="#_x0000_t75" style="width:41.3pt;height:16.05pt" o:ole="">
            <v:imagedata r:id="rId60" o:title=""/>
          </v:shape>
          <o:OLEObject Type="Embed" ProgID="Equation.AxMath" ShapeID="_x0000_i1039" DrawAspect="Content" ObjectID="_1676440593" r:id="rId61"/>
        </w:object>
      </w:r>
      <w:r>
        <w:rPr>
          <w:rFonts w:hint="eastAsia"/>
        </w:rPr>
        <w:t>可以视为基金的风格漂移，</w:t>
      </w:r>
      <w:r>
        <w:rPr>
          <w:rFonts w:hint="eastAsia"/>
        </w:rPr>
        <w:t>A</w:t>
      </w:r>
      <w:r>
        <w:rPr>
          <w:rFonts w:hint="eastAsia"/>
        </w:rPr>
        <w:t>视为基金的主动管理的部分。我们对等式两边取收益率的期望：</w:t>
      </w:r>
    </w:p>
    <w:p w14:paraId="0805CA19" w14:textId="264F9A2A" w:rsidR="009A63B1" w:rsidRPr="00A758E9" w:rsidRDefault="009A63B1" w:rsidP="009A63B1">
      <w:pPr>
        <w:pStyle w:val="AMDisplayEquation"/>
        <w:spacing w:after="0"/>
        <w:ind w:firstLineChars="301" w:firstLine="632"/>
      </w:pPr>
      <w:r>
        <w:lastRenderedPageBreak/>
        <w:tab/>
      </w:r>
      <w:r w:rsidRPr="00A861BD">
        <w:object w:dxaOrig="2951" w:dyaOrig="338" w14:anchorId="32768829">
          <v:shape id="_x0000_i1040" type="#_x0000_t75" style="width:147.4pt;height:17.05pt" o:ole="">
            <v:imagedata r:id="rId62" o:title=""/>
          </v:shape>
          <o:OLEObject Type="Embed" ProgID="Equation.AxMath" ShapeID="_x0000_i1040" DrawAspect="Content" ObjectID="_1676440594" r:id="rId6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0" w:name="ZEqnNum850455"/>
      <w:r>
        <w:instrText>(</w:instrText>
      </w:r>
      <w:fldSimple w:instr=" SEQ AMSec \c \* Arabic \* MERGEFORMAT ">
        <w:r w:rsidR="0010512F">
          <w:rPr>
            <w:noProof/>
          </w:rPr>
          <w:instrText>1</w:instrText>
        </w:r>
      </w:fldSimple>
      <w:r>
        <w:instrText>.</w:instrText>
      </w:r>
      <w:fldSimple w:instr=" SEQ AMEqn \c \* Arabic \* MERGEFORMAT ">
        <w:r w:rsidR="0010512F">
          <w:rPr>
            <w:noProof/>
          </w:rPr>
          <w:instrText>6</w:instrText>
        </w:r>
      </w:fldSimple>
      <w:r>
        <w:instrText>)</w:instrText>
      </w:r>
      <w:bookmarkEnd w:id="10"/>
      <w:r>
        <w:fldChar w:fldCharType="end"/>
      </w:r>
    </w:p>
    <w:p w14:paraId="6126C99E" w14:textId="77646BE8" w:rsidR="009A63B1" w:rsidRDefault="009A63B1" w:rsidP="009A63B1">
      <w:pPr>
        <w:pStyle w:val="AMDisplayEquation"/>
        <w:spacing w:after="0"/>
        <w:ind w:firstLineChars="301" w:firstLine="632"/>
      </w:pPr>
      <w:r w:rsidRPr="00A758E9">
        <w:rPr>
          <w:rFonts w:hint="eastAsia"/>
        </w:rPr>
        <w:t>定义</w:t>
      </w:r>
      <w:r w:rsidRPr="00A758E9">
        <w:rPr>
          <w:rFonts w:hint="eastAsia"/>
        </w:rPr>
        <w:t>X</w:t>
      </w:r>
      <w:r w:rsidRPr="00A758E9">
        <w:rPr>
          <w:rFonts w:hint="eastAsia"/>
        </w:rPr>
        <w:t>为基金超过市场组合的收益部分，即</w:t>
      </w:r>
      <w:r w:rsidRPr="00A861BD">
        <w:rPr>
          <w:position w:val="-10"/>
        </w:rPr>
        <w:object w:dxaOrig="1066" w:dyaOrig="314" w14:anchorId="085251D5">
          <v:shape id="_x0000_i1041" type="#_x0000_t75" style="width:53.25pt;height:15.7pt" o:ole="">
            <v:imagedata r:id="rId64" o:title=""/>
          </v:shape>
          <o:OLEObject Type="Embed" ProgID="Equation.AxMath" ShapeID="_x0000_i1041" DrawAspect="Content" ObjectID="_1676440595" r:id="rId65"/>
        </w:object>
      </w:r>
      <w:r>
        <w:rPr>
          <w:rFonts w:hint="eastAsia"/>
        </w:rPr>
        <w:t>。</w:t>
      </w:r>
      <w:r>
        <w:rPr>
          <w:rFonts w:hint="eastAsia"/>
        </w:rPr>
        <w:t>X</w:t>
      </w:r>
      <w:r>
        <w:rPr>
          <w:rFonts w:hint="eastAsia"/>
        </w:rPr>
        <w:t>部分的期望收益为</w:t>
      </w:r>
      <w:r w:rsidRPr="00A861BD">
        <w:rPr>
          <w:position w:val="-11"/>
        </w:rPr>
        <w:object w:dxaOrig="2840" w:dyaOrig="338" w14:anchorId="591A100D">
          <v:shape id="_x0000_i1042" type="#_x0000_t75" style="width:142.65pt;height:17.05pt" o:ole="">
            <v:imagedata r:id="rId66" o:title=""/>
          </v:shape>
          <o:OLEObject Type="Embed" ProgID="Equation.AxMath" ShapeID="_x0000_i1042" DrawAspect="Content" ObjectID="_1676440596" r:id="rId67"/>
        </w:object>
      </w:r>
      <w:r>
        <w:rPr>
          <w:rFonts w:hint="eastAsia"/>
        </w:rPr>
        <w:t>。用公式</w:t>
      </w:r>
      <w:r>
        <w:fldChar w:fldCharType="begin"/>
      </w:r>
      <w:r>
        <w:instrText xml:space="preserve"> GOTOBUTTON ZEqnNum850455  \* MERGEFORMAT </w:instrText>
      </w:r>
      <w:fldSimple w:instr=" REF ZEqnNum850455 \* Charformat \! \* MERGEFORMAT ">
        <w:r w:rsidR="0010512F">
          <w:instrText>(1.6)</w:instrText>
        </w:r>
      </w:fldSimple>
      <w:r>
        <w:fldChar w:fldCharType="end"/>
      </w:r>
      <w:r>
        <w:rPr>
          <w:rFonts w:hint="eastAsia"/>
        </w:rPr>
        <w:t>进行替换，即</w:t>
      </w:r>
      <w:r w:rsidRPr="00A861BD">
        <w:rPr>
          <w:position w:val="-11"/>
        </w:rPr>
        <w:object w:dxaOrig="1820" w:dyaOrig="338" w14:anchorId="57E69AFD">
          <v:shape id="_x0000_i1043" type="#_x0000_t75" style="width:90.75pt;height:17.05pt" o:ole="">
            <v:imagedata r:id="rId68" o:title=""/>
          </v:shape>
          <o:OLEObject Type="Embed" ProgID="Equation.AxMath" ShapeID="_x0000_i1043" DrawAspect="Content" ObjectID="_1676440597" r:id="rId69"/>
        </w:object>
      </w:r>
      <w:r>
        <w:rPr>
          <w:rFonts w:hint="eastAsia"/>
        </w:rPr>
        <w:t>。</w:t>
      </w:r>
    </w:p>
    <w:p w14:paraId="28119681" w14:textId="77777777" w:rsidR="009A63B1" w:rsidRPr="00F47632" w:rsidRDefault="009A63B1" w:rsidP="009A63B1">
      <w:pPr>
        <w:pStyle w:val="AMDisplayEquation"/>
        <w:spacing w:after="0"/>
        <w:ind w:firstLineChars="301" w:firstLine="632"/>
      </w:pPr>
      <w:r w:rsidRPr="00F47632">
        <w:rPr>
          <w:rFonts w:hint="eastAsia"/>
        </w:rPr>
        <w:t>所以</w:t>
      </w:r>
      <w:r w:rsidRPr="00F47632">
        <w:rPr>
          <w:rFonts w:hint="eastAsia"/>
        </w:rPr>
        <w:t>X</w:t>
      </w:r>
      <w:r w:rsidRPr="00F47632">
        <w:rPr>
          <w:rFonts w:hint="eastAsia"/>
        </w:rPr>
        <w:t>的波动率可以写成：</w:t>
      </w:r>
    </w:p>
    <w:p w14:paraId="45C7A01D" w14:textId="79E9A98F" w:rsidR="009A63B1" w:rsidRDefault="009A63B1" w:rsidP="009A63B1">
      <w:pPr>
        <w:pStyle w:val="AMDisplayEquation"/>
        <w:spacing w:after="0"/>
        <w:ind w:firstLineChars="301" w:firstLine="632"/>
      </w:pPr>
      <w:r>
        <w:tab/>
      </w:r>
      <w:r w:rsidRPr="00A861BD">
        <w:object w:dxaOrig="5706" w:dyaOrig="720" w14:anchorId="44D4B4B3">
          <v:shape id="_x0000_i1044" type="#_x0000_t75" style="width:285.95pt;height:36.15pt" o:ole="">
            <v:imagedata r:id="rId70" o:title=""/>
          </v:shape>
          <o:OLEObject Type="Embed" ProgID="Equation.AxMath" ShapeID="_x0000_i1044" DrawAspect="Content" ObjectID="_1676440598" r:id="rId7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7</w:instrText>
        </w:r>
      </w:fldSimple>
      <w:r>
        <w:instrText>)</w:instrText>
      </w:r>
      <w:r>
        <w:fldChar w:fldCharType="end"/>
      </w:r>
    </w:p>
    <w:p w14:paraId="16565CCB" w14:textId="77777777" w:rsidR="009A63B1" w:rsidRDefault="009A63B1" w:rsidP="009A63B1">
      <w:pPr>
        <w:pStyle w:val="AMDisplayEquation"/>
        <w:spacing w:after="0"/>
        <w:ind w:firstLineChars="200" w:firstLine="420"/>
      </w:pPr>
      <w:r>
        <w:rPr>
          <w:rFonts w:hint="eastAsia"/>
        </w:rPr>
        <w:t>从基准的正交性定理可以得到</w:t>
      </w:r>
      <w:r w:rsidRPr="00A861BD">
        <w:rPr>
          <w:position w:val="-11"/>
        </w:rPr>
        <w:object w:dxaOrig="2455" w:dyaOrig="338" w14:anchorId="2F251A3C">
          <v:shape id="_x0000_i1045" type="#_x0000_t75" style="width:122.15pt;height:17.05pt" o:ole="">
            <v:imagedata r:id="rId72" o:title=""/>
          </v:shape>
          <o:OLEObject Type="Embed" ProgID="Equation.AxMath" ShapeID="_x0000_i1045" DrawAspect="Content" ObjectID="_1676440599" r:id="rId73"/>
        </w:object>
      </w:r>
    </w:p>
    <w:p w14:paraId="0A328C93" w14:textId="6CBE9161" w:rsidR="009A63B1" w:rsidRPr="009A0C83" w:rsidRDefault="009A63B1" w:rsidP="009A63B1">
      <w:pPr>
        <w:pStyle w:val="AMDisplayEquation"/>
        <w:spacing w:after="0"/>
        <w:ind w:firstLineChars="301" w:firstLine="632"/>
      </w:pPr>
      <w:r>
        <w:tab/>
      </w:r>
      <w:r w:rsidRPr="00A861BD">
        <w:object w:dxaOrig="4292" w:dyaOrig="720" w14:anchorId="3D6C3628">
          <v:shape id="_x0000_i1046" type="#_x0000_t75" style="width:215pt;height:36.15pt" o:ole="">
            <v:imagedata r:id="rId74" o:title=""/>
          </v:shape>
          <o:OLEObject Type="Embed" ProgID="Equation.AxMath" ShapeID="_x0000_i1046" DrawAspect="Content" ObjectID="_1676440600" r:id="rId7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1" w:name="ZEqnNum886035"/>
      <w:r>
        <w:instrText>(</w:instrText>
      </w:r>
      <w:fldSimple w:instr=" SEQ AMSec \c \* Arabic \* MERGEFORMAT ">
        <w:r w:rsidR="0010512F">
          <w:rPr>
            <w:noProof/>
          </w:rPr>
          <w:instrText>1</w:instrText>
        </w:r>
      </w:fldSimple>
      <w:r>
        <w:instrText>.</w:instrText>
      </w:r>
      <w:fldSimple w:instr=" SEQ AMEqn \c \* Arabic \* MERGEFORMAT ">
        <w:r w:rsidR="0010512F">
          <w:rPr>
            <w:noProof/>
          </w:rPr>
          <w:instrText>8</w:instrText>
        </w:r>
      </w:fldSimple>
      <w:r>
        <w:instrText>)</w:instrText>
      </w:r>
      <w:bookmarkEnd w:id="11"/>
      <w:r>
        <w:fldChar w:fldCharType="end"/>
      </w:r>
    </w:p>
    <w:p w14:paraId="5047990D" w14:textId="3B22A848" w:rsidR="009A63B1" w:rsidRDefault="009A63B1" w:rsidP="009A63B1">
      <w:pPr>
        <w:pStyle w:val="AMDisplayEquation"/>
        <w:spacing w:after="0"/>
        <w:ind w:firstLineChars="200" w:firstLine="420"/>
      </w:pPr>
      <w:r>
        <w:rPr>
          <w:rFonts w:hint="eastAsia"/>
        </w:rPr>
        <w:t>因为</w:t>
      </w:r>
      <w:r w:rsidRPr="00A861BD">
        <w:rPr>
          <w:position w:val="-11"/>
        </w:rPr>
        <w:object w:dxaOrig="1947" w:dyaOrig="338" w14:anchorId="7B666582">
          <v:shape id="_x0000_i1047" type="#_x0000_t75" style="width:97.95pt;height:17.05pt" o:ole="">
            <v:imagedata r:id="rId76" o:title=""/>
          </v:shape>
          <o:OLEObject Type="Embed" ProgID="Equation.AxMath" ShapeID="_x0000_i1047" DrawAspect="Content" ObjectID="_1676440601" r:id="rId77"/>
        </w:object>
      </w:r>
      <w:r>
        <w:rPr>
          <w:rFonts w:hint="eastAsia"/>
        </w:rPr>
        <w:t>，公式</w:t>
      </w:r>
      <w:r>
        <w:fldChar w:fldCharType="begin"/>
      </w:r>
      <w:r>
        <w:instrText xml:space="preserve"> GOTOBUTTON ZEqnNum886035  \* MERGEFORMAT </w:instrText>
      </w:r>
      <w:fldSimple w:instr=" REF ZEqnNum886035 \* Charformat \! \* MERGEFORMAT ">
        <w:r w:rsidR="0010512F">
          <w:instrText>(1.8)</w:instrText>
        </w:r>
      </w:fldSimple>
      <w:r>
        <w:fldChar w:fldCharType="end"/>
      </w:r>
      <w:r>
        <w:rPr>
          <w:rFonts w:hint="eastAsia"/>
        </w:rPr>
        <w:t>表明</w:t>
      </w:r>
      <w:r w:rsidRPr="00A758E9">
        <w:rPr>
          <w:rFonts w:hint="eastAsia"/>
        </w:rPr>
        <w:t>基金相对于市场组合的波动率要比基</w:t>
      </w:r>
      <w:r w:rsidR="004A0A6F">
        <w:rPr>
          <w:rFonts w:hint="eastAsia"/>
        </w:rPr>
        <w:t>准</w:t>
      </w:r>
      <w:r w:rsidRPr="00A758E9">
        <w:rPr>
          <w:rFonts w:hint="eastAsia"/>
        </w:rPr>
        <w:t>相对于基准组合的波动率大</w:t>
      </w:r>
      <w:r>
        <w:rPr>
          <w:rFonts w:hint="eastAsia"/>
        </w:rPr>
        <w:t>。</w:t>
      </w:r>
    </w:p>
    <w:p w14:paraId="65C763A8" w14:textId="77777777" w:rsidR="009A63B1" w:rsidRPr="00176693" w:rsidRDefault="009A63B1" w:rsidP="009A63B1">
      <w:pPr>
        <w:pStyle w:val="2"/>
        <w:spacing w:before="326"/>
        <w:ind w:leftChars="0"/>
        <w:rPr>
          <w:rFonts w:eastAsiaTheme="minorEastAsia"/>
          <w:lang w:eastAsia="zh-CN"/>
        </w:rPr>
      </w:pPr>
      <w:bookmarkStart w:id="12" w:name="_Toc65798989"/>
      <w:r>
        <w:rPr>
          <w:rFonts w:hint="eastAsia"/>
          <w:lang w:eastAsia="zh-CN"/>
        </w:rPr>
        <w:t>（三）从基金业绩归因中评估业绩评价基准选择的影响</w:t>
      </w:r>
      <w:bookmarkEnd w:id="12"/>
    </w:p>
    <w:p w14:paraId="2D471F5D" w14:textId="77777777" w:rsidR="009A63B1" w:rsidRPr="001431AC"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proofErr w:type="spellStart"/>
      <w:r w:rsidRPr="001431AC">
        <w:rPr>
          <w:rFonts w:ascii="Arial" w:eastAsia="楷体_GB2312" w:hAnsi="Arial"/>
          <w:kern w:val="0"/>
          <w:sz w:val="21"/>
          <w:szCs w:val="21"/>
          <w:lang w:eastAsia="zh-CN"/>
        </w:rPr>
        <w:t>Broeders</w:t>
      </w:r>
      <w:proofErr w:type="spellEnd"/>
      <w:r w:rsidRPr="001431AC">
        <w:rPr>
          <w:rFonts w:ascii="Arial" w:eastAsia="楷体_GB2312" w:hAnsi="Arial"/>
          <w:kern w:val="0"/>
          <w:sz w:val="21"/>
          <w:szCs w:val="21"/>
          <w:lang w:eastAsia="zh-CN"/>
        </w:rPr>
        <w:t xml:space="preserve"> D, </w:t>
      </w:r>
      <w:proofErr w:type="spellStart"/>
      <w:r w:rsidRPr="001431AC">
        <w:rPr>
          <w:rFonts w:ascii="Arial" w:eastAsia="楷体_GB2312" w:hAnsi="Arial"/>
          <w:kern w:val="0"/>
          <w:sz w:val="21"/>
          <w:szCs w:val="21"/>
          <w:lang w:eastAsia="zh-CN"/>
        </w:rPr>
        <w:t>Haan</w:t>
      </w:r>
      <w:proofErr w:type="spellEnd"/>
      <w:r w:rsidRPr="001431AC">
        <w:rPr>
          <w:rFonts w:ascii="Arial" w:eastAsia="楷体_GB2312" w:hAnsi="Arial"/>
          <w:kern w:val="0"/>
          <w:sz w:val="21"/>
          <w:szCs w:val="21"/>
          <w:lang w:eastAsia="zh-CN"/>
        </w:rPr>
        <w:t xml:space="preserve"> L D </w:t>
      </w:r>
      <w:r w:rsidRPr="001431AC">
        <w:rPr>
          <w:rFonts w:ascii="Arial" w:eastAsia="楷体_GB2312" w:hAnsi="Arial"/>
          <w:kern w:val="0"/>
          <w:sz w:val="21"/>
          <w:szCs w:val="21"/>
          <w:vertAlign w:val="superscript"/>
          <w:lang w:eastAsia="zh-CN"/>
        </w:rPr>
        <w:footnoteReference w:id="3"/>
      </w:r>
      <w:r w:rsidRPr="001431AC">
        <w:rPr>
          <w:rFonts w:ascii="Arial" w:eastAsia="楷体_GB2312" w:hAnsi="Arial" w:hint="eastAsia"/>
          <w:kern w:val="0"/>
          <w:sz w:val="21"/>
          <w:szCs w:val="21"/>
          <w:lang w:eastAsia="zh-CN"/>
        </w:rPr>
        <w:t>在</w:t>
      </w:r>
      <w:r w:rsidRPr="001431AC">
        <w:rPr>
          <w:rFonts w:ascii="Arial" w:eastAsia="楷体_GB2312" w:hAnsi="Arial" w:hint="eastAsia"/>
          <w:kern w:val="0"/>
          <w:sz w:val="21"/>
          <w:szCs w:val="21"/>
          <w:lang w:eastAsia="zh-CN"/>
        </w:rPr>
        <w:t>2</w:t>
      </w:r>
      <w:r w:rsidRPr="001431AC">
        <w:rPr>
          <w:rFonts w:ascii="Arial" w:eastAsia="楷体_GB2312" w:hAnsi="Arial"/>
          <w:kern w:val="0"/>
          <w:sz w:val="21"/>
          <w:szCs w:val="21"/>
          <w:lang w:eastAsia="zh-CN"/>
        </w:rPr>
        <w:t>018</w:t>
      </w:r>
      <w:r w:rsidRPr="001431AC">
        <w:rPr>
          <w:rFonts w:ascii="Arial" w:eastAsia="楷体_GB2312" w:hAnsi="Arial" w:hint="eastAsia"/>
          <w:kern w:val="0"/>
          <w:sz w:val="21"/>
          <w:szCs w:val="21"/>
          <w:lang w:eastAsia="zh-CN"/>
        </w:rPr>
        <w:t>年的论文“</w:t>
      </w:r>
      <w:r w:rsidRPr="001431AC">
        <w:rPr>
          <w:rFonts w:ascii="Arial" w:eastAsia="楷体_GB2312" w:hAnsi="Arial"/>
          <w:kern w:val="0"/>
          <w:sz w:val="21"/>
          <w:szCs w:val="21"/>
          <w:lang w:eastAsia="zh-CN"/>
        </w:rPr>
        <w:t>Benchmark Selection and Performance</w:t>
      </w:r>
      <w:r w:rsidRPr="001431AC">
        <w:rPr>
          <w:rFonts w:ascii="Arial" w:eastAsia="楷体_GB2312" w:hAnsi="Arial" w:hint="eastAsia"/>
          <w:kern w:val="0"/>
          <w:sz w:val="21"/>
          <w:szCs w:val="21"/>
          <w:lang w:eastAsia="zh-CN"/>
        </w:rPr>
        <w:t>”中提出了五个衡量基准适用性的方法：</w:t>
      </w:r>
    </w:p>
    <w:p w14:paraId="1C8B0BE1" w14:textId="77777777" w:rsidR="009A63B1" w:rsidRDefault="009A63B1" w:rsidP="009A63B1">
      <w:pPr>
        <w:pStyle w:val="AMDisplayEquation"/>
        <w:numPr>
          <w:ilvl w:val="0"/>
          <w:numId w:val="7"/>
        </w:numPr>
        <w:spacing w:after="0"/>
        <w:ind w:leftChars="0" w:firstLineChars="0"/>
      </w:pPr>
      <w:r w:rsidRPr="000B1FC6">
        <w:rPr>
          <w:rFonts w:hint="eastAsia"/>
        </w:rPr>
        <w:t>业绩归因。</w:t>
      </w:r>
      <w:r>
        <w:rPr>
          <w:rFonts w:hint="eastAsia"/>
        </w:rPr>
        <w:t>Brinson</w:t>
      </w:r>
      <w:r>
        <w:rPr>
          <w:rFonts w:hint="eastAsia"/>
        </w:rPr>
        <w:t>（</w:t>
      </w:r>
      <w:r>
        <w:rPr>
          <w:rFonts w:hint="eastAsia"/>
        </w:rPr>
        <w:t>1</w:t>
      </w:r>
      <w:r>
        <w:t>986</w:t>
      </w:r>
      <w:r>
        <w:rPr>
          <w:rFonts w:hint="eastAsia"/>
        </w:rPr>
        <w:t>，</w:t>
      </w:r>
      <w:r>
        <w:rPr>
          <w:rFonts w:hint="eastAsia"/>
        </w:rPr>
        <w:t>1</w:t>
      </w:r>
      <w:r>
        <w:t>991</w:t>
      </w:r>
      <w:r>
        <w:rPr>
          <w:rFonts w:hint="eastAsia"/>
        </w:rPr>
        <w:t>）</w:t>
      </w:r>
      <w:r>
        <w:rPr>
          <w:rStyle w:val="aff7"/>
        </w:rPr>
        <w:footnoteReference w:id="4"/>
      </w:r>
      <w:r>
        <w:rPr>
          <w:rFonts w:hint="eastAsia"/>
        </w:rPr>
        <w:t>模型</w:t>
      </w:r>
      <w:r w:rsidRPr="000B1FC6">
        <w:rPr>
          <w:rFonts w:hint="eastAsia"/>
        </w:rPr>
        <w:t>将基金收益归因到资产配置政策、市场择时和证券选择三个方面</w:t>
      </w:r>
      <w:r>
        <w:rPr>
          <w:rFonts w:hint="eastAsia"/>
        </w:rPr>
        <w:t>。在评价基金时可以增加基准选择这一个维度来进行拓展。</w:t>
      </w:r>
    </w:p>
    <w:p w14:paraId="1D536918" w14:textId="12E79C9A" w:rsidR="009A63B1" w:rsidRDefault="009A63B1" w:rsidP="009A63B1">
      <w:pPr>
        <w:pStyle w:val="AMDisplayEquation"/>
      </w:pPr>
      <w:r>
        <w:tab/>
      </w:r>
      <w:r w:rsidRPr="001D1863">
        <w:rPr>
          <w:position w:val="-81"/>
        </w:rPr>
        <w:object w:dxaOrig="5146" w:dyaOrig="1741" w14:anchorId="22512949">
          <v:shape id="_x0000_i1048" type="#_x0000_t75" style="width:257.3pt;height:87pt" o:ole="">
            <v:imagedata r:id="rId78" o:title=""/>
          </v:shape>
          <o:OLEObject Type="Embed" ProgID="Equation.AxMath" ShapeID="_x0000_i1048" DrawAspect="Content" ObjectID="_1676440602" r:id="rId7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9</w:instrText>
        </w:r>
      </w:fldSimple>
      <w:r>
        <w:instrText>)</w:instrText>
      </w:r>
      <w:r>
        <w:fldChar w:fldCharType="end"/>
      </w:r>
    </w:p>
    <w:p w14:paraId="23F37398" w14:textId="1E24FAC9" w:rsidR="000C0617" w:rsidRDefault="009A63B1" w:rsidP="009A63B1">
      <w:pPr>
        <w:pStyle w:val="AMDisplayEquation"/>
      </w:pPr>
      <w:r>
        <w:tab/>
      </w:r>
      <w:r w:rsidRPr="00317943">
        <w:rPr>
          <w:position w:val="-99"/>
        </w:rPr>
        <w:object w:dxaOrig="5120" w:dyaOrig="2121" w14:anchorId="1EA98F24">
          <v:shape id="_x0000_i1049" type="#_x0000_t75" style="width:256.25pt;height:106.1pt" o:ole="">
            <v:imagedata r:id="rId80" o:title=""/>
          </v:shape>
          <o:OLEObject Type="Embed" ProgID="Equation.AxMath" ShapeID="_x0000_i1049" DrawAspect="Content" ObjectID="_1676440603" r:id="rId81"/>
        </w:object>
      </w:r>
    </w:p>
    <w:p w14:paraId="0BB5A70C" w14:textId="75608E69" w:rsidR="004D7F4B" w:rsidRDefault="004D7F4B" w:rsidP="004D7F4B">
      <w:pPr>
        <w:rPr>
          <w:rFonts w:eastAsiaTheme="minorEastAsia"/>
          <w:lang w:eastAsia="zh-CN"/>
        </w:rPr>
      </w:pPr>
    </w:p>
    <w:p w14:paraId="1444556C" w14:textId="77777777" w:rsidR="009F679D" w:rsidRPr="004D7F4B" w:rsidRDefault="009F679D" w:rsidP="004D7F4B">
      <w:pPr>
        <w:rPr>
          <w:rFonts w:eastAsiaTheme="minorEastAsia" w:hint="eastAsia"/>
          <w:lang w:eastAsia="zh-CN"/>
        </w:rPr>
      </w:pPr>
    </w:p>
    <w:tbl>
      <w:tblPr>
        <w:tblW w:w="5443" w:type="dxa"/>
        <w:tblInd w:w="4217" w:type="dxa"/>
        <w:tblLayout w:type="fixed"/>
        <w:tblLook w:val="0000" w:firstRow="0" w:lastRow="0" w:firstColumn="0" w:lastColumn="0" w:noHBand="0" w:noVBand="0"/>
      </w:tblPr>
      <w:tblGrid>
        <w:gridCol w:w="5443"/>
      </w:tblGrid>
      <w:tr w:rsidR="009A63B1" w:rsidRPr="00C72F7D" w14:paraId="01A593A3" w14:textId="77777777" w:rsidTr="00D01B9E">
        <w:tc>
          <w:tcPr>
            <w:tcW w:w="5443" w:type="dxa"/>
            <w:tcBorders>
              <w:bottom w:val="single" w:sz="4" w:space="0" w:color="auto"/>
            </w:tcBorders>
            <w:shd w:val="clear" w:color="auto" w:fill="auto"/>
          </w:tcPr>
          <w:p w14:paraId="4DA658B2" w14:textId="71B48604" w:rsidR="009A63B1" w:rsidRPr="00C72F7D" w:rsidRDefault="009A63B1" w:rsidP="00D01B9E">
            <w:pPr>
              <w:pStyle w:val="af0"/>
              <w:rPr>
                <w:lang w:eastAsia="zh-CN"/>
              </w:rPr>
            </w:pPr>
            <w:bookmarkStart w:id="18" w:name="_Toc65798996"/>
            <w:r>
              <w:rPr>
                <w:rFonts w:hint="eastAsia"/>
                <w:lang w:eastAsia="zh-CN"/>
              </w:rPr>
              <w:lastRenderedPageBreak/>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10512F">
              <w:rPr>
                <w:noProof/>
                <w:lang w:eastAsia="zh-CN"/>
              </w:rPr>
              <w:t>1</w:t>
            </w:r>
            <w:r>
              <w:fldChar w:fldCharType="end"/>
            </w:r>
            <w:r>
              <w:rPr>
                <w:rFonts w:hint="eastAsia"/>
                <w:lang w:eastAsia="zh-CN"/>
              </w:rPr>
              <w:t>：包括基准选择的四维度业绩归因分析</w:t>
            </w:r>
            <w:bookmarkEnd w:id="18"/>
          </w:p>
        </w:tc>
      </w:tr>
      <w:tr w:rsidR="009A63B1" w:rsidRPr="009B1FB9" w14:paraId="2FF9C254" w14:textId="77777777" w:rsidTr="00D01B9E">
        <w:trPr>
          <w:trHeight w:hRule="exact" w:val="2891"/>
        </w:trPr>
        <w:tc>
          <w:tcPr>
            <w:tcW w:w="5443" w:type="dxa"/>
            <w:tcBorders>
              <w:top w:val="single" w:sz="4" w:space="0" w:color="auto"/>
              <w:bottom w:val="single" w:sz="4" w:space="0" w:color="auto"/>
            </w:tcBorders>
            <w:shd w:val="clear" w:color="auto" w:fill="auto"/>
            <w:vAlign w:val="center"/>
          </w:tcPr>
          <w:p w14:paraId="481D8811" w14:textId="77777777" w:rsidR="009A63B1" w:rsidRPr="009B1FB9" w:rsidRDefault="009A63B1" w:rsidP="00D01B9E">
            <w:pPr>
              <w:pStyle w:val="ae"/>
              <w:ind w:leftChars="0" w:left="0" w:firstLineChars="200" w:firstLine="420"/>
              <w:rPr>
                <w:color w:val="0F243E" w:themeColor="text2" w:themeShade="80"/>
              </w:rPr>
            </w:pPr>
            <w:r w:rsidRPr="00B37306">
              <w:rPr>
                <w:rFonts w:eastAsiaTheme="minorEastAsia"/>
                <w:noProof/>
              </w:rPr>
              <mc:AlternateContent>
                <mc:Choice Requires="wpg">
                  <w:drawing>
                    <wp:inline distT="0" distB="0" distL="0" distR="0" wp14:anchorId="673D8480" wp14:editId="3E1115BD">
                      <wp:extent cx="2676479" cy="1740412"/>
                      <wp:effectExtent l="19050" t="19050" r="10160" b="12700"/>
                      <wp:docPr id="1" name="组合 85"/>
                      <wp:cNvGraphicFramePr/>
                      <a:graphic xmlns:a="http://schemas.openxmlformats.org/drawingml/2006/main">
                        <a:graphicData uri="http://schemas.microsoft.com/office/word/2010/wordprocessingGroup">
                          <wpg:wgp>
                            <wpg:cNvGrpSpPr/>
                            <wpg:grpSpPr>
                              <a:xfrm>
                                <a:off x="0" y="0"/>
                                <a:ext cx="2676479" cy="1740412"/>
                                <a:chOff x="0" y="0"/>
                                <a:chExt cx="10677776" cy="6734613"/>
                              </a:xfrm>
                            </wpg:grpSpPr>
                            <pic:pic xmlns:pic="http://schemas.openxmlformats.org/drawingml/2006/picture">
                              <pic:nvPicPr>
                                <pic:cNvPr id="2" name="图片 2"/>
                                <pic:cNvPicPr/>
                              </pic:nvPicPr>
                              <pic:blipFill>
                                <a:blip r:embed="rId8"/>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3" name="图片 3"/>
                                <pic:cNvPicPr/>
                              </pic:nvPicPr>
                              <pic:blipFill>
                                <a:blip r:embed="rId9"/>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27" name="图片 27"/>
                                <pic:cNvPicPr/>
                              </pic:nvPicPr>
                              <pic:blipFill>
                                <a:blip r:embed="rId10"/>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28" name="图片 28"/>
                                <pic:cNvPicPr/>
                              </pic:nvPicPr>
                              <pic:blipFill>
                                <a:blip r:embed="rId11"/>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29" name="图片 29"/>
                                <pic:cNvPicPr/>
                              </pic:nvPicPr>
                              <pic:blipFill>
                                <a:blip r:embed="rId12"/>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30" name="图片 30"/>
                                <pic:cNvPicPr/>
                              </pic:nvPicPr>
                              <pic:blipFill>
                                <a:blip r:embed="rId13"/>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31" name="图片 31"/>
                                <pic:cNvPicPr/>
                              </pic:nvPicPr>
                              <pic:blipFill>
                                <a:blip r:embed="rId14"/>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64" name="图片 64"/>
                                <pic:cNvPicPr/>
                              </pic:nvPicPr>
                              <pic:blipFill>
                                <a:blip r:embed="rId15"/>
                                <a:stretch>
                                  <a:fillRect/>
                                </a:stretch>
                              </pic:blipFill>
                              <pic:spPr>
                                <a:xfrm>
                                  <a:off x="5430811" y="0"/>
                                  <a:ext cx="1485900" cy="1349375"/>
                                </a:xfrm>
                                <a:prstGeom prst="rect">
                                  <a:avLst/>
                                </a:prstGeom>
                                <a:ln>
                                  <a:solidFill>
                                    <a:schemeClr val="tx1"/>
                                  </a:solidFill>
                                </a:ln>
                              </pic:spPr>
                            </pic:pic>
                            <wps:wsp>
                              <wps:cNvPr id="65" name="直接箭头连接符 65"/>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3" name="图片 73"/>
                                <pic:cNvPicPr/>
                              </pic:nvPicPr>
                              <pic:blipFill>
                                <a:blip r:embed="rId16"/>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74" name="图片 74"/>
                                <pic:cNvPicPr/>
                              </pic:nvPicPr>
                              <pic:blipFill>
                                <a:blip r:embed="rId17"/>
                                <a:stretch>
                                  <a:fillRect/>
                                </a:stretch>
                              </pic:blipFill>
                              <pic:spPr>
                                <a:xfrm>
                                  <a:off x="9699876" y="5394763"/>
                                  <a:ext cx="977900" cy="1339850"/>
                                </a:xfrm>
                                <a:prstGeom prst="rect">
                                  <a:avLst/>
                                </a:prstGeom>
                                <a:ln>
                                  <a:solidFill>
                                    <a:schemeClr val="tx1"/>
                                  </a:solidFill>
                                </a:ln>
                              </pic:spPr>
                            </pic:pic>
                            <wps:wsp>
                              <wps:cNvPr id="75" name="直接箭头连接符 75"/>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连接符: 肘形 82"/>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7E4228F" id="组合 85" o:spid="_x0000_s1026" style="width:210.75pt;height:137.05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">
                      <v:shape id="图片 2"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" stroked="t" strokecolor="black [3213]">
                        <v:imagedata r:id="rId18" o:title=""/>
                      </v:shape>
                      <v:shape id="图片 3"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" stroked="t" strokecolor="black [3213]">
                        <v:imagedata r:id="rId19" o:title=""/>
                      </v:shape>
                      <v:shape id="图片 27"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" stroked="t" strokecolor="black [3213]">
                        <v:imagedata r:id="rId20" o:title=""/>
                      </v:shape>
                      <v:shape id="图片 28"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" stroked="t" strokecolor="black [3213]">
                        <v:imagedata r:id="rId21" o:title=""/>
                      </v:shape>
                      <v:shape id="图片 29"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" stroked="t" strokecolor="black [3213]">
                        <v:imagedata r:id="rId22" o:title=""/>
                      </v:shape>
                      <v:shape id="图片 30"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" stroked="t" strokecolor="black [3213]">
                        <v:imagedata r:id="rId23" o:title=""/>
                      </v:shape>
                      <v:shape id="图片 31"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" stroked="t" strokecolor="black [3213]">
                        <v:imagedata r:id="rId24" o:title=""/>
                      </v:shape>
                      <v:shape id="图片 64"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" stroked="t" strokecolor="black [3213]">
                        <v:imagedata r:id="rId25" o:title=""/>
                      </v:shape>
                      <v:shape id="直接箭头连接符 65"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" strokecolor="black [3213]" strokeweight="1pt">
                        <v:stroke endarrow="block"/>
                        <o:lock v:ext="edit" shapetype="f"/>
                      </v:shape>
                      <v:shape id="直接箭头连接符 67"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" strokecolor="black [3213]" strokeweight="1pt">
                        <v:stroke endarrow="block"/>
                        <o:lock v:ext="edit" shapetype="f"/>
                      </v:shape>
                      <v:shape id="直接箭头连接符 68"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" strokecolor="black [3213]" strokeweight="1pt">
                        <v:stroke endarrow="block"/>
                        <o:lock v:ext="edit" shapetype="f"/>
                      </v:shape>
                      <v:shape id="直接箭头连接符 69"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" strokecolor="black [3213]" strokeweight="1pt">
                        <v:stroke endarrow="block"/>
                        <o:lock v:ext="edit" shapetype="f"/>
                      </v:shape>
                      <v:shape id="直接箭头连接符 70"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o:lock v:ext="edit" shapetype="f"/>
                      </v:shape>
                      <v:shape id="直接箭头连接符 71"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" strokecolor="black [3213]" strokeweight="1pt">
                        <v:stroke endarrow="block"/>
                        <o:lock v:ext="edit" shapetype="f"/>
                      </v:shape>
                      <v:shape id="直接箭头连接符 72"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" strokecolor="black [3213]" strokeweight="1pt">
                        <v:stroke endarrow="block"/>
                        <o:lock v:ext="edit" shapetype="f"/>
                      </v:shape>
                      <v:shape id="图片 73"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" stroked="t" strokecolor="black [3213]">
                        <v:imagedata r:id="rId26" o:title=""/>
                      </v:shape>
                      <v:shape id="图片 74"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" stroked="t" strokecolor="black [3213]">
                        <v:imagedata r:id="rId27" o:title=""/>
                      </v:shape>
                      <v:shape id="直接箭头连接符 75"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" strokecolor="black [3213]" strokeweight="1pt">
                        <v:stroke endarrow="block"/>
                        <o:lock v:ext="edit" shapetype="f"/>
                      </v:shape>
                      <v:shape id="直接箭头连接符 76"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" strokecolor="black [3213]" strokeweight="1pt">
                        <v:stroke endarrow="block"/>
                        <o:lock v:ext="edit" shapetype="f"/>
                      </v:shape>
                      <v:shape id="直接箭头连接符 77"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" strokecolor="black [3213]" strokeweight="1pt">
                        <v:stroke endarrow="block"/>
                        <o:lock v:ext="edit" shapetype="f"/>
                      </v:shape>
                      <v:shape id="直接箭头连接符 78"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" strokecolor="black [3213]" strokeweight="1pt">
                        <v:stroke endarrow="block"/>
                        <o:lock v:ext="edit" shapetype="f"/>
                      </v:shape>
                      <v:shape id="直接箭头连接符 79"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" strokecolor="black [3213]" strokeweight="1pt">
                        <v:stroke endarrow="block"/>
                        <o:lock v:ext="edit" shapetype="f"/>
                      </v:shape>
                      <v:shape id="直接箭头连接符 80"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" strokecolor="black [3213]" strokeweight="1pt">
                        <v:stroke endarrow="block"/>
                        <o:lock v:ext="edit" shapetype="f"/>
                      </v:shape>
                      <v:shape id="直接箭头连接符 81"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o:lock v:ext="edit" shapetype="f"/>
                      </v:shape>
                      <v:shape id="连接符: 肘形 82"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" adj="2817" strokecolor="black [3213]" strokeweight="1pt">
                        <v:stroke endarrow="block"/>
                        <o:lock v:ext="edit" shapetype="f"/>
                      </v:shape>
                      <w10:anchorlock/>
                    </v:group>
                  </w:pict>
                </mc:Fallback>
              </mc:AlternateContent>
            </w:r>
          </w:p>
        </w:tc>
      </w:tr>
      <w:tr w:rsidR="009A63B1" w14:paraId="05DB874A" w14:textId="77777777" w:rsidTr="00D01B9E">
        <w:tc>
          <w:tcPr>
            <w:tcW w:w="5443" w:type="dxa"/>
            <w:tcBorders>
              <w:top w:val="single" w:sz="4" w:space="0" w:color="auto"/>
            </w:tcBorders>
            <w:shd w:val="clear" w:color="auto" w:fill="auto"/>
          </w:tcPr>
          <w:p w14:paraId="1BA0E0C4" w14:textId="77777777" w:rsidR="009A63B1" w:rsidRDefault="009A63B1" w:rsidP="00D01B9E">
            <w:pPr>
              <w:pStyle w:val="aff2"/>
              <w:rPr>
                <w:noProof/>
              </w:rPr>
            </w:pPr>
            <w:r w:rsidRPr="00C66411">
              <w:t>数据来源：</w:t>
            </w:r>
            <w:proofErr w:type="spellStart"/>
            <w:r w:rsidRPr="001431AC">
              <w:t>Broeders</w:t>
            </w:r>
            <w:proofErr w:type="spellEnd"/>
            <w:r w:rsidRPr="001431AC">
              <w:t xml:space="preserve"> D, </w:t>
            </w:r>
            <w:proofErr w:type="spellStart"/>
            <w:r w:rsidRPr="001431AC">
              <w:t>Haan</w:t>
            </w:r>
            <w:proofErr w:type="spellEnd"/>
            <w:r w:rsidRPr="001431AC">
              <w:t xml:space="preserve"> L D</w:t>
            </w:r>
            <w:r w:rsidRPr="00C66411">
              <w:rPr>
                <w:rFonts w:hint="eastAsia"/>
              </w:rPr>
              <w:t>，</w:t>
            </w:r>
            <w:r w:rsidRPr="00C66411">
              <w:t>广发证券发展研究中心</w:t>
            </w:r>
          </w:p>
        </w:tc>
      </w:tr>
    </w:tbl>
    <w:p w14:paraId="51E1CB51" w14:textId="77777777" w:rsidR="009A63B1" w:rsidRPr="001431AC" w:rsidRDefault="009A63B1" w:rsidP="009A63B1">
      <w:pPr>
        <w:rPr>
          <w:rFonts w:eastAsiaTheme="minorEastAsia"/>
          <w:lang w:eastAsia="zh-CN"/>
        </w:rPr>
      </w:pPr>
    </w:p>
    <w:p w14:paraId="5E41CD6C" w14:textId="02F23AFB" w:rsidR="009A63B1" w:rsidRDefault="009A63B1" w:rsidP="009A63B1">
      <w:pPr>
        <w:pStyle w:val="AMDisplayEquation"/>
        <w:numPr>
          <w:ilvl w:val="0"/>
          <w:numId w:val="7"/>
        </w:numPr>
        <w:spacing w:after="0"/>
        <w:ind w:leftChars="0" w:firstLineChars="0"/>
      </w:pPr>
      <w:r>
        <w:rPr>
          <w:rFonts w:hint="eastAsia"/>
        </w:rPr>
        <w:t>计算基准对收益波动的贡献度。即根据</w:t>
      </w:r>
      <w:r>
        <w:rPr>
          <w:rFonts w:hint="eastAsia"/>
        </w:rPr>
        <w:t>Brown</w:t>
      </w:r>
      <w:r>
        <w:rPr>
          <w:rFonts w:hint="eastAsia"/>
        </w:rPr>
        <w:t>等（</w:t>
      </w:r>
      <w:r>
        <w:rPr>
          <w:rFonts w:hint="eastAsia"/>
        </w:rPr>
        <w:t>2</w:t>
      </w:r>
      <w:r>
        <w:t>010</w:t>
      </w:r>
      <w:r>
        <w:rPr>
          <w:rFonts w:hint="eastAsia"/>
        </w:rPr>
        <w:t>）</w:t>
      </w:r>
      <w:r>
        <w:rPr>
          <w:rStyle w:val="aff7"/>
        </w:rPr>
        <w:footnoteReference w:id="5"/>
      </w:r>
      <w:r>
        <w:rPr>
          <w:rFonts w:hint="eastAsia"/>
        </w:rPr>
        <w:t>提出的方法对资产配置、基准选择、市场择时和证券选择在实践序列和横截面维度上进行研究。即从</w:t>
      </w:r>
      <w:r>
        <w:fldChar w:fldCharType="begin"/>
      </w:r>
      <w:r>
        <w:instrText xml:space="preserve"> GOTOBUTTON ZEqnNum288494  \* MERGEFORMAT </w:instrText>
      </w:r>
      <w:fldSimple w:instr=" REF ZEqnNum288494 \* Charformat \! \* MERGEFORMAT ">
        <w:r w:rsidR="0010512F">
          <w:instrText>(1.10)</w:instrText>
        </w:r>
      </w:fldSimple>
      <w:r>
        <w:fldChar w:fldCharType="end"/>
      </w:r>
      <w:r>
        <w:rPr>
          <w:rFonts w:hint="eastAsia"/>
        </w:rPr>
        <w:t>进行横截面回归得到得到的</w:t>
      </w:r>
      <w:r w:rsidRPr="00B64DBF">
        <w:rPr>
          <w:position w:val="-10"/>
        </w:rPr>
        <w:object w:dxaOrig="231" w:dyaOrig="316" w14:anchorId="69E525B4">
          <v:shape id="_x0000_i1050" type="#_x0000_t75" style="width:11.6pt;height:15.7pt" o:ole="">
            <v:imagedata r:id="rId82" o:title=""/>
          </v:shape>
          <o:OLEObject Type="Embed" ProgID="Equation.AxMath" ShapeID="_x0000_i1050" DrawAspect="Content" ObjectID="_1676440604" r:id="rId83"/>
        </w:object>
      </w:r>
      <w:r>
        <w:rPr>
          <w:rFonts w:hint="eastAsia"/>
        </w:rPr>
        <w:t>为波动率的贡献度。</w:t>
      </w:r>
    </w:p>
    <w:p w14:paraId="1D7290C3" w14:textId="52A1C357" w:rsidR="009A63B1" w:rsidRPr="007E1442" w:rsidRDefault="009A63B1" w:rsidP="009A63B1">
      <w:pPr>
        <w:pStyle w:val="AMDisplayEquation"/>
      </w:pPr>
      <w:r>
        <w:tab/>
      </w:r>
      <w:r w:rsidRPr="007E1442">
        <w:rPr>
          <w:position w:val="-10"/>
        </w:rPr>
        <w:object w:dxaOrig="5338" w:dyaOrig="319" w14:anchorId="16E44B20">
          <v:shape id="_x0000_i1051" type="#_x0000_t75" style="width:266.5pt;height:16.05pt" o:ole="">
            <v:imagedata r:id="rId84" o:title=""/>
          </v:shape>
          <o:OLEObject Type="Embed" ProgID="Equation.AxMath" ShapeID="_x0000_i1051" DrawAspect="Content" ObjectID="_1676440605" r:id="rId8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9" w:name="ZEqnNum288494"/>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10</w:instrText>
        </w:r>
      </w:fldSimple>
      <w:r>
        <w:instrText>)</w:instrText>
      </w:r>
      <w:bookmarkEnd w:id="19"/>
      <w:r>
        <w:fldChar w:fldCharType="end"/>
      </w:r>
    </w:p>
    <w:p w14:paraId="4F284B3A" w14:textId="77777777" w:rsidR="009A63B1" w:rsidRDefault="009A63B1" w:rsidP="009A63B1">
      <w:pPr>
        <w:pStyle w:val="AMDisplayEquation"/>
        <w:numPr>
          <w:ilvl w:val="0"/>
          <w:numId w:val="7"/>
        </w:numPr>
        <w:spacing w:after="0"/>
        <w:ind w:leftChars="0" w:firstLineChars="0"/>
      </w:pPr>
      <w:r w:rsidRPr="00495EEF">
        <w:rPr>
          <w:rFonts w:hint="eastAsia"/>
        </w:rPr>
        <w:t>计算基准对剔除市场波动后的贡献度。这和以上第二点比较相像，但是剔除了市场本身的波动。</w:t>
      </w:r>
      <w:r>
        <w:rPr>
          <w:rFonts w:hint="eastAsia"/>
        </w:rPr>
        <w:t>比如，定义了在业绩比较基准权重下的战略资产配置收益</w:t>
      </w:r>
      <w:r w:rsidRPr="00E94906">
        <w:rPr>
          <w:position w:val="-10"/>
        </w:rPr>
        <w:object w:dxaOrig="548" w:dyaOrig="319" w14:anchorId="4F22D135">
          <v:shape id="_x0000_i1052" type="#_x0000_t75" style="width:27.3pt;height:16.05pt" o:ole="">
            <v:imagedata r:id="rId86" o:title=""/>
          </v:shape>
          <o:OLEObject Type="Embed" ProgID="Equation.AxMath" ShapeID="_x0000_i1052" DrawAspect="Content" ObjectID="_1676440606" r:id="rId87"/>
        </w:object>
      </w:r>
      <w:r>
        <w:rPr>
          <w:rFonts w:hint="eastAsia"/>
        </w:rPr>
        <w:t>和标准基准权重下的战略资产配置收益</w:t>
      </w:r>
    </w:p>
    <w:p w14:paraId="57DAC75C" w14:textId="4C892594" w:rsidR="009A63B1" w:rsidRPr="00E94906" w:rsidRDefault="009A63B1" w:rsidP="009A63B1">
      <w:pPr>
        <w:pStyle w:val="AMDisplayEquation"/>
      </w:pPr>
      <w:r>
        <w:tab/>
      </w:r>
      <w:r w:rsidRPr="00E94906">
        <w:rPr>
          <w:position w:val="-23"/>
        </w:rPr>
        <w:object w:dxaOrig="2360" w:dyaOrig="934" w14:anchorId="05C0BC25">
          <v:shape id="_x0000_i1053" type="#_x0000_t75" style="width:118.05pt;height:46.75pt" o:ole="">
            <v:imagedata r:id="rId88" o:title=""/>
          </v:shape>
          <o:OLEObject Type="Embed" ProgID="Equation.AxMath" ShapeID="_x0000_i1053" DrawAspect="Content" ObjectID="_1676440607" r:id="rId8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11</w:instrText>
        </w:r>
      </w:fldSimple>
      <w:r>
        <w:instrText>)</w:instrText>
      </w:r>
      <w:r>
        <w:fldChar w:fldCharType="end"/>
      </w:r>
    </w:p>
    <w:p w14:paraId="7F1F05B6" w14:textId="4A00B54A" w:rsidR="009A63B1" w:rsidRDefault="009A63B1" w:rsidP="009A63B1">
      <w:pPr>
        <w:pStyle w:val="AMDisplayEquation"/>
      </w:pPr>
      <w:r>
        <w:tab/>
      </w:r>
      <w:r w:rsidRPr="00E94906">
        <w:rPr>
          <w:position w:val="-23"/>
        </w:rPr>
        <w:object w:dxaOrig="2341" w:dyaOrig="934" w14:anchorId="4DFE7B68">
          <v:shape id="_x0000_i1054" type="#_x0000_t75" style="width:117.05pt;height:46.75pt" o:ole="">
            <v:imagedata r:id="rId90" o:title=""/>
          </v:shape>
          <o:OLEObject Type="Embed" ProgID="Equation.AxMath" ShapeID="_x0000_i1054" DrawAspect="Content" ObjectID="_1676440608" r:id="rId9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12</w:instrText>
        </w:r>
      </w:fldSimple>
      <w:r>
        <w:instrText>)</w:instrText>
      </w:r>
      <w:r>
        <w:fldChar w:fldCharType="end"/>
      </w:r>
    </w:p>
    <w:p w14:paraId="642B0988"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eastAsiaTheme="minorEastAsia"/>
          <w:lang w:eastAsia="zh-CN"/>
        </w:rPr>
        <w:tab/>
      </w:r>
      <w:r w:rsidRPr="00E94906">
        <w:rPr>
          <w:rFonts w:ascii="Arial" w:eastAsia="楷体_GB2312" w:hAnsi="Arial" w:hint="eastAsia"/>
          <w:kern w:val="0"/>
          <w:sz w:val="21"/>
          <w:szCs w:val="21"/>
          <w:lang w:eastAsia="zh-CN"/>
        </w:rPr>
        <w:t>此时，超额收益的业绩归因可以写为</w:t>
      </w:r>
    </w:p>
    <w:p w14:paraId="62198E54" w14:textId="5B562F1F" w:rsidR="009A63B1" w:rsidRPr="00E94906" w:rsidRDefault="009A63B1" w:rsidP="009A63B1">
      <w:pPr>
        <w:pStyle w:val="AMDisplayEquation"/>
      </w:pPr>
      <w:r>
        <w:tab/>
      </w:r>
      <w:r w:rsidRPr="00E94906">
        <w:rPr>
          <w:position w:val="-98"/>
        </w:rPr>
        <w:object w:dxaOrig="6263" w:dyaOrig="2102" w14:anchorId="36D125D0">
          <v:shape id="_x0000_i1055" type="#_x0000_t75" style="width:312.9pt;height:105.45pt" o:ole="">
            <v:imagedata r:id="rId92" o:title=""/>
          </v:shape>
          <o:OLEObject Type="Embed" ProgID="Equation.AxMath" ShapeID="_x0000_i1055" DrawAspect="Content" ObjectID="_1676440609" r:id="rId9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13</w:instrText>
        </w:r>
      </w:fldSimple>
      <w:r>
        <w:instrText>)</w:instrText>
      </w:r>
      <w:r>
        <w:fldChar w:fldCharType="end"/>
      </w:r>
    </w:p>
    <w:p w14:paraId="09762A40" w14:textId="77777777" w:rsidR="009A63B1" w:rsidRDefault="009A63B1" w:rsidP="009A63B1">
      <w:pPr>
        <w:pStyle w:val="AMDisplayEquation"/>
        <w:numPr>
          <w:ilvl w:val="0"/>
          <w:numId w:val="7"/>
        </w:numPr>
        <w:spacing w:after="0"/>
        <w:ind w:leftChars="0" w:firstLineChars="0"/>
      </w:pPr>
      <w:r w:rsidRPr="00495EEF">
        <w:rPr>
          <w:rFonts w:hint="eastAsia"/>
        </w:rPr>
        <w:t>从主动改变战略型资产配置的角度计算收益。按照</w:t>
      </w:r>
      <w:proofErr w:type="spellStart"/>
      <w:r w:rsidRPr="00495EEF">
        <w:rPr>
          <w:rFonts w:hint="eastAsia"/>
        </w:rPr>
        <w:t>Andonov</w:t>
      </w:r>
      <w:proofErr w:type="spellEnd"/>
      <w:r w:rsidRPr="00495EEF">
        <w:t xml:space="preserve"> </w:t>
      </w:r>
      <w:r w:rsidRPr="00495EEF">
        <w:rPr>
          <w:rFonts w:hint="eastAsia"/>
        </w:rPr>
        <w:t>等（</w:t>
      </w:r>
      <w:r w:rsidRPr="00495EEF">
        <w:rPr>
          <w:rFonts w:hint="eastAsia"/>
        </w:rPr>
        <w:t>2</w:t>
      </w:r>
      <w:r w:rsidRPr="00495EEF">
        <w:t>012</w:t>
      </w:r>
      <w:r w:rsidRPr="00495EEF">
        <w:rPr>
          <w:rFonts w:hint="eastAsia"/>
        </w:rPr>
        <w:t>）</w:t>
      </w:r>
      <w:r w:rsidRPr="00163CE7">
        <w:rPr>
          <w:vertAlign w:val="superscript"/>
        </w:rPr>
        <w:footnoteReference w:id="6"/>
      </w:r>
      <w:r w:rsidRPr="00495EEF">
        <w:rPr>
          <w:rFonts w:hint="eastAsia"/>
        </w:rPr>
        <w:t>将战略型资产配置的收益波动从时间序列和横截面收益波动的角度进行分解。</w:t>
      </w:r>
    </w:p>
    <w:p w14:paraId="40D5DAF3" w14:textId="089FD67E" w:rsidR="009A63B1" w:rsidRDefault="009A63B1" w:rsidP="009A63B1">
      <w:pPr>
        <w:pStyle w:val="AMDisplayEquation"/>
        <w:numPr>
          <w:ilvl w:val="0"/>
          <w:numId w:val="7"/>
        </w:numPr>
        <w:spacing w:after="0"/>
        <w:ind w:leftChars="0" w:firstLineChars="0"/>
      </w:pPr>
      <w:r w:rsidRPr="00495EEF">
        <w:rPr>
          <w:rFonts w:hint="eastAsia"/>
        </w:rPr>
        <w:t>从</w:t>
      </w:r>
      <w:r w:rsidR="009F679D">
        <w:rPr>
          <w:rFonts w:hint="eastAsia"/>
        </w:rPr>
        <w:t>风险调整后的</w:t>
      </w:r>
      <w:r w:rsidRPr="00495EEF">
        <w:rPr>
          <w:rFonts w:hint="eastAsia"/>
        </w:rPr>
        <w:t>主动改变战略型资产配置的角度计算收益。这和以上第四点比较相像，但是计算的是剔除了风险后的收益。</w:t>
      </w:r>
    </w:p>
    <w:p w14:paraId="422DD37A" w14:textId="77777777" w:rsidR="00A82F2A" w:rsidRPr="00A82F2A" w:rsidRDefault="00A82F2A" w:rsidP="00A82F2A">
      <w:pPr>
        <w:pStyle w:val="AMDisplayEquation"/>
        <w:spacing w:after="0"/>
        <w:ind w:leftChars="0" w:left="3797" w:firstLineChars="0" w:firstLine="0"/>
        <w:rPr>
          <w:rFonts w:eastAsiaTheme="minorEastAsia"/>
        </w:rPr>
      </w:pPr>
    </w:p>
    <w:p w14:paraId="1204FCFD" w14:textId="7E4105AD" w:rsidR="00A82F2A" w:rsidRPr="00176693" w:rsidRDefault="00A82F2A" w:rsidP="00A82F2A">
      <w:pPr>
        <w:pStyle w:val="2"/>
        <w:spacing w:before="326"/>
        <w:ind w:leftChars="0"/>
        <w:rPr>
          <w:rFonts w:eastAsiaTheme="minorEastAsia"/>
          <w:lang w:eastAsia="zh-CN"/>
        </w:rPr>
      </w:pPr>
      <w:bookmarkStart w:id="20" w:name="_Toc65798990"/>
      <w:r>
        <w:rPr>
          <w:rFonts w:hint="eastAsia"/>
          <w:lang w:eastAsia="zh-CN"/>
        </w:rPr>
        <w:lastRenderedPageBreak/>
        <w:t>（四）债券型基金业绩评价基准的选择</w:t>
      </w:r>
      <w:bookmarkEnd w:id="20"/>
    </w:p>
    <w:p w14:paraId="5D5080F6" w14:textId="5CB2F568" w:rsidR="00475118" w:rsidRDefault="00A82F2A"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proofErr w:type="spellStart"/>
      <w:r w:rsidRPr="00475118">
        <w:rPr>
          <w:rFonts w:ascii="Arial" w:eastAsia="楷体_GB2312" w:hAnsi="Arial"/>
          <w:kern w:val="0"/>
          <w:sz w:val="21"/>
          <w:szCs w:val="21"/>
          <w:lang w:eastAsia="zh-CN"/>
        </w:rPr>
        <w:t>Bülent</w:t>
      </w:r>
      <w:proofErr w:type="spellEnd"/>
      <w:r w:rsidRPr="00475118">
        <w:rPr>
          <w:rFonts w:ascii="Arial" w:eastAsia="楷体_GB2312" w:hAnsi="Arial"/>
          <w:kern w:val="0"/>
          <w:sz w:val="21"/>
          <w:szCs w:val="21"/>
          <w:lang w:eastAsia="zh-CN"/>
        </w:rPr>
        <w:t xml:space="preserve"> </w:t>
      </w:r>
      <w:proofErr w:type="spellStart"/>
      <w:r w:rsidRPr="00475118">
        <w:rPr>
          <w:rFonts w:ascii="Arial" w:eastAsia="楷体_GB2312" w:hAnsi="Arial"/>
          <w:kern w:val="0"/>
          <w:sz w:val="21"/>
          <w:szCs w:val="21"/>
          <w:lang w:eastAsia="zh-CN"/>
        </w:rPr>
        <w:t>Baygün</w:t>
      </w:r>
      <w:proofErr w:type="spellEnd"/>
      <w:r w:rsidRPr="00475118">
        <w:rPr>
          <w:rFonts w:ascii="Arial" w:eastAsia="楷体_GB2312" w:hAnsi="Arial"/>
          <w:kern w:val="0"/>
          <w:sz w:val="21"/>
          <w:szCs w:val="21"/>
          <w:lang w:eastAsia="zh-CN"/>
        </w:rPr>
        <w:t xml:space="preserve">, </w:t>
      </w:r>
      <w:proofErr w:type="spellStart"/>
      <w:r w:rsidRPr="00475118">
        <w:rPr>
          <w:rFonts w:ascii="Arial" w:eastAsia="楷体_GB2312" w:hAnsi="Arial"/>
          <w:kern w:val="0"/>
          <w:sz w:val="21"/>
          <w:szCs w:val="21"/>
          <w:lang w:eastAsia="zh-CN"/>
        </w:rPr>
        <w:t>Tzucker</w:t>
      </w:r>
      <w:proofErr w:type="spellEnd"/>
      <w:r w:rsidRPr="00475118">
        <w:rPr>
          <w:rFonts w:ascii="Arial" w:eastAsia="楷体_GB2312" w:hAnsi="Arial"/>
          <w:kern w:val="0"/>
          <w:sz w:val="21"/>
          <w:szCs w:val="21"/>
          <w:lang w:eastAsia="zh-CN"/>
        </w:rPr>
        <w:t xml:space="preserve"> R</w:t>
      </w:r>
      <w:r w:rsidRPr="00E90DE7">
        <w:rPr>
          <w:rFonts w:ascii="Arial" w:eastAsia="楷体_GB2312" w:hAnsi="Arial"/>
          <w:kern w:val="0"/>
          <w:sz w:val="21"/>
          <w:szCs w:val="21"/>
          <w:vertAlign w:val="superscript"/>
          <w:lang w:eastAsia="zh-CN"/>
        </w:rPr>
        <w:footnoteReference w:id="7"/>
      </w:r>
      <w:r w:rsidRPr="00475118">
        <w:rPr>
          <w:rFonts w:ascii="Arial" w:eastAsia="楷体_GB2312" w:hAnsi="Arial" w:hint="eastAsia"/>
          <w:kern w:val="0"/>
          <w:sz w:val="21"/>
          <w:szCs w:val="21"/>
          <w:lang w:eastAsia="zh-CN"/>
        </w:rPr>
        <w:t>提出了如何衡量债券型基金业绩评价基准的规则，包括：</w:t>
      </w:r>
      <w:r w:rsidRPr="00475118">
        <w:rPr>
          <w:rFonts w:ascii="Arial" w:eastAsia="楷体_GB2312" w:hAnsi="Arial" w:hint="eastAsia"/>
          <w:kern w:val="0"/>
          <w:sz w:val="21"/>
          <w:szCs w:val="21"/>
          <w:lang w:eastAsia="zh-CN"/>
        </w:rPr>
        <w:t>1</w:t>
      </w:r>
      <w:r w:rsidRPr="00475118">
        <w:rPr>
          <w:rFonts w:ascii="Arial" w:eastAsia="楷体_GB2312" w:hAnsi="Arial"/>
          <w:kern w:val="0"/>
          <w:sz w:val="21"/>
          <w:szCs w:val="21"/>
          <w:lang w:eastAsia="zh-CN"/>
        </w:rPr>
        <w:t xml:space="preserve">. </w:t>
      </w:r>
      <w:r w:rsidRPr="00475118">
        <w:rPr>
          <w:rFonts w:ascii="Arial" w:eastAsia="楷体_GB2312" w:hAnsi="Arial" w:hint="eastAsia"/>
          <w:kern w:val="0"/>
          <w:sz w:val="21"/>
          <w:szCs w:val="21"/>
          <w:lang w:eastAsia="zh-CN"/>
        </w:rPr>
        <w:t>与投资者相关；</w:t>
      </w:r>
      <w:r w:rsidRPr="00475118">
        <w:rPr>
          <w:rFonts w:ascii="Arial" w:eastAsia="楷体_GB2312" w:hAnsi="Arial" w:hint="eastAsia"/>
          <w:kern w:val="0"/>
          <w:sz w:val="21"/>
          <w:szCs w:val="21"/>
          <w:lang w:eastAsia="zh-CN"/>
        </w:rPr>
        <w:t>2</w:t>
      </w:r>
      <w:r w:rsidRPr="00475118">
        <w:rPr>
          <w:rFonts w:ascii="Arial" w:eastAsia="楷体_GB2312" w:hAnsi="Arial"/>
          <w:kern w:val="0"/>
          <w:sz w:val="21"/>
          <w:szCs w:val="21"/>
          <w:lang w:eastAsia="zh-CN"/>
        </w:rPr>
        <w:t xml:space="preserve">. </w:t>
      </w:r>
      <w:r w:rsidRPr="00475118">
        <w:rPr>
          <w:rFonts w:ascii="Arial" w:eastAsia="楷体_GB2312" w:hAnsi="Arial" w:hint="eastAsia"/>
          <w:kern w:val="0"/>
          <w:sz w:val="21"/>
          <w:szCs w:val="21"/>
          <w:lang w:eastAsia="zh-CN"/>
        </w:rPr>
        <w:t>能够代表市场；</w:t>
      </w:r>
      <w:r w:rsidRPr="00475118">
        <w:rPr>
          <w:rFonts w:ascii="Arial" w:eastAsia="楷体_GB2312" w:hAnsi="Arial" w:hint="eastAsia"/>
          <w:kern w:val="0"/>
          <w:sz w:val="21"/>
          <w:szCs w:val="21"/>
          <w:lang w:eastAsia="zh-CN"/>
        </w:rPr>
        <w:t>3</w:t>
      </w:r>
      <w:r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在规则上透明且保持一致；</w:t>
      </w:r>
      <w:r w:rsidR="00475118" w:rsidRPr="00475118">
        <w:rPr>
          <w:rFonts w:ascii="Arial" w:eastAsia="楷体_GB2312" w:hAnsi="Arial" w:hint="eastAsia"/>
          <w:kern w:val="0"/>
          <w:sz w:val="21"/>
          <w:szCs w:val="21"/>
          <w:lang w:eastAsia="zh-CN"/>
        </w:rPr>
        <w:t>4</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可投资型和可复制性；</w:t>
      </w:r>
      <w:r w:rsidR="00475118" w:rsidRPr="00475118">
        <w:rPr>
          <w:rFonts w:ascii="Arial" w:eastAsia="楷体_GB2312" w:hAnsi="Arial" w:hint="eastAsia"/>
          <w:kern w:val="0"/>
          <w:sz w:val="21"/>
          <w:szCs w:val="21"/>
          <w:lang w:eastAsia="zh-CN"/>
        </w:rPr>
        <w:t>5</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基于高质量的数据；</w:t>
      </w:r>
      <w:r w:rsidR="00475118" w:rsidRPr="00475118">
        <w:rPr>
          <w:rFonts w:ascii="Arial" w:eastAsia="楷体_GB2312" w:hAnsi="Arial" w:hint="eastAsia"/>
          <w:kern w:val="0"/>
          <w:sz w:val="21"/>
          <w:szCs w:val="21"/>
          <w:lang w:eastAsia="zh-CN"/>
        </w:rPr>
        <w:t>6</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独立。</w:t>
      </w:r>
      <w:r w:rsidR="00475118">
        <w:rPr>
          <w:rFonts w:ascii="Arial" w:eastAsia="楷体_GB2312" w:hAnsi="Arial" w:hint="eastAsia"/>
          <w:kern w:val="0"/>
          <w:sz w:val="21"/>
          <w:szCs w:val="21"/>
          <w:lang w:eastAsia="zh-CN"/>
        </w:rPr>
        <w:t>我们可以通过考虑远期利率、考虑不同的经济场景（</w:t>
      </w:r>
      <w:r w:rsidR="00475118">
        <w:rPr>
          <w:rFonts w:ascii="Arial" w:eastAsia="楷体_GB2312" w:hAnsi="Arial" w:hint="eastAsia"/>
          <w:kern w:val="0"/>
          <w:sz w:val="21"/>
          <w:szCs w:val="21"/>
          <w:lang w:eastAsia="zh-CN"/>
        </w:rPr>
        <w:t>Economic</w:t>
      </w:r>
      <w:r w:rsidR="00475118">
        <w:rPr>
          <w:rFonts w:ascii="Arial" w:eastAsia="楷体_GB2312" w:hAnsi="Arial"/>
          <w:kern w:val="0"/>
          <w:sz w:val="21"/>
          <w:szCs w:val="21"/>
          <w:lang w:eastAsia="zh-CN"/>
        </w:rPr>
        <w:t xml:space="preserve"> </w:t>
      </w:r>
      <w:r w:rsidR="009F679D">
        <w:rPr>
          <w:rFonts w:ascii="Arial" w:eastAsia="楷体_GB2312" w:hAnsi="Arial"/>
          <w:kern w:val="0"/>
          <w:sz w:val="21"/>
          <w:szCs w:val="21"/>
          <w:lang w:eastAsia="zh-CN"/>
        </w:rPr>
        <w:t>Scenarios</w:t>
      </w:r>
      <w:r w:rsidR="00475118">
        <w:rPr>
          <w:rFonts w:ascii="Arial" w:eastAsia="楷体_GB2312" w:hAnsi="Arial" w:hint="eastAsia"/>
          <w:kern w:val="0"/>
          <w:sz w:val="21"/>
          <w:szCs w:val="21"/>
          <w:lang w:eastAsia="zh-CN"/>
        </w:rPr>
        <w:t>）、研究收益率曲线、考虑资产配置、考虑久期配置、风险容忍度、利差关系等等来打败债券型基金</w:t>
      </w:r>
      <w:r w:rsidR="009F679D">
        <w:rPr>
          <w:rFonts w:ascii="Arial" w:eastAsia="楷体_GB2312" w:hAnsi="Arial" w:hint="eastAsia"/>
          <w:kern w:val="0"/>
          <w:sz w:val="21"/>
          <w:szCs w:val="21"/>
          <w:lang w:eastAsia="zh-CN"/>
        </w:rPr>
        <w:t>的</w:t>
      </w:r>
      <w:r w:rsidR="00475118">
        <w:rPr>
          <w:rFonts w:ascii="Arial" w:eastAsia="楷体_GB2312" w:hAnsi="Arial" w:hint="eastAsia"/>
          <w:kern w:val="0"/>
          <w:sz w:val="21"/>
          <w:szCs w:val="21"/>
          <w:lang w:eastAsia="zh-CN"/>
        </w:rPr>
        <w:t>基准。</w:t>
      </w:r>
    </w:p>
    <w:p w14:paraId="361C09B1" w14:textId="3AD87476" w:rsidR="007436E6" w:rsidRPr="000B02AE" w:rsidRDefault="005812D9" w:rsidP="00475118">
      <w:pPr>
        <w:autoSpaceDE w:val="0"/>
        <w:autoSpaceDN w:val="0"/>
        <w:adjustRightInd w:val="0"/>
        <w:spacing w:beforeLines="50" w:before="163" w:after="100"/>
        <w:ind w:leftChars="1257" w:left="3017" w:firstLineChars="291" w:firstLine="611"/>
        <w:jc w:val="both"/>
        <w:rPr>
          <w:rFonts w:ascii="Arial" w:hAnsi="Arial"/>
          <w:kern w:val="0"/>
          <w:sz w:val="21"/>
          <w:szCs w:val="21"/>
          <w:lang w:eastAsia="zh-CN"/>
        </w:rPr>
      </w:pPr>
      <w:r w:rsidRPr="005812D9">
        <w:rPr>
          <w:rFonts w:ascii="Arial" w:eastAsia="楷体_GB2312" w:hAnsi="Arial"/>
          <w:kern w:val="0"/>
          <w:sz w:val="21"/>
          <w:szCs w:val="21"/>
          <w:lang w:eastAsia="zh-CN"/>
        </w:rPr>
        <w:t>Daniel K E A .</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1</w:t>
      </w:r>
      <w:r>
        <w:rPr>
          <w:rFonts w:ascii="Arial" w:eastAsia="楷体_GB2312" w:hAnsi="Arial"/>
          <w:kern w:val="0"/>
          <w:sz w:val="21"/>
          <w:szCs w:val="21"/>
          <w:lang w:eastAsia="zh-CN"/>
        </w:rPr>
        <w:t>997</w:t>
      </w:r>
      <w:r>
        <w:rPr>
          <w:rFonts w:ascii="Arial" w:eastAsia="楷体_GB2312" w:hAnsi="Arial" w:hint="eastAsia"/>
          <w:kern w:val="0"/>
          <w:sz w:val="21"/>
          <w:szCs w:val="21"/>
          <w:lang w:eastAsia="zh-CN"/>
        </w:rPr>
        <w:t>）</w:t>
      </w:r>
      <w:r>
        <w:rPr>
          <w:rStyle w:val="aff7"/>
          <w:rFonts w:ascii="Arial" w:eastAsia="楷体_GB2312" w:hAnsi="Arial"/>
          <w:kern w:val="0"/>
          <w:sz w:val="21"/>
          <w:szCs w:val="21"/>
          <w:lang w:eastAsia="zh-CN"/>
        </w:rPr>
        <w:footnoteReference w:id="8"/>
      </w:r>
      <w:r>
        <w:rPr>
          <w:rFonts w:ascii="Arial" w:eastAsia="楷体_GB2312" w:hAnsi="Arial" w:hint="eastAsia"/>
          <w:kern w:val="0"/>
          <w:sz w:val="21"/>
          <w:szCs w:val="21"/>
          <w:lang w:eastAsia="zh-CN"/>
        </w:rPr>
        <w:t>、</w:t>
      </w:r>
      <w:r w:rsidR="00967830" w:rsidRPr="00967830">
        <w:rPr>
          <w:rFonts w:ascii="Arial" w:eastAsia="楷体_GB2312" w:hAnsi="Arial"/>
          <w:kern w:val="0"/>
          <w:sz w:val="21"/>
          <w:szCs w:val="21"/>
          <w:lang w:eastAsia="zh-CN"/>
        </w:rPr>
        <w:t>Fong K , Gallagher D R</w:t>
      </w:r>
      <w:r w:rsidR="00967830">
        <w:rPr>
          <w:rFonts w:ascii="Arial" w:eastAsia="楷体_GB2312" w:hAnsi="Arial" w:hint="eastAsia"/>
          <w:kern w:val="0"/>
          <w:sz w:val="21"/>
          <w:szCs w:val="21"/>
          <w:lang w:eastAsia="zh-CN"/>
        </w:rPr>
        <w:t>（</w:t>
      </w:r>
      <w:r w:rsidR="00967830">
        <w:rPr>
          <w:rFonts w:ascii="Arial" w:eastAsia="楷体_GB2312" w:hAnsi="Arial" w:hint="eastAsia"/>
          <w:kern w:val="0"/>
          <w:sz w:val="21"/>
          <w:szCs w:val="21"/>
          <w:lang w:eastAsia="zh-CN"/>
        </w:rPr>
        <w:t>2</w:t>
      </w:r>
      <w:r w:rsidR="00967830">
        <w:rPr>
          <w:rFonts w:ascii="Arial" w:eastAsia="楷体_GB2312" w:hAnsi="Arial"/>
          <w:kern w:val="0"/>
          <w:sz w:val="21"/>
          <w:szCs w:val="21"/>
          <w:lang w:eastAsia="zh-CN"/>
        </w:rPr>
        <w:t>008</w:t>
      </w:r>
      <w:r w:rsidR="00967830">
        <w:rPr>
          <w:rFonts w:ascii="Arial" w:eastAsia="楷体_GB2312" w:hAnsi="Arial" w:hint="eastAsia"/>
          <w:kern w:val="0"/>
          <w:sz w:val="21"/>
          <w:szCs w:val="21"/>
          <w:lang w:eastAsia="zh-CN"/>
        </w:rPr>
        <w:t>）</w:t>
      </w:r>
      <w:r w:rsidR="00967830">
        <w:rPr>
          <w:rStyle w:val="aff7"/>
          <w:rFonts w:ascii="Arial" w:eastAsia="楷体_GB2312" w:hAnsi="Arial"/>
          <w:kern w:val="0"/>
          <w:sz w:val="21"/>
          <w:szCs w:val="21"/>
          <w:lang w:eastAsia="zh-CN"/>
        </w:rPr>
        <w:footnoteReference w:id="9"/>
      </w:r>
      <w:r w:rsidR="00967830">
        <w:rPr>
          <w:rFonts w:ascii="Arial" w:eastAsia="楷体_GB2312" w:hAnsi="Arial" w:hint="eastAsia"/>
          <w:kern w:val="0"/>
          <w:sz w:val="21"/>
          <w:szCs w:val="21"/>
          <w:lang w:eastAsia="zh-CN"/>
        </w:rPr>
        <w:t>实证研究发现</w:t>
      </w:r>
      <w:r w:rsidR="00E90DE7">
        <w:rPr>
          <w:rFonts w:ascii="Arial" w:eastAsia="楷体_GB2312" w:hAnsi="Arial" w:hint="eastAsia"/>
          <w:kern w:val="0"/>
          <w:sz w:val="21"/>
          <w:szCs w:val="21"/>
          <w:lang w:eastAsia="zh-CN"/>
        </w:rPr>
        <w:t>根据基金的投资风格构造的业绩评价基准与标准的基准相比所带来的的</w:t>
      </w:r>
      <w:r w:rsidR="00E90DE7">
        <w:rPr>
          <w:rFonts w:ascii="Arial" w:eastAsia="楷体_GB2312" w:hAnsi="Arial" w:hint="eastAsia"/>
          <w:kern w:val="0"/>
          <w:sz w:val="21"/>
          <w:szCs w:val="21"/>
          <w:lang w:eastAsia="zh-CN"/>
        </w:rPr>
        <w:t>alpha</w:t>
      </w:r>
      <w:r w:rsidR="00E90DE7">
        <w:rPr>
          <w:rFonts w:ascii="Arial" w:eastAsia="楷体_GB2312" w:hAnsi="Arial" w:hint="eastAsia"/>
          <w:kern w:val="0"/>
          <w:sz w:val="21"/>
          <w:szCs w:val="21"/>
          <w:lang w:eastAsia="zh-CN"/>
        </w:rPr>
        <w:t>收益更小。</w:t>
      </w:r>
      <w:r w:rsidR="000B02AE">
        <w:rPr>
          <w:rFonts w:ascii="Arial" w:eastAsia="楷体_GB2312" w:hAnsi="Arial" w:hint="eastAsia"/>
          <w:kern w:val="0"/>
          <w:sz w:val="21"/>
          <w:szCs w:val="21"/>
          <w:lang w:eastAsia="zh-CN"/>
        </w:rPr>
        <w:t>他们使用风格选择（</w:t>
      </w:r>
      <w:r w:rsidR="000B02AE">
        <w:rPr>
          <w:rFonts w:ascii="Arial" w:eastAsia="楷体_GB2312" w:hAnsi="Arial" w:hint="eastAsia"/>
          <w:kern w:val="0"/>
          <w:sz w:val="21"/>
          <w:szCs w:val="21"/>
          <w:lang w:eastAsia="zh-CN"/>
        </w:rPr>
        <w:t>characteristic</w:t>
      </w:r>
      <w:r w:rsidR="000B02AE">
        <w:rPr>
          <w:rFonts w:ascii="Arial" w:eastAsia="楷体_GB2312" w:hAnsi="Arial"/>
          <w:kern w:val="0"/>
          <w:sz w:val="21"/>
          <w:szCs w:val="21"/>
          <w:lang w:eastAsia="zh-CN"/>
        </w:rPr>
        <w:t xml:space="preserve"> </w:t>
      </w:r>
      <w:r w:rsidR="000B02AE">
        <w:rPr>
          <w:rFonts w:ascii="Arial" w:eastAsia="楷体_GB2312" w:hAnsi="Arial" w:hint="eastAsia"/>
          <w:kern w:val="0"/>
          <w:sz w:val="21"/>
          <w:szCs w:val="21"/>
          <w:lang w:eastAsia="zh-CN"/>
        </w:rPr>
        <w:t>selectivity</w:t>
      </w:r>
      <w:r w:rsidR="000B02AE">
        <w:rPr>
          <w:rFonts w:ascii="Arial" w:eastAsia="楷体_GB2312" w:hAnsi="Arial"/>
          <w:kern w:val="0"/>
          <w:sz w:val="21"/>
          <w:szCs w:val="21"/>
          <w:lang w:eastAsia="zh-CN"/>
        </w:rPr>
        <w:t>, CS</w:t>
      </w:r>
      <w:r w:rsidR="000B02AE">
        <w:rPr>
          <w:rFonts w:ascii="Arial" w:eastAsia="楷体_GB2312" w:hAnsi="Arial" w:hint="eastAsia"/>
          <w:kern w:val="0"/>
          <w:sz w:val="21"/>
          <w:szCs w:val="21"/>
          <w:lang w:eastAsia="zh-CN"/>
        </w:rPr>
        <w:t>）、隐含市场组合（</w:t>
      </w:r>
      <w:r w:rsidR="000B02AE">
        <w:rPr>
          <w:rFonts w:ascii="Arial" w:eastAsia="楷体_GB2312" w:hAnsi="Arial" w:hint="eastAsia"/>
          <w:kern w:val="0"/>
          <w:sz w:val="21"/>
          <w:szCs w:val="21"/>
          <w:lang w:eastAsia="zh-CN"/>
        </w:rPr>
        <w:t>Implied</w:t>
      </w:r>
      <w:r w:rsidR="000B02AE">
        <w:rPr>
          <w:rFonts w:ascii="Arial" w:eastAsia="楷体_GB2312" w:hAnsi="Arial"/>
          <w:kern w:val="0"/>
          <w:sz w:val="21"/>
          <w:szCs w:val="21"/>
          <w:lang w:eastAsia="zh-CN"/>
        </w:rPr>
        <w:t xml:space="preserve"> Market return, IM</w:t>
      </w:r>
      <w:r w:rsidR="000B02AE">
        <w:rPr>
          <w:rFonts w:ascii="Arial" w:eastAsia="楷体_GB2312" w:hAnsi="Arial" w:hint="eastAsia"/>
          <w:kern w:val="0"/>
          <w:sz w:val="21"/>
          <w:szCs w:val="21"/>
          <w:lang w:eastAsia="zh-CN"/>
        </w:rPr>
        <w:t>）、超额风格（</w:t>
      </w:r>
      <w:r w:rsidR="000B02AE">
        <w:rPr>
          <w:rFonts w:ascii="Arial" w:eastAsia="楷体_GB2312" w:hAnsi="Arial" w:hint="eastAsia"/>
          <w:kern w:val="0"/>
          <w:sz w:val="21"/>
          <w:szCs w:val="21"/>
          <w:lang w:eastAsia="zh-CN"/>
        </w:rPr>
        <w:t>Excess</w:t>
      </w:r>
      <w:r w:rsidR="000B02AE">
        <w:rPr>
          <w:rFonts w:ascii="Arial" w:eastAsia="楷体_GB2312" w:hAnsi="Arial"/>
          <w:kern w:val="0"/>
          <w:sz w:val="21"/>
          <w:szCs w:val="21"/>
          <w:lang w:eastAsia="zh-CN"/>
        </w:rPr>
        <w:t xml:space="preserve"> Style, ES</w:t>
      </w:r>
      <w:r w:rsidR="000B02AE">
        <w:rPr>
          <w:rFonts w:ascii="Arial" w:eastAsia="楷体_GB2312" w:hAnsi="Arial" w:hint="eastAsia"/>
          <w:kern w:val="0"/>
          <w:sz w:val="21"/>
          <w:szCs w:val="21"/>
          <w:lang w:eastAsia="zh-CN"/>
        </w:rPr>
        <w:t>）来衡量基金相对于价值加权基准组合。这里，</w:t>
      </w:r>
      <w:r w:rsidR="000B02AE" w:rsidRPr="00EF3124">
        <w:rPr>
          <w:position w:val="-10"/>
        </w:rPr>
        <w:object w:dxaOrig="565" w:dyaOrig="316" w14:anchorId="788CC084">
          <v:shape id="_x0000_i1056" type="#_x0000_t75" style="width:28pt;height:15.7pt" o:ole="">
            <v:imagedata r:id="rId94" o:title=""/>
          </v:shape>
          <o:OLEObject Type="Embed" ProgID="Equation.AxMath" ShapeID="_x0000_i1056" DrawAspect="Content" ObjectID="_1676440610" r:id="rId95"/>
        </w:object>
      </w:r>
      <w:r w:rsidR="000B02AE" w:rsidRPr="000B02AE">
        <w:rPr>
          <w:rFonts w:ascii="Arial" w:eastAsia="楷体_GB2312" w:hAnsi="Arial" w:hint="eastAsia"/>
          <w:kern w:val="0"/>
          <w:sz w:val="21"/>
          <w:szCs w:val="21"/>
          <w:lang w:eastAsia="zh-CN"/>
        </w:rPr>
        <w:t>是股票</w:t>
      </w:r>
      <w:proofErr w:type="spellStart"/>
      <w:r w:rsidR="000B02AE" w:rsidRPr="000B02AE">
        <w:rPr>
          <w:rFonts w:ascii="Arial" w:eastAsia="楷体_GB2312" w:hAnsi="Arial" w:hint="eastAsia"/>
          <w:kern w:val="0"/>
          <w:sz w:val="21"/>
          <w:szCs w:val="21"/>
          <w:lang w:eastAsia="zh-CN"/>
        </w:rPr>
        <w:t>i</w:t>
      </w:r>
      <w:proofErr w:type="spellEnd"/>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t-1</w:t>
      </w:r>
      <w:r w:rsidR="000B02AE" w:rsidRPr="000B02AE">
        <w:rPr>
          <w:rFonts w:ascii="Arial" w:eastAsia="楷体_GB2312" w:hAnsi="Arial" w:hint="eastAsia"/>
          <w:kern w:val="0"/>
          <w:sz w:val="21"/>
          <w:szCs w:val="21"/>
          <w:lang w:eastAsia="zh-CN"/>
        </w:rPr>
        <w:t>月份在基金中的权重，</w:t>
      </w:r>
      <w:r w:rsidR="000B02AE" w:rsidRPr="00EF3124">
        <w:rPr>
          <w:position w:val="-10"/>
        </w:rPr>
        <w:object w:dxaOrig="636" w:dyaOrig="316" w14:anchorId="371ABC24">
          <v:shape id="_x0000_i1057" type="#_x0000_t75" style="width:31.75pt;height:15.7pt" o:ole="">
            <v:imagedata r:id="rId96" o:title=""/>
          </v:shape>
          <o:OLEObject Type="Embed" ProgID="Equation.AxMath" ShapeID="_x0000_i1057" DrawAspect="Content" ObjectID="_1676440611" r:id="rId97"/>
        </w:object>
      </w:r>
      <w:r w:rsidR="000B02AE" w:rsidRPr="000B02AE">
        <w:rPr>
          <w:rFonts w:ascii="Arial" w:eastAsia="楷体_GB2312" w:hAnsi="Arial" w:hint="eastAsia"/>
          <w:kern w:val="0"/>
          <w:sz w:val="21"/>
          <w:szCs w:val="21"/>
          <w:lang w:eastAsia="zh-CN"/>
        </w:rPr>
        <w:t>是</w:t>
      </w:r>
      <w:r w:rsidR="000B02AE">
        <w:rPr>
          <w:rFonts w:ascii="Arial" w:eastAsia="楷体_GB2312" w:hAnsi="Arial" w:hint="eastAsia"/>
          <w:kern w:val="0"/>
          <w:sz w:val="21"/>
          <w:szCs w:val="21"/>
          <w:lang w:eastAsia="zh-CN"/>
        </w:rPr>
        <w:t>股票</w:t>
      </w:r>
      <w:proofErr w:type="spellStart"/>
      <w:r w:rsidR="000B02AE">
        <w:rPr>
          <w:rFonts w:ascii="Arial" w:eastAsia="楷体_GB2312" w:hAnsi="Arial" w:hint="eastAsia"/>
          <w:kern w:val="0"/>
          <w:sz w:val="21"/>
          <w:szCs w:val="21"/>
          <w:lang w:eastAsia="zh-CN"/>
        </w:rPr>
        <w:t>i</w:t>
      </w:r>
      <w:proofErr w:type="spellEnd"/>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t-1</w:t>
      </w:r>
      <w:r w:rsidR="000B02AE" w:rsidRPr="000B02AE">
        <w:rPr>
          <w:rFonts w:ascii="Arial" w:eastAsia="楷体_GB2312" w:hAnsi="Arial" w:hint="eastAsia"/>
          <w:kern w:val="0"/>
          <w:sz w:val="21"/>
          <w:szCs w:val="21"/>
          <w:lang w:eastAsia="zh-CN"/>
        </w:rPr>
        <w:t>月份在</w:t>
      </w:r>
      <w:r w:rsidR="000B02AE">
        <w:rPr>
          <w:rFonts w:ascii="Arial" w:eastAsia="楷体_GB2312" w:hAnsi="Arial" w:hint="eastAsia"/>
          <w:kern w:val="0"/>
          <w:sz w:val="21"/>
          <w:szCs w:val="21"/>
          <w:lang w:eastAsia="zh-CN"/>
        </w:rPr>
        <w:t>指数基准</w:t>
      </w:r>
      <w:r w:rsidR="000B02AE" w:rsidRPr="000B02AE">
        <w:rPr>
          <w:rFonts w:ascii="Arial" w:eastAsia="楷体_GB2312" w:hAnsi="Arial" w:hint="eastAsia"/>
          <w:kern w:val="0"/>
          <w:sz w:val="21"/>
          <w:szCs w:val="21"/>
          <w:lang w:eastAsia="zh-CN"/>
        </w:rPr>
        <w:t>中的权重</w:t>
      </w:r>
      <w:r w:rsidR="000B02AE">
        <w:rPr>
          <w:rFonts w:ascii="Arial" w:eastAsia="楷体_GB2312" w:hAnsi="Arial" w:hint="eastAsia"/>
          <w:kern w:val="0"/>
          <w:sz w:val="21"/>
          <w:szCs w:val="21"/>
          <w:lang w:eastAsia="zh-CN"/>
        </w:rPr>
        <w:t>，</w:t>
      </w:r>
      <w:r w:rsidR="000B02AE" w:rsidRPr="000B02AE">
        <w:rPr>
          <w:rFonts w:ascii="Arial" w:eastAsia="楷体_GB2312" w:hAnsi="Arial"/>
          <w:kern w:val="0"/>
          <w:position w:val="-10"/>
          <w:sz w:val="21"/>
          <w:szCs w:val="21"/>
          <w:lang w:eastAsia="zh-CN"/>
        </w:rPr>
        <w:object w:dxaOrig="366" w:dyaOrig="316" w14:anchorId="7E6AD26A">
          <v:shape id="_x0000_i1058" type="#_x0000_t75" style="width:18.45pt;height:15.7pt" o:ole="">
            <v:imagedata r:id="rId98" o:title=""/>
          </v:shape>
          <o:OLEObject Type="Embed" ProgID="Equation.AxMath" ShapeID="_x0000_i1058" DrawAspect="Content" ObjectID="_1676440612" r:id="rId99"/>
        </w:object>
      </w:r>
      <w:r w:rsidR="000B02AE" w:rsidRPr="000B02AE">
        <w:rPr>
          <w:rFonts w:ascii="Arial" w:eastAsia="楷体_GB2312" w:hAnsi="Arial" w:hint="eastAsia"/>
          <w:kern w:val="0"/>
          <w:sz w:val="21"/>
          <w:szCs w:val="21"/>
          <w:lang w:eastAsia="zh-CN"/>
        </w:rPr>
        <w:t>是股票</w:t>
      </w:r>
      <w:proofErr w:type="spellStart"/>
      <w:r w:rsidR="000B02AE" w:rsidRPr="000B02AE">
        <w:rPr>
          <w:rFonts w:ascii="Arial" w:eastAsia="楷体_GB2312" w:hAnsi="Arial" w:hint="eastAsia"/>
          <w:kern w:val="0"/>
          <w:sz w:val="21"/>
          <w:szCs w:val="21"/>
          <w:lang w:eastAsia="zh-CN"/>
        </w:rPr>
        <w:t>i</w:t>
      </w:r>
      <w:proofErr w:type="spellEnd"/>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w:t>
      </w:r>
      <w:r w:rsidR="000B02AE" w:rsidRPr="000B02AE">
        <w:rPr>
          <w:rFonts w:ascii="Arial" w:eastAsia="楷体_GB2312" w:hAnsi="Arial" w:hint="eastAsia"/>
          <w:kern w:val="0"/>
          <w:sz w:val="21"/>
          <w:szCs w:val="21"/>
          <w:lang w:eastAsia="zh-CN"/>
        </w:rPr>
        <w:t>月份的月度收益率，</w:t>
      </w:r>
      <w:r w:rsidR="000B02AE" w:rsidRPr="000B02AE">
        <w:rPr>
          <w:rFonts w:ascii="Arial" w:eastAsia="楷体_GB2312" w:hAnsi="Arial"/>
          <w:kern w:val="0"/>
          <w:position w:val="-10"/>
          <w:sz w:val="21"/>
          <w:szCs w:val="21"/>
          <w:lang w:eastAsia="zh-CN"/>
        </w:rPr>
        <w:object w:dxaOrig="641" w:dyaOrig="319" w14:anchorId="4EEEC21B">
          <v:shape id="_x0000_i1059" type="#_x0000_t75" style="width:32.1pt;height:15.7pt" o:ole="">
            <v:imagedata r:id="rId100" o:title=""/>
          </v:shape>
          <o:OLEObject Type="Embed" ProgID="Equation.AxMath" ShapeID="_x0000_i1059" DrawAspect="Content" ObjectID="_1676440613" r:id="rId101"/>
        </w:object>
      </w:r>
      <w:r w:rsidR="000B02AE" w:rsidRPr="000B02AE">
        <w:rPr>
          <w:rFonts w:ascii="Arial" w:eastAsia="楷体_GB2312" w:hAnsi="Arial" w:hint="eastAsia"/>
          <w:kern w:val="0"/>
          <w:sz w:val="21"/>
          <w:szCs w:val="21"/>
          <w:lang w:eastAsia="zh-CN"/>
        </w:rPr>
        <w:t>衡量风格组合在</w:t>
      </w:r>
      <w:r w:rsidR="000B02AE" w:rsidRPr="000B02AE">
        <w:rPr>
          <w:rFonts w:ascii="Arial" w:eastAsia="楷体_GB2312" w:hAnsi="Arial" w:hint="eastAsia"/>
          <w:kern w:val="0"/>
          <w:sz w:val="21"/>
          <w:szCs w:val="21"/>
          <w:lang w:eastAsia="zh-CN"/>
        </w:rPr>
        <w:t>t-</w:t>
      </w:r>
      <w:r w:rsidR="000B02AE" w:rsidRPr="000B02AE">
        <w:rPr>
          <w:rFonts w:ascii="Arial" w:eastAsia="楷体_GB2312" w:hAnsi="Arial"/>
          <w:kern w:val="0"/>
          <w:sz w:val="21"/>
          <w:szCs w:val="21"/>
          <w:lang w:eastAsia="zh-CN"/>
        </w:rPr>
        <w:t>1</w:t>
      </w:r>
      <w:r w:rsidR="000B02AE" w:rsidRPr="000B02AE">
        <w:rPr>
          <w:rFonts w:ascii="Arial" w:eastAsia="楷体_GB2312" w:hAnsi="Arial" w:hint="eastAsia"/>
          <w:kern w:val="0"/>
          <w:sz w:val="21"/>
          <w:szCs w:val="21"/>
          <w:lang w:eastAsia="zh-CN"/>
        </w:rPr>
        <w:t>月份的月度收益率。</w:t>
      </w:r>
    </w:p>
    <w:p w14:paraId="7CA66AB2" w14:textId="3EC82869" w:rsidR="000B02AE" w:rsidRDefault="000B02AE" w:rsidP="000B02AE">
      <w:pPr>
        <w:pStyle w:val="AMDisplayEquation"/>
      </w:pPr>
      <w:r>
        <w:tab/>
      </w:r>
      <w:r w:rsidRPr="000B02AE">
        <w:rPr>
          <w:position w:val="-133"/>
        </w:rPr>
        <w:object w:dxaOrig="2938" w:dyaOrig="2809" w14:anchorId="6BB806D6">
          <v:shape id="_x0000_i1060" type="#_x0000_t75" style="width:146.75pt;height:140.6pt" o:ole="">
            <v:imagedata r:id="rId102" o:title=""/>
          </v:shape>
          <o:OLEObject Type="Embed" ProgID="Equation.AxMath" ShapeID="_x0000_i1060" DrawAspect="Content" ObjectID="_1676440614" r:id="rId10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14</w:instrText>
        </w:r>
      </w:fldSimple>
      <w:r>
        <w:instrText>)</w:instrText>
      </w:r>
      <w:r>
        <w:fldChar w:fldCharType="end"/>
      </w:r>
    </w:p>
    <w:p w14:paraId="58BAB42B" w14:textId="3E5AA295" w:rsidR="00475118" w:rsidRDefault="00475118"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Pr>
          <w:rFonts w:ascii="Arial" w:eastAsia="楷体_GB2312" w:hAnsi="Arial" w:hint="eastAsia"/>
          <w:kern w:val="0"/>
          <w:sz w:val="21"/>
          <w:szCs w:val="21"/>
          <w:lang w:eastAsia="zh-CN"/>
        </w:rPr>
        <w:t>同时，</w:t>
      </w:r>
      <w:proofErr w:type="spellStart"/>
      <w:r w:rsidR="00E90DE7" w:rsidRPr="00475118">
        <w:rPr>
          <w:rFonts w:ascii="Arial" w:eastAsia="楷体_GB2312" w:hAnsi="Arial"/>
          <w:kern w:val="0"/>
          <w:sz w:val="21"/>
          <w:szCs w:val="21"/>
          <w:lang w:eastAsia="zh-CN"/>
        </w:rPr>
        <w:t>Bülent</w:t>
      </w:r>
      <w:proofErr w:type="spellEnd"/>
      <w:r w:rsidR="00E90DE7" w:rsidRPr="00475118">
        <w:rPr>
          <w:rFonts w:ascii="Arial" w:eastAsia="楷体_GB2312" w:hAnsi="Arial"/>
          <w:kern w:val="0"/>
          <w:sz w:val="21"/>
          <w:szCs w:val="21"/>
          <w:lang w:eastAsia="zh-CN"/>
        </w:rPr>
        <w:t xml:space="preserve"> </w:t>
      </w:r>
      <w:proofErr w:type="spellStart"/>
      <w:r w:rsidR="00E90DE7" w:rsidRPr="00475118">
        <w:rPr>
          <w:rFonts w:ascii="Arial" w:eastAsia="楷体_GB2312" w:hAnsi="Arial"/>
          <w:kern w:val="0"/>
          <w:sz w:val="21"/>
          <w:szCs w:val="21"/>
          <w:lang w:eastAsia="zh-CN"/>
        </w:rPr>
        <w:t>Baygün</w:t>
      </w:r>
      <w:proofErr w:type="spellEnd"/>
      <w:r w:rsidR="00E90DE7" w:rsidRPr="00475118">
        <w:rPr>
          <w:rFonts w:ascii="Arial" w:eastAsia="楷体_GB2312" w:hAnsi="Arial"/>
          <w:kern w:val="0"/>
          <w:sz w:val="21"/>
          <w:szCs w:val="21"/>
          <w:lang w:eastAsia="zh-CN"/>
        </w:rPr>
        <w:t xml:space="preserve">, </w:t>
      </w:r>
      <w:proofErr w:type="spellStart"/>
      <w:r w:rsidR="00E90DE7" w:rsidRPr="00475118">
        <w:rPr>
          <w:rFonts w:ascii="Arial" w:eastAsia="楷体_GB2312" w:hAnsi="Arial"/>
          <w:kern w:val="0"/>
          <w:sz w:val="21"/>
          <w:szCs w:val="21"/>
          <w:lang w:eastAsia="zh-CN"/>
        </w:rPr>
        <w:t>Tzucker</w:t>
      </w:r>
      <w:proofErr w:type="spellEnd"/>
      <w:r w:rsidR="00E90DE7" w:rsidRPr="00475118">
        <w:rPr>
          <w:rFonts w:ascii="Arial" w:eastAsia="楷体_GB2312" w:hAnsi="Arial"/>
          <w:kern w:val="0"/>
          <w:sz w:val="21"/>
          <w:szCs w:val="21"/>
          <w:lang w:eastAsia="zh-CN"/>
        </w:rPr>
        <w:t xml:space="preserve"> R</w:t>
      </w:r>
      <w:r w:rsidR="00E90DE7" w:rsidRPr="00E90DE7">
        <w:rPr>
          <w:rFonts w:ascii="Arial" w:eastAsia="楷体_GB2312" w:hAnsi="Arial"/>
          <w:kern w:val="0"/>
          <w:sz w:val="21"/>
          <w:szCs w:val="21"/>
          <w:vertAlign w:val="superscript"/>
          <w:lang w:eastAsia="zh-CN"/>
        </w:rPr>
        <w:t>7</w:t>
      </w:r>
      <w:r>
        <w:rPr>
          <w:rFonts w:ascii="Arial" w:eastAsia="楷体_GB2312" w:hAnsi="Arial" w:hint="eastAsia"/>
          <w:kern w:val="0"/>
          <w:sz w:val="21"/>
          <w:szCs w:val="21"/>
          <w:lang w:eastAsia="zh-CN"/>
        </w:rPr>
        <w:t>中还提到使用</w:t>
      </w:r>
      <w:r w:rsidR="00BE5D81">
        <w:rPr>
          <w:rFonts w:ascii="Arial" w:eastAsia="楷体_GB2312" w:hAnsi="Arial" w:hint="eastAsia"/>
          <w:kern w:val="0"/>
          <w:sz w:val="21"/>
          <w:szCs w:val="21"/>
          <w:lang w:eastAsia="zh-CN"/>
        </w:rPr>
        <w:t>马科维茨</w:t>
      </w:r>
      <w:r>
        <w:rPr>
          <w:rFonts w:ascii="Arial" w:eastAsia="楷体_GB2312" w:hAnsi="Arial" w:hint="eastAsia"/>
          <w:kern w:val="0"/>
          <w:sz w:val="21"/>
          <w:szCs w:val="21"/>
          <w:lang w:eastAsia="zh-CN"/>
        </w:rPr>
        <w:t>均值</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方差分析来定制化业绩评价基准。定制化动态的业绩评价基准能够更好的体现出战术性资产配置的优势，</w:t>
      </w:r>
      <w:r w:rsidR="00BE5D81">
        <w:rPr>
          <w:rFonts w:ascii="Arial" w:eastAsia="楷体_GB2312" w:hAnsi="Arial" w:hint="eastAsia"/>
          <w:kern w:val="0"/>
          <w:sz w:val="21"/>
          <w:szCs w:val="21"/>
          <w:lang w:eastAsia="zh-CN"/>
        </w:rPr>
        <w:t>此时基准是马科维茨模型给出的有效前沿（</w:t>
      </w:r>
      <w:r w:rsidR="00BE5D81">
        <w:rPr>
          <w:rFonts w:ascii="Arial" w:eastAsia="楷体_GB2312" w:hAnsi="Arial" w:hint="eastAsia"/>
          <w:kern w:val="0"/>
          <w:sz w:val="21"/>
          <w:szCs w:val="21"/>
          <w:lang w:eastAsia="zh-CN"/>
        </w:rPr>
        <w:t>efficient</w:t>
      </w:r>
      <w:r w:rsidR="00BE5D81">
        <w:rPr>
          <w:rFonts w:ascii="Arial" w:eastAsia="楷体_GB2312" w:hAnsi="Arial"/>
          <w:kern w:val="0"/>
          <w:sz w:val="21"/>
          <w:szCs w:val="21"/>
          <w:lang w:eastAsia="zh-CN"/>
        </w:rPr>
        <w:t xml:space="preserve"> frontier</w:t>
      </w:r>
      <w:r w:rsidR="00BE5D81">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突出除历史信息之外的事件驱动基金收益的因素。</w:t>
      </w:r>
    </w:p>
    <w:p w14:paraId="2EA30E82" w14:textId="2740588A" w:rsidR="0023442E" w:rsidRPr="00176693" w:rsidRDefault="00475118" w:rsidP="004D7F4B">
      <w:pPr>
        <w:pStyle w:val="2"/>
        <w:spacing w:before="326"/>
        <w:ind w:leftChars="0"/>
        <w:rPr>
          <w:rFonts w:eastAsiaTheme="minorEastAsia"/>
          <w:lang w:eastAsia="zh-CN"/>
        </w:rPr>
      </w:pPr>
      <w:bookmarkStart w:id="21" w:name="_Toc65798991"/>
      <w:r>
        <w:rPr>
          <w:rFonts w:hint="eastAsia"/>
          <w:lang w:eastAsia="zh-CN"/>
        </w:rPr>
        <w:t>（五）</w:t>
      </w:r>
      <w:r w:rsidR="0023442E">
        <w:rPr>
          <w:rFonts w:hint="eastAsia"/>
          <w:lang w:eastAsia="zh-CN"/>
        </w:rPr>
        <w:t>期权基金业绩评价基准的选择</w:t>
      </w:r>
      <w:bookmarkEnd w:id="21"/>
    </w:p>
    <w:p w14:paraId="07389D98" w14:textId="22E94606" w:rsidR="0023442E" w:rsidRDefault="0023442E"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3442E">
        <w:rPr>
          <w:rFonts w:ascii="Arial" w:eastAsia="楷体_GB2312" w:hAnsi="Arial"/>
          <w:kern w:val="0"/>
          <w:sz w:val="21"/>
          <w:szCs w:val="21"/>
          <w:lang w:eastAsia="zh-CN"/>
        </w:rPr>
        <w:t>Natter, Markus.</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2</w:t>
      </w:r>
      <w:r>
        <w:rPr>
          <w:rFonts w:ascii="Arial" w:eastAsia="楷体_GB2312" w:hAnsi="Arial"/>
          <w:kern w:val="0"/>
          <w:sz w:val="21"/>
          <w:szCs w:val="21"/>
          <w:lang w:eastAsia="zh-CN"/>
        </w:rPr>
        <w:t>018</w:t>
      </w:r>
      <w:r>
        <w:rPr>
          <w:rFonts w:ascii="Arial" w:eastAsia="楷体_GB2312" w:hAnsi="Arial" w:hint="eastAsia"/>
          <w:kern w:val="0"/>
          <w:sz w:val="21"/>
          <w:szCs w:val="21"/>
          <w:lang w:eastAsia="zh-CN"/>
        </w:rPr>
        <w:t>）</w:t>
      </w:r>
      <w:r>
        <w:rPr>
          <w:rStyle w:val="aff7"/>
          <w:rFonts w:ascii="Arial" w:eastAsia="楷体_GB2312" w:hAnsi="Arial"/>
          <w:kern w:val="0"/>
          <w:sz w:val="21"/>
          <w:szCs w:val="21"/>
          <w:lang w:eastAsia="zh-CN"/>
        </w:rPr>
        <w:footnoteReference w:id="10"/>
      </w:r>
      <w:r>
        <w:rPr>
          <w:rFonts w:ascii="Arial" w:eastAsia="楷体_GB2312" w:hAnsi="Arial" w:hint="eastAsia"/>
          <w:kern w:val="0"/>
          <w:sz w:val="21"/>
          <w:szCs w:val="21"/>
          <w:lang w:eastAsia="zh-CN"/>
        </w:rPr>
        <w:t>控制住了随时间爱你变化的</w:t>
      </w:r>
      <w:r>
        <w:rPr>
          <w:rFonts w:ascii="Arial" w:eastAsia="楷体_GB2312" w:hAnsi="Arial" w:hint="eastAsia"/>
          <w:kern w:val="0"/>
          <w:sz w:val="21"/>
          <w:szCs w:val="21"/>
          <w:lang w:eastAsia="zh-CN"/>
        </w:rPr>
        <w:t>delta</w:t>
      </w:r>
      <w:r>
        <w:rPr>
          <w:rFonts w:ascii="Arial" w:eastAsia="楷体_GB2312" w:hAnsi="Arial" w:hint="eastAsia"/>
          <w:kern w:val="0"/>
          <w:sz w:val="21"/>
          <w:szCs w:val="21"/>
          <w:lang w:eastAsia="zh-CN"/>
        </w:rPr>
        <w:t>暴露，通过线性的方式（</w:t>
      </w:r>
      <w:r>
        <w:rPr>
          <w:rFonts w:ascii="Arial" w:eastAsia="楷体_GB2312" w:hAnsi="Arial" w:hint="eastAsia"/>
          <w:kern w:val="0"/>
          <w:sz w:val="21"/>
          <w:szCs w:val="21"/>
          <w:lang w:eastAsia="zh-CN"/>
        </w:rPr>
        <w:t>linear</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timing</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approaches</w:t>
      </w:r>
      <w:r>
        <w:rPr>
          <w:rFonts w:ascii="Arial" w:eastAsia="楷体_GB2312" w:hAnsi="Arial" w:hint="eastAsia"/>
          <w:kern w:val="0"/>
          <w:sz w:val="21"/>
          <w:szCs w:val="21"/>
          <w:lang w:eastAsia="zh-CN"/>
        </w:rPr>
        <w:t>）来构建独立的期权基金业绩评价基准组合。即在</w:t>
      </w:r>
      <w:r>
        <w:rPr>
          <w:rFonts w:ascii="Arial" w:eastAsia="楷体_GB2312" w:hAnsi="Arial" w:hint="eastAsia"/>
          <w:kern w:val="0"/>
          <w:sz w:val="21"/>
          <w:szCs w:val="21"/>
          <w:lang w:eastAsia="zh-CN"/>
        </w:rPr>
        <w:t>C</w:t>
      </w:r>
      <w:r>
        <w:rPr>
          <w:rFonts w:ascii="Arial" w:eastAsia="楷体_GB2312" w:hAnsi="Arial"/>
          <w:kern w:val="0"/>
          <w:sz w:val="21"/>
          <w:szCs w:val="21"/>
          <w:lang w:eastAsia="zh-CN"/>
        </w:rPr>
        <w:t>APM</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capital</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asset</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pricing</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model</w:t>
      </w:r>
      <w:r>
        <w:rPr>
          <w:rFonts w:ascii="Arial" w:eastAsia="楷体_GB2312" w:hAnsi="Arial" w:hint="eastAsia"/>
          <w:kern w:val="0"/>
          <w:sz w:val="21"/>
          <w:szCs w:val="21"/>
          <w:lang w:eastAsia="zh-CN"/>
        </w:rPr>
        <w:t>）中</w:t>
      </w:r>
      <w:r>
        <w:rPr>
          <w:rFonts w:ascii="Arial" w:eastAsia="楷体_GB2312" w:hAnsi="Arial" w:hint="eastAsia"/>
          <w:kern w:val="0"/>
          <w:sz w:val="21"/>
          <w:szCs w:val="21"/>
          <w:lang w:eastAsia="zh-CN"/>
        </w:rPr>
        <w:t xml:space="preserve"> </w:t>
      </w:r>
      <w:r>
        <w:rPr>
          <w:rFonts w:ascii="Arial" w:eastAsia="楷体_GB2312" w:hAnsi="Arial" w:hint="eastAsia"/>
          <w:kern w:val="0"/>
          <w:sz w:val="21"/>
          <w:szCs w:val="21"/>
          <w:lang w:eastAsia="zh-CN"/>
        </w:rPr>
        <w:t>包括期权：</w:t>
      </w:r>
    </w:p>
    <w:p w14:paraId="6A301E48" w14:textId="2729DF51" w:rsidR="0023442E" w:rsidRPr="0023442E" w:rsidRDefault="0023442E" w:rsidP="0023442E">
      <w:pPr>
        <w:pStyle w:val="AMDisplayEquation"/>
      </w:pPr>
      <w:r>
        <w:tab/>
      </w:r>
      <w:r w:rsidRPr="0023442E">
        <w:rPr>
          <w:position w:val="-29"/>
        </w:rPr>
        <w:object w:dxaOrig="4294" w:dyaOrig="705" w14:anchorId="5D71043F">
          <v:shape id="_x0000_i1061" type="#_x0000_t75" style="width:215pt;height:35.15pt" o:ole="">
            <v:imagedata r:id="rId104" o:title=""/>
          </v:shape>
          <o:OLEObject Type="Embed" ProgID="Equation.AxMath" ShapeID="_x0000_i1061" DrawAspect="Content" ObjectID="_1676440615" r:id="rId10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15</w:instrText>
        </w:r>
      </w:fldSimple>
      <w:r>
        <w:instrText>)</w:instrText>
      </w:r>
      <w:r>
        <w:fldChar w:fldCharType="end"/>
      </w:r>
    </w:p>
    <w:p w14:paraId="4B405B4B" w14:textId="0EB38E06" w:rsidR="00475118" w:rsidRDefault="0023442E" w:rsidP="0023442E">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3442E">
        <w:rPr>
          <w:rFonts w:ascii="Arial" w:eastAsia="楷体_GB2312" w:hAnsi="Arial" w:hint="eastAsia"/>
          <w:kern w:val="0"/>
          <w:sz w:val="21"/>
          <w:szCs w:val="21"/>
          <w:lang w:eastAsia="zh-CN"/>
        </w:rPr>
        <w:t>这个回归的斜率和</w:t>
      </w:r>
      <w:r w:rsidRPr="0023442E">
        <w:rPr>
          <w:rFonts w:ascii="Arial" w:eastAsia="楷体_GB2312" w:hAnsi="Arial" w:hint="eastAsia"/>
          <w:kern w:val="0"/>
          <w:sz w:val="21"/>
          <w:szCs w:val="21"/>
          <w:lang w:eastAsia="zh-CN"/>
        </w:rPr>
        <w:t>B</w:t>
      </w:r>
      <w:r w:rsidRPr="0023442E">
        <w:rPr>
          <w:rFonts w:ascii="Arial" w:eastAsia="楷体_GB2312" w:hAnsi="Arial"/>
          <w:kern w:val="0"/>
          <w:sz w:val="21"/>
          <w:szCs w:val="21"/>
          <w:lang w:eastAsia="zh-CN"/>
        </w:rPr>
        <w:t>SM</w:t>
      </w:r>
      <w:r w:rsidRPr="0023442E">
        <w:rPr>
          <w:rFonts w:ascii="Arial" w:eastAsia="楷体_GB2312" w:hAnsi="Arial" w:hint="eastAsia"/>
          <w:kern w:val="0"/>
          <w:sz w:val="21"/>
          <w:szCs w:val="21"/>
          <w:lang w:eastAsia="zh-CN"/>
        </w:rPr>
        <w:t>模型（</w:t>
      </w:r>
      <w:r w:rsidRPr="0023442E">
        <w:rPr>
          <w:rFonts w:ascii="Arial" w:eastAsia="楷体_GB2312" w:hAnsi="Arial" w:hint="eastAsia"/>
          <w:kern w:val="0"/>
          <w:sz w:val="21"/>
          <w:szCs w:val="21"/>
          <w:lang w:eastAsia="zh-CN"/>
        </w:rPr>
        <w:t>Black</w:t>
      </w:r>
      <w:r w:rsidRPr="0023442E">
        <w:rPr>
          <w:rFonts w:ascii="Arial" w:eastAsia="楷体_GB2312" w:hAnsi="Arial"/>
          <w:kern w:val="0"/>
          <w:sz w:val="21"/>
          <w:szCs w:val="21"/>
          <w:lang w:eastAsia="zh-CN"/>
        </w:rPr>
        <w:t xml:space="preserve"> S</w:t>
      </w:r>
      <w:r w:rsidRPr="0023442E">
        <w:rPr>
          <w:rFonts w:ascii="Arial" w:eastAsia="楷体_GB2312" w:hAnsi="Arial" w:hint="eastAsia"/>
          <w:kern w:val="0"/>
          <w:sz w:val="21"/>
          <w:szCs w:val="21"/>
          <w:lang w:eastAsia="zh-CN"/>
        </w:rPr>
        <w:t>choles</w:t>
      </w:r>
      <w:r w:rsidRPr="0023442E">
        <w:rPr>
          <w:rFonts w:ascii="Arial" w:eastAsia="楷体_GB2312" w:hAnsi="Arial"/>
          <w:kern w:val="0"/>
          <w:sz w:val="21"/>
          <w:szCs w:val="21"/>
          <w:lang w:eastAsia="zh-CN"/>
        </w:rPr>
        <w:t xml:space="preserve"> M</w:t>
      </w:r>
      <w:r w:rsidRPr="0023442E">
        <w:rPr>
          <w:rFonts w:ascii="Arial" w:eastAsia="楷体_GB2312" w:hAnsi="Arial" w:hint="eastAsia"/>
          <w:kern w:val="0"/>
          <w:sz w:val="21"/>
          <w:szCs w:val="21"/>
          <w:lang w:eastAsia="zh-CN"/>
        </w:rPr>
        <w:t>erton</w:t>
      </w:r>
      <w:r w:rsidRPr="0023442E">
        <w:rPr>
          <w:rFonts w:ascii="Arial" w:eastAsia="楷体_GB2312" w:hAnsi="Arial"/>
          <w:kern w:val="0"/>
          <w:sz w:val="21"/>
          <w:szCs w:val="21"/>
          <w:lang w:eastAsia="zh-CN"/>
        </w:rPr>
        <w:t xml:space="preserve"> M</w:t>
      </w:r>
      <w:r w:rsidRPr="0023442E">
        <w:rPr>
          <w:rFonts w:ascii="Arial" w:eastAsia="楷体_GB2312" w:hAnsi="Arial" w:hint="eastAsia"/>
          <w:kern w:val="0"/>
          <w:sz w:val="21"/>
          <w:szCs w:val="21"/>
          <w:lang w:eastAsia="zh-CN"/>
        </w:rPr>
        <w:t>odel</w:t>
      </w:r>
      <w:r w:rsidRPr="0023442E">
        <w:rPr>
          <w:rFonts w:ascii="Arial" w:eastAsia="楷体_GB2312" w:hAnsi="Arial" w:hint="eastAsia"/>
          <w:kern w:val="0"/>
          <w:sz w:val="21"/>
          <w:szCs w:val="21"/>
          <w:lang w:eastAsia="zh-CN"/>
        </w:rPr>
        <w:t>）中的希腊字母的含义标记类似，</w:t>
      </w:r>
      <w:r w:rsidRPr="0023442E">
        <w:rPr>
          <w:rFonts w:ascii="Arial" w:eastAsia="楷体_GB2312" w:hAnsi="Arial"/>
          <w:kern w:val="0"/>
          <w:position w:val="-10"/>
          <w:sz w:val="21"/>
          <w:szCs w:val="21"/>
          <w:lang w:eastAsia="zh-CN"/>
        </w:rPr>
        <w:object w:dxaOrig="217" w:dyaOrig="316" w14:anchorId="307D2ED4">
          <v:shape id="_x0000_i1062" type="#_x0000_t75" style="width:10.9pt;height:15.7pt" o:ole="">
            <v:imagedata r:id="rId106" o:title=""/>
          </v:shape>
          <o:OLEObject Type="Embed" ProgID="Equation.AxMath" ShapeID="_x0000_i1062" DrawAspect="Content" ObjectID="_1676440616" r:id="rId107"/>
        </w:object>
      </w:r>
      <w:r w:rsidRPr="0023442E">
        <w:rPr>
          <w:rFonts w:ascii="Arial" w:eastAsia="楷体_GB2312" w:hAnsi="Arial" w:hint="eastAsia"/>
          <w:kern w:val="0"/>
          <w:sz w:val="21"/>
          <w:szCs w:val="21"/>
          <w:lang w:eastAsia="zh-CN"/>
        </w:rPr>
        <w:t>即为策略</w:t>
      </w:r>
      <w:r w:rsidRPr="0023442E">
        <w:rPr>
          <w:rFonts w:ascii="Arial" w:eastAsia="楷体_GB2312" w:hAnsi="Arial" w:hint="eastAsia"/>
          <w:kern w:val="0"/>
          <w:sz w:val="21"/>
          <w:szCs w:val="21"/>
          <w:lang w:eastAsia="zh-CN"/>
        </w:rPr>
        <w:t>delta</w:t>
      </w:r>
      <w:r w:rsidRPr="0023442E">
        <w:rPr>
          <w:rFonts w:ascii="Arial" w:eastAsia="楷体_GB2312" w:hAnsi="Arial"/>
          <w:kern w:val="0"/>
          <w:sz w:val="21"/>
          <w:szCs w:val="21"/>
          <w:lang w:eastAsia="zh-CN"/>
        </w:rPr>
        <w:t xml:space="preserve"> </w:t>
      </w:r>
      <w:r w:rsidRPr="0023442E">
        <w:rPr>
          <w:rFonts w:ascii="Arial" w:eastAsia="楷体_GB2312" w:hAnsi="Arial" w:hint="eastAsia"/>
          <w:kern w:val="0"/>
          <w:sz w:val="21"/>
          <w:szCs w:val="21"/>
          <w:lang w:eastAsia="zh-CN"/>
        </w:rPr>
        <w:t>的</w:t>
      </w:r>
      <w:r w:rsidRPr="0023442E">
        <w:rPr>
          <w:rFonts w:ascii="Arial" w:eastAsia="楷体_GB2312" w:hAnsi="Arial" w:hint="eastAsia"/>
          <w:kern w:val="0"/>
          <w:sz w:val="21"/>
          <w:szCs w:val="21"/>
          <w:lang w:eastAsia="zh-CN"/>
        </w:rPr>
        <w:t>gamma</w:t>
      </w:r>
      <w:r w:rsidRPr="0023442E">
        <w:rPr>
          <w:rFonts w:ascii="Arial" w:eastAsia="楷体_GB2312" w:hAnsi="Arial" w:hint="eastAsia"/>
          <w:kern w:val="0"/>
          <w:sz w:val="21"/>
          <w:szCs w:val="21"/>
          <w:lang w:eastAsia="zh-CN"/>
        </w:rPr>
        <w:t>，即</w:t>
      </w:r>
      <w:r w:rsidRPr="0023442E">
        <w:rPr>
          <w:rFonts w:ascii="Arial" w:eastAsia="楷体_GB2312" w:hAnsi="Arial" w:hint="eastAsia"/>
          <w:kern w:val="0"/>
          <w:sz w:val="21"/>
          <w:szCs w:val="21"/>
          <w:lang w:eastAsia="zh-CN"/>
        </w:rPr>
        <w:t>delta</w:t>
      </w:r>
      <w:r w:rsidRPr="0023442E">
        <w:rPr>
          <w:rFonts w:ascii="Arial" w:eastAsia="楷体_GB2312" w:hAnsi="Arial" w:hint="eastAsia"/>
          <w:kern w:val="0"/>
          <w:sz w:val="21"/>
          <w:szCs w:val="21"/>
          <w:lang w:eastAsia="zh-CN"/>
        </w:rPr>
        <w:t>相对于基准的敏感程度。</w:t>
      </w:r>
    </w:p>
    <w:p w14:paraId="195C34FA" w14:textId="36094F30" w:rsidR="0023442E" w:rsidRDefault="0023442E" w:rsidP="0023442E">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Pr>
          <w:rFonts w:ascii="Arial" w:eastAsia="楷体_GB2312" w:hAnsi="Arial" w:hint="eastAsia"/>
          <w:kern w:val="0"/>
          <w:sz w:val="21"/>
          <w:szCs w:val="21"/>
          <w:lang w:eastAsia="zh-CN"/>
        </w:rPr>
        <w:lastRenderedPageBreak/>
        <w:t>另一种类似的衡量方式是使用指示函数（</w:t>
      </w:r>
      <w:r>
        <w:rPr>
          <w:rFonts w:ascii="Arial" w:eastAsia="楷体_GB2312" w:hAnsi="Arial" w:hint="eastAsia"/>
          <w:kern w:val="0"/>
          <w:sz w:val="21"/>
          <w:szCs w:val="21"/>
          <w:lang w:eastAsia="zh-CN"/>
        </w:rPr>
        <w:t>indicator</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function</w:t>
      </w:r>
      <w:r>
        <w:rPr>
          <w:rFonts w:ascii="Arial" w:eastAsia="楷体_GB2312" w:hAnsi="Arial" w:hint="eastAsia"/>
          <w:kern w:val="0"/>
          <w:sz w:val="21"/>
          <w:szCs w:val="21"/>
          <w:lang w:eastAsia="zh-CN"/>
        </w:rPr>
        <w:t>）：</w:t>
      </w:r>
    </w:p>
    <w:p w14:paraId="6DA8377D" w14:textId="00846B45" w:rsidR="0023442E" w:rsidRDefault="0023442E" w:rsidP="0023442E">
      <w:pPr>
        <w:autoSpaceDE w:val="0"/>
        <w:autoSpaceDN w:val="0"/>
        <w:adjustRightInd w:val="0"/>
        <w:spacing w:beforeLines="50" w:before="163" w:after="100"/>
        <w:ind w:leftChars="1257" w:left="3017" w:firstLineChars="291" w:firstLine="698"/>
        <w:jc w:val="right"/>
        <w:rPr>
          <w:rFonts w:ascii="Arial" w:eastAsia="楷体_GB2312" w:hAnsi="Arial"/>
          <w:kern w:val="0"/>
          <w:sz w:val="21"/>
          <w:szCs w:val="21"/>
          <w:lang w:eastAsia="zh-CN"/>
        </w:rPr>
      </w:pPr>
      <w:r>
        <w:rPr>
          <w:lang w:eastAsia="zh-CN"/>
        </w:rPr>
        <w:t xml:space="preserve"> </w:t>
      </w:r>
      <w:r w:rsidRPr="0023442E">
        <w:rPr>
          <w:position w:val="-29"/>
        </w:rPr>
        <w:object w:dxaOrig="4294" w:dyaOrig="700" w14:anchorId="703CC834">
          <v:shape id="_x0000_i1063" type="#_x0000_t75" style="width:215pt;height:34.8pt" o:ole="">
            <v:imagedata r:id="rId108" o:title=""/>
          </v:shape>
          <o:OLEObject Type="Embed" ProgID="Equation.AxMath" ShapeID="_x0000_i1063" DrawAspect="Content" ObjectID="_1676440617" r:id="rId109"/>
        </w:object>
      </w:r>
      <w:r>
        <w:rPr>
          <w:lang w:eastAsia="zh-CN"/>
        </w:rPr>
        <w:tab/>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sidR="0010512F">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sidR="0010512F">
        <w:rPr>
          <w:noProof/>
          <w:lang w:eastAsia="zh-CN"/>
        </w:rPr>
        <w:instrText>16</w:instrText>
      </w:r>
      <w:r>
        <w:fldChar w:fldCharType="end"/>
      </w:r>
      <w:r>
        <w:rPr>
          <w:lang w:eastAsia="zh-CN"/>
        </w:rPr>
        <w:instrText>)</w:instrText>
      </w:r>
      <w:r>
        <w:fldChar w:fldCharType="end"/>
      </w:r>
    </w:p>
    <w:p w14:paraId="1E2FB98F" w14:textId="6BF16E97" w:rsidR="0023442E" w:rsidRDefault="00FA0627" w:rsidP="00FA0627">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FA0627">
        <w:rPr>
          <w:rFonts w:ascii="Arial" w:eastAsia="楷体_GB2312" w:hAnsi="Arial"/>
          <w:kern w:val="0"/>
          <w:sz w:val="21"/>
          <w:szCs w:val="21"/>
          <w:lang w:eastAsia="zh-CN"/>
        </w:rPr>
        <w:t>L</w:t>
      </w:r>
      <w:r w:rsidRPr="00FA0627">
        <w:rPr>
          <w:rFonts w:ascii="Arial" w:eastAsia="楷体_GB2312" w:hAnsi="Arial" w:hint="eastAsia"/>
          <w:kern w:val="0"/>
          <w:sz w:val="21"/>
          <w:szCs w:val="21"/>
          <w:lang w:eastAsia="zh-CN"/>
        </w:rPr>
        <w:t>eland</w:t>
      </w:r>
      <w:r w:rsidRPr="00FA0627">
        <w:rPr>
          <w:rFonts w:ascii="Arial" w:eastAsia="楷体_GB2312" w:hAnsi="Arial"/>
          <w:kern w:val="0"/>
          <w:sz w:val="21"/>
          <w:szCs w:val="21"/>
          <w:lang w:eastAsia="zh-CN"/>
        </w:rPr>
        <w:t>(1999)</w:t>
      </w:r>
      <w:r w:rsidRPr="00FA0627">
        <w:rPr>
          <w:rFonts w:ascii="Arial" w:eastAsia="楷体_GB2312" w:hAnsi="Arial" w:hint="eastAsia"/>
          <w:kern w:val="0"/>
          <w:sz w:val="21"/>
          <w:szCs w:val="21"/>
          <w:lang w:eastAsia="zh-CN"/>
        </w:rPr>
        <w:t>年提出动态策略会导致收益分布是不对称的（</w:t>
      </w:r>
      <w:r w:rsidRPr="00FA0627">
        <w:rPr>
          <w:rFonts w:ascii="Arial" w:eastAsia="楷体_GB2312" w:hAnsi="Arial" w:hint="eastAsia"/>
          <w:kern w:val="0"/>
          <w:sz w:val="21"/>
          <w:szCs w:val="21"/>
          <w:lang w:eastAsia="zh-CN"/>
        </w:rPr>
        <w:t>skewed</w:t>
      </w:r>
      <w:r w:rsidRPr="00FA0627">
        <w:rPr>
          <w:rFonts w:ascii="Arial" w:eastAsia="楷体_GB2312" w:hAnsi="Arial" w:hint="eastAsia"/>
          <w:kern w:val="0"/>
          <w:sz w:val="21"/>
          <w:szCs w:val="21"/>
          <w:lang w:eastAsia="zh-CN"/>
        </w:rPr>
        <w:t>）。为了控制住峰度和偏度（</w:t>
      </w:r>
      <w:r w:rsidRPr="00FA0627">
        <w:rPr>
          <w:rFonts w:ascii="Arial" w:eastAsia="楷体_GB2312" w:hAnsi="Arial" w:hint="eastAsia"/>
          <w:kern w:val="0"/>
          <w:sz w:val="21"/>
          <w:szCs w:val="21"/>
          <w:lang w:eastAsia="zh-CN"/>
        </w:rPr>
        <w:t>skewness</w:t>
      </w:r>
      <w:r w:rsidRPr="00FA0627">
        <w:rPr>
          <w:rFonts w:ascii="Arial" w:eastAsia="楷体_GB2312" w:hAnsi="Arial"/>
          <w:kern w:val="0"/>
          <w:sz w:val="21"/>
          <w:szCs w:val="21"/>
          <w:lang w:eastAsia="zh-CN"/>
        </w:rPr>
        <w:t>/kurtosis</w:t>
      </w:r>
      <w:r w:rsidRPr="00FA0627">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以及其他高阶矩，</w:t>
      </w:r>
      <w:r w:rsidRPr="0023442E">
        <w:rPr>
          <w:rFonts w:ascii="Arial" w:eastAsia="楷体_GB2312" w:hAnsi="Arial"/>
          <w:kern w:val="0"/>
          <w:sz w:val="21"/>
          <w:szCs w:val="21"/>
          <w:lang w:eastAsia="zh-CN"/>
        </w:rPr>
        <w:t>Natter, Markus.</w:t>
      </w:r>
      <w:r>
        <w:rPr>
          <w:rFonts w:ascii="Arial" w:eastAsia="楷体_GB2312" w:hAnsi="Arial" w:hint="eastAsia"/>
          <w:kern w:val="0"/>
          <w:sz w:val="21"/>
          <w:szCs w:val="21"/>
          <w:lang w:eastAsia="zh-CN"/>
        </w:rPr>
        <w:t>计算了</w:t>
      </w:r>
      <w:proofErr w:type="spellStart"/>
      <w:r>
        <w:rPr>
          <w:rFonts w:ascii="Arial" w:eastAsia="楷体_GB2312" w:hAnsi="Arial" w:hint="eastAsia"/>
          <w:kern w:val="0"/>
          <w:sz w:val="21"/>
          <w:szCs w:val="21"/>
          <w:lang w:eastAsia="zh-CN"/>
        </w:rPr>
        <w:t>Lelans</w:t>
      </w:r>
      <w:r>
        <w:rPr>
          <w:rFonts w:ascii="Arial" w:eastAsia="楷体_GB2312" w:hAnsi="Arial"/>
          <w:kern w:val="0"/>
          <w:sz w:val="21"/>
          <w:szCs w:val="21"/>
          <w:lang w:eastAsia="zh-CN"/>
        </w:rPr>
        <w:t>’s</w:t>
      </w:r>
      <w:proofErr w:type="spellEnd"/>
      <w:r>
        <w:rPr>
          <w:rFonts w:ascii="Arial" w:eastAsia="楷体_GB2312" w:hAnsi="Arial"/>
          <w:kern w:val="0"/>
          <w:sz w:val="21"/>
          <w:szCs w:val="21"/>
          <w:lang w:eastAsia="zh-CN"/>
        </w:rPr>
        <w:t xml:space="preserve"> Alpha</w:t>
      </w:r>
      <w:r w:rsidR="0010512F">
        <w:rPr>
          <w:rFonts w:ascii="Arial" w:eastAsia="楷体_GB2312" w:hAnsi="Arial" w:hint="eastAsia"/>
          <w:kern w:val="0"/>
          <w:sz w:val="21"/>
          <w:szCs w:val="21"/>
          <w:lang w:eastAsia="zh-CN"/>
        </w:rPr>
        <w:t>，然后再带入回归中，将真实波动率作为期权的隐含波动率获取期权基准的定价</w:t>
      </w:r>
      <w:r>
        <w:rPr>
          <w:rFonts w:ascii="Arial" w:eastAsia="楷体_GB2312" w:hAnsi="Arial"/>
          <w:kern w:val="0"/>
          <w:sz w:val="21"/>
          <w:szCs w:val="21"/>
          <w:lang w:eastAsia="zh-CN"/>
        </w:rPr>
        <w:t>:</w:t>
      </w:r>
    </w:p>
    <w:p w14:paraId="6E680481" w14:textId="0AAD762C" w:rsidR="00FA0627" w:rsidRPr="00FA0627" w:rsidRDefault="0010512F" w:rsidP="0010512F">
      <w:pPr>
        <w:pStyle w:val="AMDisplayEquation"/>
      </w:pPr>
      <w:r>
        <w:tab/>
      </w:r>
      <w:r w:rsidRPr="0010512F">
        <w:rPr>
          <w:position w:val="-79"/>
        </w:rPr>
        <w:object w:dxaOrig="4014" w:dyaOrig="1700" w14:anchorId="49FEFEBB">
          <v:shape id="_x0000_i1064" type="#_x0000_t75" style="width:200.65pt;height:85.3pt" o:ole="">
            <v:imagedata r:id="rId110" o:title=""/>
          </v:shape>
          <o:OLEObject Type="Embed" ProgID="Equation.AxMath" ShapeID="_x0000_i1064" DrawAspect="Content" ObjectID="_1676440618" r:id="rId1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17</w:instrText>
        </w:r>
      </w:fldSimple>
      <w:r>
        <w:instrText>)</w:instrText>
      </w:r>
      <w:r>
        <w:fldChar w:fldCharType="end"/>
      </w:r>
    </w:p>
    <w:p w14:paraId="7479509E" w14:textId="55B59C4E" w:rsidR="00742EE3" w:rsidRPr="009B1FB9" w:rsidRDefault="009A63B1" w:rsidP="00390048">
      <w:pPr>
        <w:pStyle w:val="1"/>
        <w:spacing w:before="326"/>
        <w:rPr>
          <w:lang w:eastAsia="zh-CN"/>
        </w:rPr>
      </w:pPr>
      <w:bookmarkStart w:id="22" w:name="_Toc518314373"/>
      <w:bookmarkStart w:id="23" w:name="_Toc34803847"/>
      <w:bookmarkStart w:id="24" w:name="_Toc65798992"/>
      <w:r>
        <w:rPr>
          <w:rFonts w:hint="eastAsia"/>
          <w:lang w:eastAsia="zh-CN"/>
        </w:rPr>
        <w:t>三、</w:t>
      </w:r>
      <w:bookmarkEnd w:id="22"/>
      <w:bookmarkEnd w:id="23"/>
      <w:r w:rsidR="00390048" w:rsidRPr="00390048">
        <w:rPr>
          <w:rFonts w:hint="eastAsia"/>
          <w:lang w:eastAsia="zh-CN"/>
        </w:rPr>
        <w:t>中国市场常见的基金业绩比较基准</w:t>
      </w:r>
      <w:bookmarkEnd w:id="24"/>
    </w:p>
    <w:p w14:paraId="4BD7A6FC" w14:textId="796F3313" w:rsidR="00742EE3" w:rsidRDefault="00D214D7"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214D7">
        <w:rPr>
          <w:rFonts w:ascii="Arial" w:eastAsia="楷体_GB2312" w:hAnsi="Arial" w:hint="eastAsia"/>
          <w:kern w:val="0"/>
          <w:sz w:val="21"/>
          <w:szCs w:val="21"/>
          <w:lang w:eastAsia="zh-CN"/>
        </w:rPr>
        <w:t>我们从</w:t>
      </w:r>
      <w:r w:rsidRPr="00D214D7">
        <w:rPr>
          <w:rFonts w:ascii="Arial" w:eastAsia="楷体_GB2312" w:hAnsi="Arial" w:hint="eastAsia"/>
          <w:kern w:val="0"/>
          <w:sz w:val="21"/>
          <w:szCs w:val="21"/>
          <w:lang w:eastAsia="zh-CN"/>
        </w:rPr>
        <w:t>Wind</w:t>
      </w:r>
      <w:r w:rsidRPr="00D214D7">
        <w:rPr>
          <w:rFonts w:ascii="Arial" w:eastAsia="楷体_GB2312" w:hAnsi="Arial" w:hint="eastAsia"/>
          <w:kern w:val="0"/>
          <w:sz w:val="21"/>
          <w:szCs w:val="21"/>
          <w:lang w:eastAsia="zh-CN"/>
        </w:rPr>
        <w:t>金融终端中提出了中国市场中的</w:t>
      </w:r>
      <w:r w:rsidRPr="00D214D7">
        <w:rPr>
          <w:rFonts w:ascii="Arial" w:eastAsia="楷体_GB2312" w:hAnsi="Arial" w:hint="eastAsia"/>
          <w:kern w:val="0"/>
          <w:sz w:val="21"/>
          <w:szCs w:val="21"/>
          <w:lang w:eastAsia="zh-CN"/>
        </w:rPr>
        <w:t>1</w:t>
      </w:r>
      <w:r w:rsidRPr="00D214D7">
        <w:rPr>
          <w:rFonts w:ascii="Arial" w:eastAsia="楷体_GB2312" w:hAnsi="Arial"/>
          <w:kern w:val="0"/>
          <w:sz w:val="21"/>
          <w:szCs w:val="21"/>
          <w:lang w:eastAsia="zh-CN"/>
        </w:rPr>
        <w:t>1565</w:t>
      </w:r>
      <w:r w:rsidRPr="00D214D7">
        <w:rPr>
          <w:rFonts w:ascii="Arial" w:eastAsia="楷体_GB2312" w:hAnsi="Arial" w:hint="eastAsia"/>
          <w:kern w:val="0"/>
          <w:sz w:val="21"/>
          <w:szCs w:val="21"/>
          <w:lang w:eastAsia="zh-CN"/>
        </w:rPr>
        <w:t>支基金的相关数据，时间截止至</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021</w:t>
      </w:r>
      <w:r w:rsidRPr="00D214D7">
        <w:rPr>
          <w:rFonts w:ascii="Arial" w:eastAsia="楷体_GB2312" w:hAnsi="Arial" w:hint="eastAsia"/>
          <w:kern w:val="0"/>
          <w:sz w:val="21"/>
          <w:szCs w:val="21"/>
          <w:lang w:eastAsia="zh-CN"/>
        </w:rPr>
        <w:t>年</w:t>
      </w:r>
      <w:r w:rsidRPr="00D214D7">
        <w:rPr>
          <w:rFonts w:ascii="Arial" w:eastAsia="楷体_GB2312" w:hAnsi="Arial"/>
          <w:kern w:val="0"/>
          <w:sz w:val="21"/>
          <w:szCs w:val="21"/>
          <w:lang w:eastAsia="zh-CN"/>
        </w:rPr>
        <w:t>2</w:t>
      </w:r>
      <w:r w:rsidRPr="00D214D7">
        <w:rPr>
          <w:rFonts w:ascii="Arial" w:eastAsia="楷体_GB2312" w:hAnsi="Arial" w:hint="eastAsia"/>
          <w:kern w:val="0"/>
          <w:sz w:val="21"/>
          <w:szCs w:val="21"/>
          <w:lang w:eastAsia="zh-CN"/>
        </w:rPr>
        <w:t>月</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4</w:t>
      </w:r>
      <w:r w:rsidRPr="00D214D7">
        <w:rPr>
          <w:rFonts w:ascii="Arial" w:eastAsia="楷体_GB2312" w:hAnsi="Arial" w:hint="eastAsia"/>
          <w:kern w:val="0"/>
          <w:sz w:val="21"/>
          <w:szCs w:val="21"/>
          <w:lang w:eastAsia="zh-CN"/>
        </w:rPr>
        <w:t>日。从基金一级分类、二级分类、行业主题基金分类三个角度研究中国市场中常见的基金业绩比较基准。</w:t>
      </w:r>
      <w:r w:rsidR="003F4896">
        <w:rPr>
          <w:rFonts w:ascii="Arial" w:eastAsia="楷体_GB2312" w:hAnsi="Arial" w:hint="eastAsia"/>
          <w:kern w:val="0"/>
          <w:sz w:val="21"/>
          <w:szCs w:val="21"/>
          <w:lang w:eastAsia="zh-CN"/>
        </w:rPr>
        <w:t>其中，基金的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一级分类分为五类，包括</w:t>
      </w:r>
      <w:r w:rsidR="003F4896" w:rsidRPr="003F4896">
        <w:rPr>
          <w:rFonts w:ascii="Arial" w:eastAsia="楷体_GB2312" w:hAnsi="Arial" w:hint="eastAsia"/>
          <w:kern w:val="0"/>
          <w:sz w:val="21"/>
          <w:szCs w:val="21"/>
          <w:lang w:eastAsia="zh-CN"/>
        </w:rPr>
        <w:t>混合型基金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债券型基金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股票型基金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货币市场型基金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国际</w:t>
      </w:r>
      <w:r w:rsidR="003F4896" w:rsidRPr="003F4896">
        <w:rPr>
          <w:rFonts w:ascii="Arial" w:eastAsia="楷体_GB2312" w:hAnsi="Arial"/>
          <w:kern w:val="0"/>
          <w:sz w:val="21"/>
          <w:szCs w:val="21"/>
          <w:lang w:eastAsia="zh-CN"/>
        </w:rPr>
        <w:t>(QDII)</w:t>
      </w:r>
      <w:r w:rsidR="003F4896" w:rsidRPr="003F4896">
        <w:rPr>
          <w:rFonts w:ascii="Arial" w:eastAsia="楷体_GB2312" w:hAnsi="Arial" w:hint="eastAsia"/>
          <w:kern w:val="0"/>
          <w:sz w:val="21"/>
          <w:szCs w:val="21"/>
          <w:lang w:eastAsia="zh-CN"/>
        </w:rPr>
        <w:t>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另类投资基金</w:t>
      </w:r>
      <w:r w:rsidR="003F4896">
        <w:rPr>
          <w:rFonts w:ascii="Arial" w:eastAsia="楷体_GB2312" w:hAnsi="Arial" w:hint="eastAsia"/>
          <w:kern w:val="0"/>
          <w:sz w:val="21"/>
          <w:szCs w:val="21"/>
          <w:lang w:eastAsia="zh-CN"/>
        </w:rPr>
        <w:t>，基金的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二级分类分为</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w:t>
      </w:r>
      <w:r w:rsidR="003F4896">
        <w:rPr>
          <w:rFonts w:ascii="Arial" w:eastAsia="楷体_GB2312" w:hAnsi="Arial" w:hint="eastAsia"/>
          <w:kern w:val="0"/>
          <w:sz w:val="21"/>
          <w:szCs w:val="21"/>
          <w:lang w:eastAsia="zh-CN"/>
        </w:rPr>
        <w:t>类，本文重点关注其中五类（括号内为相应的数目和占比），包括偏股混合型（</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855/</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6.0</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）、灵活配置型（</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063/17.8%</w:t>
      </w:r>
      <w:r w:rsidR="003F4896">
        <w:rPr>
          <w:rFonts w:ascii="Arial" w:eastAsia="楷体_GB2312" w:hAnsi="Arial" w:hint="eastAsia"/>
          <w:kern w:val="0"/>
          <w:sz w:val="21"/>
          <w:szCs w:val="21"/>
          <w:lang w:eastAsia="zh-CN"/>
        </w:rPr>
        <w:t>）、普通股票型（</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96/</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.2%</w:t>
      </w:r>
      <w:r w:rsidR="003F4896">
        <w:rPr>
          <w:rFonts w:ascii="Arial" w:eastAsia="楷体_GB2312" w:hAnsi="Arial" w:hint="eastAsia"/>
          <w:kern w:val="0"/>
          <w:sz w:val="21"/>
          <w:szCs w:val="21"/>
          <w:lang w:eastAsia="zh-CN"/>
        </w:rPr>
        <w:t>）、偏债混合型（</w:t>
      </w:r>
      <w:r w:rsidR="003F4896">
        <w:rPr>
          <w:rFonts w:ascii="Arial" w:eastAsia="楷体_GB2312" w:hAnsi="Arial" w:hint="eastAsia"/>
          <w:kern w:val="0"/>
          <w:sz w:val="21"/>
          <w:szCs w:val="21"/>
          <w:lang w:eastAsia="zh-CN"/>
        </w:rPr>
        <w:t>7</w:t>
      </w:r>
      <w:r w:rsidR="003F4896">
        <w:rPr>
          <w:rFonts w:ascii="Arial" w:eastAsia="楷体_GB2312" w:hAnsi="Arial"/>
          <w:kern w:val="0"/>
          <w:sz w:val="21"/>
          <w:szCs w:val="21"/>
          <w:lang w:eastAsia="zh-CN"/>
        </w:rPr>
        <w:t>84/6.0%</w:t>
      </w:r>
      <w:r w:rsidR="003F4896">
        <w:rPr>
          <w:rFonts w:ascii="Arial" w:eastAsia="楷体_GB2312" w:hAnsi="Arial" w:hint="eastAsia"/>
          <w:kern w:val="0"/>
          <w:sz w:val="21"/>
          <w:szCs w:val="21"/>
          <w:lang w:eastAsia="zh-CN"/>
        </w:rPr>
        <w:t>）、股票多空（</w:t>
      </w:r>
      <w:r w:rsidR="003F4896">
        <w:rPr>
          <w:rFonts w:ascii="Arial" w:eastAsia="楷体_GB2312" w:hAnsi="Arial" w:hint="eastAsia"/>
          <w:kern w:val="0"/>
          <w:sz w:val="21"/>
          <w:szCs w:val="21"/>
          <w:lang w:eastAsia="zh-CN"/>
        </w:rPr>
        <w:t>3</w:t>
      </w:r>
      <w:r w:rsidR="003F4896">
        <w:rPr>
          <w:rFonts w:ascii="Arial" w:eastAsia="楷体_GB2312" w:hAnsi="Arial"/>
          <w:kern w:val="0"/>
          <w:sz w:val="21"/>
          <w:szCs w:val="21"/>
          <w:lang w:eastAsia="zh-CN"/>
        </w:rPr>
        <w:t>9</w:t>
      </w:r>
      <w:r w:rsidR="003F4896">
        <w:rPr>
          <w:rFonts w:ascii="Arial" w:eastAsia="楷体_GB2312" w:hAnsi="Arial" w:hint="eastAsia"/>
          <w:kern w:val="0"/>
          <w:sz w:val="21"/>
          <w:szCs w:val="21"/>
          <w:lang w:eastAsia="zh-CN"/>
        </w:rPr>
        <w:t>/</w:t>
      </w:r>
      <w:r w:rsidR="003F4896">
        <w:rPr>
          <w:rFonts w:ascii="Arial" w:eastAsia="楷体_GB2312" w:hAnsi="Arial"/>
          <w:kern w:val="0"/>
          <w:sz w:val="21"/>
          <w:szCs w:val="21"/>
          <w:lang w:eastAsia="zh-CN"/>
        </w:rPr>
        <w:t>0.3</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行业主题基金共</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405</w:t>
      </w:r>
      <w:r w:rsidR="000067BB">
        <w:rPr>
          <w:rFonts w:ascii="Arial" w:eastAsia="楷体_GB2312" w:hAnsi="Arial" w:hint="eastAsia"/>
          <w:kern w:val="0"/>
          <w:sz w:val="21"/>
          <w:szCs w:val="21"/>
          <w:lang w:eastAsia="zh-CN"/>
        </w:rPr>
        <w:t>支，占全部基金数目的</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0.8</w:t>
      </w:r>
      <w:r w:rsidR="000067BB">
        <w:rPr>
          <w:rFonts w:ascii="Arial" w:eastAsia="楷体_GB2312" w:hAnsi="Arial" w:hint="eastAsia"/>
          <w:kern w:val="0"/>
          <w:sz w:val="21"/>
          <w:szCs w:val="21"/>
          <w:lang w:eastAsia="zh-CN"/>
        </w:rPr>
        <w:t>%</w:t>
      </w:r>
      <w:r w:rsidR="005444B5">
        <w:rPr>
          <w:rFonts w:ascii="Arial" w:eastAsia="楷体_GB2312" w:hAnsi="Arial" w:hint="eastAsia"/>
          <w:kern w:val="0"/>
          <w:sz w:val="21"/>
          <w:szCs w:val="21"/>
          <w:lang w:eastAsia="zh-CN"/>
        </w:rPr>
        <w:t>，其中数目排名前</w:t>
      </w:r>
      <w:r w:rsidR="009D7188">
        <w:rPr>
          <w:rFonts w:ascii="Arial" w:eastAsia="楷体_GB2312" w:hAnsi="Arial" w:hint="eastAsia"/>
          <w:kern w:val="0"/>
          <w:sz w:val="21"/>
          <w:szCs w:val="21"/>
          <w:lang w:eastAsia="zh-CN"/>
        </w:rPr>
        <w:t>六</w:t>
      </w:r>
      <w:r w:rsidR="005444B5">
        <w:rPr>
          <w:rFonts w:ascii="Arial" w:eastAsia="楷体_GB2312" w:hAnsi="Arial" w:hint="eastAsia"/>
          <w:kern w:val="0"/>
          <w:sz w:val="21"/>
          <w:szCs w:val="21"/>
          <w:lang w:eastAsia="zh-CN"/>
        </w:rPr>
        <w:t>的行业主题分别为</w:t>
      </w:r>
      <w:r w:rsidR="00997AFA">
        <w:rPr>
          <w:rFonts w:ascii="Arial" w:eastAsia="楷体_GB2312" w:hAnsi="Arial" w:hint="eastAsia"/>
          <w:kern w:val="0"/>
          <w:sz w:val="21"/>
          <w:szCs w:val="21"/>
          <w:lang w:eastAsia="zh-CN"/>
        </w:rPr>
        <w:t>酒类行</w:t>
      </w:r>
      <w:r w:rsidR="00694637">
        <w:rPr>
          <w:rFonts w:ascii="Arial" w:eastAsia="楷体_GB2312" w:hAnsi="Arial" w:hint="eastAsia"/>
          <w:kern w:val="0"/>
          <w:sz w:val="21"/>
          <w:szCs w:val="21"/>
          <w:lang w:eastAsia="zh-CN"/>
        </w:rPr>
        <w:t>业（</w:t>
      </w:r>
      <w:r w:rsidR="00694637">
        <w:rPr>
          <w:rFonts w:ascii="Arial" w:eastAsia="楷体_GB2312" w:hAnsi="Arial"/>
          <w:kern w:val="0"/>
          <w:sz w:val="21"/>
          <w:szCs w:val="21"/>
          <w:lang w:eastAsia="zh-CN"/>
        </w:rPr>
        <w:t>470/19.5%</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电子元器件行业（</w:t>
      </w:r>
      <w:r w:rsidR="00694637">
        <w:rPr>
          <w:rFonts w:ascii="Arial" w:eastAsia="楷体_GB2312" w:hAnsi="Arial" w:hint="eastAsia"/>
          <w:kern w:val="0"/>
          <w:sz w:val="21"/>
          <w:szCs w:val="21"/>
          <w:lang w:eastAsia="zh-CN"/>
        </w:rPr>
        <w:t>3</w:t>
      </w:r>
      <w:r w:rsidR="00694637">
        <w:rPr>
          <w:rFonts w:ascii="Arial" w:eastAsia="楷体_GB2312" w:hAnsi="Arial"/>
          <w:kern w:val="0"/>
          <w:sz w:val="21"/>
          <w:szCs w:val="21"/>
          <w:lang w:eastAsia="zh-CN"/>
        </w:rPr>
        <w:t>81/15.8%</w:t>
      </w:r>
      <w:r w:rsidR="00997AFA">
        <w:rPr>
          <w:rFonts w:ascii="Arial" w:eastAsia="楷体_GB2312" w:hAnsi="Arial" w:hint="eastAsia"/>
          <w:kern w:val="0"/>
          <w:sz w:val="21"/>
          <w:szCs w:val="21"/>
          <w:lang w:eastAsia="zh-CN"/>
        </w:rPr>
        <w:t>）、电工电网行业（</w:t>
      </w:r>
      <w:r w:rsidR="00694637">
        <w:rPr>
          <w:rFonts w:ascii="Arial" w:eastAsia="楷体_GB2312" w:hAnsi="Arial" w:hint="eastAsia"/>
          <w:kern w:val="0"/>
          <w:sz w:val="21"/>
          <w:szCs w:val="21"/>
          <w:lang w:eastAsia="zh-CN"/>
        </w:rPr>
        <w:t>1</w:t>
      </w:r>
      <w:r w:rsidR="00694637">
        <w:rPr>
          <w:rFonts w:ascii="Arial" w:eastAsia="楷体_GB2312" w:hAnsi="Arial"/>
          <w:kern w:val="0"/>
          <w:sz w:val="21"/>
          <w:szCs w:val="21"/>
          <w:lang w:eastAsia="zh-CN"/>
        </w:rPr>
        <w:t>83/7.6</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）、半导体行业（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64</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6.8%</w:t>
      </w:r>
      <w:r w:rsidR="00997AFA">
        <w:rPr>
          <w:rFonts w:ascii="Arial" w:eastAsia="楷体_GB2312" w:hAnsi="Arial" w:hint="eastAsia"/>
          <w:kern w:val="0"/>
          <w:sz w:val="21"/>
          <w:szCs w:val="21"/>
          <w:lang w:eastAsia="zh-CN"/>
        </w:rPr>
        <w:t>）、生物科技行业（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23</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5.1%</w:t>
      </w:r>
      <w:r w:rsidR="00997AFA">
        <w:rPr>
          <w:rFonts w:ascii="Arial" w:eastAsia="楷体_GB2312" w:hAnsi="Arial" w:hint="eastAsia"/>
          <w:kern w:val="0"/>
          <w:sz w:val="21"/>
          <w:szCs w:val="21"/>
          <w:lang w:eastAsia="zh-CN"/>
        </w:rPr>
        <w:t>）、银行行业（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19/5.0%</w:t>
      </w:r>
      <w:r w:rsidR="00997AFA">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w:t>
      </w:r>
    </w:p>
    <w:p w14:paraId="3A074E92" w14:textId="52D62969" w:rsidR="005C657C" w:rsidRDefault="005C657C"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7CFF87DE" w14:textId="443F2537"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4583818D" w14:textId="610DDE81"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6C1DE45C" w14:textId="51CE9408"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7D11E56C" w14:textId="329B5D5E"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0D599FD1" w14:textId="4254BF09"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48319941" w14:textId="31D13C6A"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43077444" w14:textId="100432AB" w:rsidR="004D7F4B"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p w14:paraId="0C18750F" w14:textId="77777777" w:rsidR="004D7F4B" w:rsidRPr="003F4896" w:rsidRDefault="004D7F4B"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p>
    <w:tbl>
      <w:tblPr>
        <w:tblW w:w="10431" w:type="dxa"/>
        <w:tblInd w:w="130" w:type="dxa"/>
        <w:tblLayout w:type="fixed"/>
        <w:tblLook w:val="04A0" w:firstRow="1" w:lastRow="0" w:firstColumn="1" w:lastColumn="0" w:noHBand="0" w:noVBand="1"/>
      </w:tblPr>
      <w:tblGrid>
        <w:gridCol w:w="2920"/>
        <w:gridCol w:w="2154"/>
        <w:gridCol w:w="283"/>
        <w:gridCol w:w="4967"/>
        <w:gridCol w:w="107"/>
      </w:tblGrid>
      <w:tr w:rsidR="00590944" w:rsidRPr="00490D55" w14:paraId="20266F3F" w14:textId="77777777" w:rsidTr="0095166E">
        <w:tc>
          <w:tcPr>
            <w:tcW w:w="5074" w:type="dxa"/>
            <w:gridSpan w:val="2"/>
            <w:tcBorders>
              <w:top w:val="nil"/>
              <w:left w:val="nil"/>
              <w:bottom w:val="single" w:sz="4" w:space="0" w:color="auto"/>
              <w:right w:val="nil"/>
            </w:tcBorders>
            <w:hideMark/>
          </w:tcPr>
          <w:p w14:paraId="78F1226B" w14:textId="0099A881" w:rsidR="00590944" w:rsidRPr="00C72F7D" w:rsidRDefault="003F4896" w:rsidP="00E94906">
            <w:pPr>
              <w:pStyle w:val="af0"/>
              <w:ind w:leftChars="-54" w:left="-130"/>
              <w:rPr>
                <w:lang w:eastAsia="zh-CN"/>
              </w:rPr>
            </w:pPr>
            <w:r>
              <w:rPr>
                <w:lang w:eastAsia="zh-CN"/>
              </w:rPr>
              <w:lastRenderedPageBreak/>
              <w:br w:type="page"/>
            </w:r>
            <w:bookmarkStart w:id="25" w:name="_Toc518314363"/>
            <w:bookmarkStart w:id="26" w:name="_Toc528757856"/>
            <w:bookmarkStart w:id="27" w:name="_Toc29814896"/>
            <w:bookmarkStart w:id="28" w:name="_Toc34809096"/>
            <w:bookmarkStart w:id="29" w:name="_Toc65798997"/>
            <w:r w:rsidR="00590944">
              <w:rPr>
                <w:rFonts w:hint="eastAsia"/>
                <w:lang w:eastAsia="zh-CN"/>
              </w:rPr>
              <w:t>图</w:t>
            </w:r>
            <w:r w:rsidR="00590944">
              <w:rPr>
                <w:lang w:eastAsia="zh-CN"/>
              </w:rPr>
              <w:t xml:space="preserve"> </w:t>
            </w:r>
            <w:r w:rsidR="00590944">
              <w:fldChar w:fldCharType="begin"/>
            </w:r>
            <w:r w:rsidR="00590944" w:rsidRPr="00716F0C">
              <w:rPr>
                <w:lang w:eastAsia="zh-CN"/>
              </w:rPr>
              <w:instrText xml:space="preserve"> SEQ </w:instrText>
            </w:r>
            <w:r w:rsidR="00590944" w:rsidRPr="00716F0C">
              <w:rPr>
                <w:lang w:eastAsia="zh-CN"/>
              </w:rPr>
              <w:instrText>图</w:instrText>
            </w:r>
            <w:r w:rsidR="00590944" w:rsidRPr="00716F0C">
              <w:rPr>
                <w:lang w:eastAsia="zh-CN"/>
              </w:rPr>
              <w:instrText xml:space="preserve"> \* ARABIC </w:instrText>
            </w:r>
            <w:r w:rsidR="00590944">
              <w:fldChar w:fldCharType="separate"/>
            </w:r>
            <w:r w:rsidR="0010512F">
              <w:rPr>
                <w:noProof/>
                <w:lang w:eastAsia="zh-CN"/>
              </w:rPr>
              <w:t>2</w:t>
            </w:r>
            <w:r w:rsidR="00590944">
              <w:fldChar w:fldCharType="end"/>
            </w:r>
            <w:r w:rsidR="00590944">
              <w:rPr>
                <w:rFonts w:hint="eastAsia"/>
                <w:lang w:eastAsia="zh-CN"/>
              </w:rPr>
              <w:t>：中国基金</w:t>
            </w:r>
            <w:r w:rsidR="00590944">
              <w:rPr>
                <w:rFonts w:hint="eastAsia"/>
                <w:lang w:eastAsia="zh-CN"/>
              </w:rPr>
              <w:t>Wind</w:t>
            </w:r>
            <w:r w:rsidR="00590944">
              <w:rPr>
                <w:rFonts w:hint="eastAsia"/>
                <w:lang w:eastAsia="zh-CN"/>
              </w:rPr>
              <w:t>一级分类情况</w:t>
            </w:r>
            <w:bookmarkEnd w:id="25"/>
            <w:bookmarkEnd w:id="26"/>
            <w:bookmarkEnd w:id="27"/>
            <w:bookmarkEnd w:id="28"/>
            <w:bookmarkEnd w:id="29"/>
          </w:p>
        </w:tc>
        <w:tc>
          <w:tcPr>
            <w:tcW w:w="283" w:type="dxa"/>
          </w:tcPr>
          <w:p w14:paraId="55C26372" w14:textId="77777777" w:rsidR="00590944" w:rsidRPr="00490D55" w:rsidRDefault="00590944" w:rsidP="00E94906">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1D6E00EE" w14:textId="515D83FE" w:rsidR="00590944" w:rsidRPr="00C72F7D" w:rsidRDefault="00590944" w:rsidP="00E94906">
            <w:pPr>
              <w:pStyle w:val="af0"/>
              <w:ind w:leftChars="-41" w:left="-98"/>
              <w:rPr>
                <w:lang w:eastAsia="zh-CN"/>
              </w:rPr>
            </w:pPr>
            <w:bookmarkStart w:id="30" w:name="_Toc518314364"/>
            <w:bookmarkStart w:id="31" w:name="_Toc528757857"/>
            <w:bookmarkStart w:id="32" w:name="_Toc29814897"/>
            <w:bookmarkStart w:id="33" w:name="_Toc34809097"/>
            <w:bookmarkStart w:id="34" w:name="_Toc65798998"/>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3</w:t>
            </w:r>
            <w:r>
              <w:fldChar w:fldCharType="end"/>
            </w:r>
            <w:r>
              <w:rPr>
                <w:rFonts w:hint="eastAsia"/>
                <w:lang w:eastAsia="zh-CN"/>
              </w:rPr>
              <w:t>：</w:t>
            </w:r>
            <w:r w:rsidRPr="00590944">
              <w:rPr>
                <w:rFonts w:hint="eastAsia"/>
                <w:lang w:eastAsia="zh-CN"/>
              </w:rPr>
              <w:t>中国基金</w:t>
            </w:r>
            <w:r w:rsidRPr="00590944">
              <w:rPr>
                <w:lang w:eastAsia="zh-CN"/>
              </w:rPr>
              <w:t>Wind</w:t>
            </w:r>
            <w:r w:rsidRPr="00590944">
              <w:rPr>
                <w:rFonts w:hint="eastAsia"/>
                <w:lang w:eastAsia="zh-CN"/>
              </w:rPr>
              <w:t>一级分类情况</w:t>
            </w:r>
            <w:bookmarkEnd w:id="30"/>
            <w:bookmarkEnd w:id="31"/>
            <w:bookmarkEnd w:id="32"/>
            <w:bookmarkEnd w:id="33"/>
            <w:bookmarkEnd w:id="34"/>
          </w:p>
        </w:tc>
      </w:tr>
      <w:tr w:rsidR="00590944" w:rsidRPr="009B1FB9" w14:paraId="0094E5E1" w14:textId="77777777" w:rsidTr="0095166E">
        <w:trPr>
          <w:trHeight w:hRule="exact" w:val="3969"/>
        </w:trPr>
        <w:tc>
          <w:tcPr>
            <w:tcW w:w="5074" w:type="dxa"/>
            <w:gridSpan w:val="2"/>
            <w:tcBorders>
              <w:top w:val="single" w:sz="4" w:space="0" w:color="auto"/>
              <w:left w:val="nil"/>
              <w:bottom w:val="single" w:sz="4" w:space="0" w:color="auto"/>
              <w:right w:val="nil"/>
            </w:tcBorders>
            <w:vAlign w:val="center"/>
          </w:tcPr>
          <w:p w14:paraId="7D8693FB" w14:textId="7C1CC91F" w:rsidR="00590944" w:rsidRPr="009B1FB9" w:rsidRDefault="003F4896" w:rsidP="00E94906">
            <w:pPr>
              <w:pStyle w:val="ae"/>
              <w:spacing w:after="0"/>
              <w:ind w:leftChars="0" w:left="0"/>
              <w:jc w:val="center"/>
              <w:rPr>
                <w:rFonts w:cs="Arial"/>
                <w:lang w:eastAsia="zh-CN"/>
              </w:rPr>
            </w:pPr>
            <w:r>
              <w:rPr>
                <w:noProof/>
              </w:rPr>
              <w:drawing>
                <wp:inline distT="0" distB="0" distL="0" distR="0" wp14:anchorId="2EF57E50" wp14:editId="3478E334">
                  <wp:extent cx="3070800" cy="2394000"/>
                  <wp:effectExtent l="0" t="0" r="0" b="6350"/>
                  <wp:docPr id="85" name="图表 85">
                    <a:extLst xmlns:a="http://schemas.openxmlformats.org/drawingml/2006/main">
                      <a:ext uri="{FF2B5EF4-FFF2-40B4-BE49-F238E27FC236}">
                        <a16:creationId xmlns:a16="http://schemas.microsoft.com/office/drawing/2014/main" id="{43DD7090-13DE-4430-B8B7-D6EED2644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tc>
        <w:tc>
          <w:tcPr>
            <w:tcW w:w="283" w:type="dxa"/>
          </w:tcPr>
          <w:p w14:paraId="2EE80B0E" w14:textId="77777777" w:rsidR="00590944" w:rsidRPr="009B1FB9" w:rsidRDefault="00590944" w:rsidP="00E94906">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16FCF021" w14:textId="0D6A2BBE" w:rsidR="00590944" w:rsidRPr="009B1FB9" w:rsidRDefault="003F4896" w:rsidP="00E94906">
            <w:pPr>
              <w:pStyle w:val="ae"/>
              <w:spacing w:after="0"/>
              <w:ind w:leftChars="0" w:left="0"/>
              <w:jc w:val="both"/>
              <w:rPr>
                <w:rFonts w:cs="Arial"/>
                <w:lang w:eastAsia="zh-CN"/>
              </w:rPr>
            </w:pPr>
            <w:r>
              <w:rPr>
                <w:noProof/>
              </w:rPr>
              <w:drawing>
                <wp:inline distT="0" distB="0" distL="0" distR="0" wp14:anchorId="2FB2EC29" wp14:editId="1CB11597">
                  <wp:extent cx="3070800" cy="2394000"/>
                  <wp:effectExtent l="0" t="0" r="0" b="6350"/>
                  <wp:docPr id="84" name="图表 84">
                    <a:extLst xmlns:a="http://schemas.openxmlformats.org/drawingml/2006/main">
                      <a:ext uri="{FF2B5EF4-FFF2-40B4-BE49-F238E27FC236}">
                        <a16:creationId xmlns:a16="http://schemas.microsoft.com/office/drawing/2014/main" id="{9C4CC8F8-A6B2-42BC-93A8-1197F5928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tc>
      </w:tr>
      <w:tr w:rsidR="00590944" w:rsidRPr="00490D55" w14:paraId="3B6C5FBF" w14:textId="77777777" w:rsidTr="0095166E">
        <w:tc>
          <w:tcPr>
            <w:tcW w:w="5074" w:type="dxa"/>
            <w:gridSpan w:val="2"/>
            <w:tcBorders>
              <w:top w:val="single" w:sz="4" w:space="0" w:color="auto"/>
              <w:left w:val="nil"/>
              <w:bottom w:val="nil"/>
              <w:right w:val="nil"/>
            </w:tcBorders>
            <w:hideMark/>
          </w:tcPr>
          <w:p w14:paraId="6B438B94" w14:textId="544C6FE9" w:rsidR="00590944" w:rsidRPr="00C66411" w:rsidRDefault="00590944" w:rsidP="00E94906">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194E985E" w14:textId="77777777" w:rsidR="00590944" w:rsidRPr="00490D55" w:rsidRDefault="00590944" w:rsidP="00E94906">
            <w:pPr>
              <w:pStyle w:val="ae"/>
              <w:spacing w:after="0"/>
              <w:ind w:leftChars="0" w:left="0"/>
              <w:rPr>
                <w:color w:val="0F243E"/>
                <w:sz w:val="18"/>
                <w:lang w:eastAsia="zh-CN"/>
              </w:rPr>
            </w:pPr>
          </w:p>
        </w:tc>
        <w:tc>
          <w:tcPr>
            <w:tcW w:w="5074" w:type="dxa"/>
            <w:gridSpan w:val="2"/>
            <w:tcBorders>
              <w:top w:val="single" w:sz="4" w:space="0" w:color="auto"/>
              <w:left w:val="nil"/>
              <w:bottom w:val="nil"/>
              <w:right w:val="nil"/>
            </w:tcBorders>
            <w:hideMark/>
          </w:tcPr>
          <w:p w14:paraId="773806DE" w14:textId="1374A45B" w:rsidR="00590944" w:rsidRPr="00C66411" w:rsidRDefault="00590944" w:rsidP="00E94906">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r w:rsidR="000067BB" w:rsidRPr="00C72F7D" w14:paraId="4A269F3B" w14:textId="77777777" w:rsidTr="0095166E">
        <w:tblPrEx>
          <w:tblLook w:val="0000" w:firstRow="0" w:lastRow="0" w:firstColumn="0" w:lastColumn="0" w:noHBand="0" w:noVBand="0"/>
        </w:tblPrEx>
        <w:trPr>
          <w:gridBefore w:val="1"/>
          <w:gridAfter w:val="1"/>
          <w:wBefore w:w="2920" w:type="dxa"/>
          <w:wAfter w:w="107" w:type="dxa"/>
        </w:trPr>
        <w:tc>
          <w:tcPr>
            <w:tcW w:w="7404" w:type="dxa"/>
            <w:gridSpan w:val="3"/>
            <w:tcBorders>
              <w:bottom w:val="single" w:sz="4" w:space="0" w:color="auto"/>
            </w:tcBorders>
            <w:shd w:val="clear" w:color="auto" w:fill="auto"/>
          </w:tcPr>
          <w:p w14:paraId="31D4C216" w14:textId="7704D9CF" w:rsidR="000067BB" w:rsidRPr="00C72F7D" w:rsidRDefault="009A63B1" w:rsidP="00E94906">
            <w:pPr>
              <w:pStyle w:val="af0"/>
              <w:rPr>
                <w:lang w:eastAsia="zh-CN"/>
              </w:rPr>
            </w:pPr>
            <w:bookmarkStart w:id="35" w:name="_Toc528757858"/>
            <w:bookmarkStart w:id="36" w:name="_Toc29814898"/>
            <w:bookmarkStart w:id="37" w:name="_Toc34809098"/>
            <w:r>
              <w:rPr>
                <w:b w:val="0"/>
                <w:lang w:eastAsia="zh-CN"/>
              </w:rPr>
              <w:br w:type="page"/>
            </w:r>
            <w:bookmarkStart w:id="38" w:name="_Toc65798999"/>
            <w:r w:rsidR="000067BB">
              <w:rPr>
                <w:rFonts w:hint="eastAsia"/>
                <w:lang w:eastAsia="zh-CN"/>
              </w:rPr>
              <w:t>图</w:t>
            </w:r>
            <w:r w:rsidR="000067BB">
              <w:rPr>
                <w:lang w:eastAsia="zh-CN"/>
              </w:rPr>
              <w:t xml:space="preserve"> </w:t>
            </w:r>
            <w:r w:rsidR="000067BB">
              <w:fldChar w:fldCharType="begin"/>
            </w:r>
            <w:r w:rsidR="000067BB" w:rsidRPr="009A63B1">
              <w:rPr>
                <w:lang w:eastAsia="zh-CN"/>
              </w:rPr>
              <w:instrText xml:space="preserve"> SEQ </w:instrText>
            </w:r>
            <w:r w:rsidR="000067BB" w:rsidRPr="009A63B1">
              <w:rPr>
                <w:lang w:eastAsia="zh-CN"/>
              </w:rPr>
              <w:instrText>图</w:instrText>
            </w:r>
            <w:r w:rsidR="000067BB" w:rsidRPr="009A63B1">
              <w:rPr>
                <w:lang w:eastAsia="zh-CN"/>
              </w:rPr>
              <w:instrText xml:space="preserve"> \* ARABIC </w:instrText>
            </w:r>
            <w:r w:rsidR="000067BB">
              <w:fldChar w:fldCharType="separate"/>
            </w:r>
            <w:r w:rsidR="0010512F">
              <w:rPr>
                <w:noProof/>
                <w:lang w:eastAsia="zh-CN"/>
              </w:rPr>
              <w:t>4</w:t>
            </w:r>
            <w:r w:rsidR="000067BB">
              <w:fldChar w:fldCharType="end"/>
            </w:r>
            <w:r w:rsidR="000067BB">
              <w:rPr>
                <w:rFonts w:hint="eastAsia"/>
                <w:lang w:eastAsia="zh-CN"/>
              </w:rPr>
              <w:t>：</w:t>
            </w:r>
            <w:r w:rsidR="000067BB" w:rsidRPr="000067BB">
              <w:rPr>
                <w:rFonts w:hint="eastAsia"/>
                <w:lang w:eastAsia="zh-CN"/>
              </w:rPr>
              <w:t>中国基金</w:t>
            </w:r>
            <w:r w:rsidR="000067BB" w:rsidRPr="000067BB">
              <w:rPr>
                <w:lang w:eastAsia="zh-CN"/>
              </w:rPr>
              <w:t>Wind</w:t>
            </w:r>
            <w:r w:rsidR="000067BB">
              <w:rPr>
                <w:rFonts w:hint="eastAsia"/>
                <w:lang w:eastAsia="zh-CN"/>
              </w:rPr>
              <w:t>行业主题</w:t>
            </w:r>
            <w:r w:rsidR="000067BB" w:rsidRPr="000067BB">
              <w:rPr>
                <w:rFonts w:hint="eastAsia"/>
                <w:lang w:eastAsia="zh-CN"/>
              </w:rPr>
              <w:t>分类情况</w:t>
            </w:r>
            <w:bookmarkEnd w:id="35"/>
            <w:bookmarkEnd w:id="36"/>
            <w:bookmarkEnd w:id="37"/>
            <w:bookmarkEnd w:id="38"/>
          </w:p>
        </w:tc>
      </w:tr>
      <w:tr w:rsidR="000067BB" w:rsidRPr="009B1FB9" w14:paraId="08DFFCFE" w14:textId="77777777" w:rsidTr="0095166E">
        <w:tblPrEx>
          <w:tblLook w:val="0000" w:firstRow="0" w:lastRow="0" w:firstColumn="0" w:lastColumn="0" w:noHBand="0" w:noVBand="0"/>
        </w:tblPrEx>
        <w:trPr>
          <w:gridBefore w:val="1"/>
          <w:gridAfter w:val="1"/>
          <w:wBefore w:w="2920" w:type="dxa"/>
          <w:wAfter w:w="107" w:type="dxa"/>
          <w:trHeight w:hRule="exact" w:val="3953"/>
        </w:trPr>
        <w:tc>
          <w:tcPr>
            <w:tcW w:w="7404" w:type="dxa"/>
            <w:gridSpan w:val="3"/>
            <w:tcBorders>
              <w:top w:val="single" w:sz="4" w:space="0" w:color="auto"/>
              <w:bottom w:val="single" w:sz="4" w:space="0" w:color="auto"/>
            </w:tcBorders>
            <w:shd w:val="clear" w:color="auto" w:fill="auto"/>
            <w:vAlign w:val="center"/>
          </w:tcPr>
          <w:p w14:paraId="46B78116" w14:textId="27A705CF" w:rsidR="000067BB" w:rsidRPr="009B1FB9" w:rsidRDefault="000067BB" w:rsidP="00E94906">
            <w:pPr>
              <w:pStyle w:val="ae"/>
              <w:ind w:leftChars="0" w:left="0"/>
              <w:rPr>
                <w:color w:val="0F243E" w:themeColor="text2" w:themeShade="80"/>
              </w:rPr>
            </w:pPr>
            <w:r>
              <w:rPr>
                <w:noProof/>
              </w:rPr>
              <w:drawing>
                <wp:inline distT="0" distB="0" distL="0" distR="0" wp14:anchorId="4D96A89F" wp14:editId="5095F136">
                  <wp:extent cx="4564380" cy="2140585"/>
                  <wp:effectExtent l="0" t="0" r="7620" b="0"/>
                  <wp:docPr id="88" name="图表 88">
                    <a:extLst xmlns:a="http://schemas.openxmlformats.org/drawingml/2006/main">
                      <a:ext uri="{FF2B5EF4-FFF2-40B4-BE49-F238E27FC236}">
                        <a16:creationId xmlns:a16="http://schemas.microsoft.com/office/drawing/2014/main" id="{20119327-BD9F-41ED-86E9-73B6AE66E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tc>
      </w:tr>
      <w:tr w:rsidR="000067BB" w:rsidRPr="008512B4" w14:paraId="5C44C3A4" w14:textId="77777777" w:rsidTr="0095166E">
        <w:tblPrEx>
          <w:tblLook w:val="0000" w:firstRow="0" w:lastRow="0" w:firstColumn="0" w:lastColumn="0" w:noHBand="0" w:noVBand="0"/>
        </w:tblPrEx>
        <w:trPr>
          <w:gridBefore w:val="1"/>
          <w:gridAfter w:val="1"/>
          <w:wBefore w:w="2920" w:type="dxa"/>
          <w:wAfter w:w="107" w:type="dxa"/>
        </w:trPr>
        <w:tc>
          <w:tcPr>
            <w:tcW w:w="7404" w:type="dxa"/>
            <w:gridSpan w:val="3"/>
            <w:tcBorders>
              <w:top w:val="single" w:sz="4" w:space="0" w:color="auto"/>
            </w:tcBorders>
            <w:shd w:val="clear" w:color="auto" w:fill="auto"/>
          </w:tcPr>
          <w:p w14:paraId="13F94124" w14:textId="77777777" w:rsidR="000067BB" w:rsidRPr="008512B4" w:rsidRDefault="000067BB" w:rsidP="00E94906">
            <w:pPr>
              <w:pStyle w:val="aff2"/>
            </w:pPr>
            <w:r w:rsidRPr="008512B4">
              <w:rPr>
                <w:rFonts w:hint="eastAsia"/>
              </w:rPr>
              <w:t>数据来源：</w:t>
            </w:r>
            <w:r w:rsidRPr="008512B4">
              <w:rPr>
                <w:rFonts w:hint="eastAsia"/>
              </w:rPr>
              <w:t>Wind</w:t>
            </w:r>
            <w:r w:rsidRPr="008512B4">
              <w:rPr>
                <w:rFonts w:hint="eastAsia"/>
              </w:rPr>
              <w:t>，广发证券发展研究中心</w:t>
            </w:r>
          </w:p>
        </w:tc>
      </w:tr>
    </w:tbl>
    <w:p w14:paraId="3B9A5D48" w14:textId="12A64AE2" w:rsidR="0095166E" w:rsidRDefault="006A42F8" w:rsidP="0095166E">
      <w:pPr>
        <w:pStyle w:val="ae"/>
        <w:spacing w:beforeLines="50" w:before="163" w:afterLines="50" w:after="163" w:line="252" w:lineRule="auto"/>
        <w:ind w:left="3017" w:firstLine="583"/>
        <w:jc w:val="both"/>
        <w:rPr>
          <w:lang w:eastAsia="zh-CN"/>
        </w:rPr>
      </w:pPr>
      <w:r>
        <w:rPr>
          <w:rFonts w:hint="eastAsia"/>
          <w:lang w:eastAsia="zh-CN"/>
        </w:rPr>
        <w:t>国内的基金通常采用复合基准的方式。</w:t>
      </w:r>
      <w:r w:rsidRPr="006A42F8">
        <w:rPr>
          <w:rFonts w:hint="eastAsia"/>
          <w:lang w:eastAsia="zh-CN"/>
        </w:rPr>
        <w:t>一般来说债券基金和货币基金的业绩比较基准会与某些债券指数或存款利率挂钩；而股票型基金和混合型基金等权益类基金的业绩比较基准通常是由某个股票指数和债券指数复合而成。</w:t>
      </w:r>
      <w:r w:rsidR="0095166E" w:rsidRPr="0095166E">
        <w:rPr>
          <w:rFonts w:hint="eastAsia"/>
          <w:lang w:eastAsia="zh-CN"/>
        </w:rPr>
        <w:t>国外的对冲基金指数主要分为不可投资型（</w:t>
      </w:r>
      <w:r w:rsidR="0095166E" w:rsidRPr="0095166E">
        <w:rPr>
          <w:lang w:eastAsia="zh-CN"/>
        </w:rPr>
        <w:t>non-investable</w:t>
      </w:r>
      <w:r w:rsidR="0095166E" w:rsidRPr="0095166E">
        <w:rPr>
          <w:rFonts w:hint="eastAsia"/>
          <w:lang w:eastAsia="zh-CN"/>
        </w:rPr>
        <w:t>）、可投资型（</w:t>
      </w:r>
      <w:r w:rsidR="0095166E" w:rsidRPr="0095166E">
        <w:rPr>
          <w:lang w:eastAsia="zh-CN"/>
        </w:rPr>
        <w:t>investable</w:t>
      </w:r>
      <w:r w:rsidR="0095166E" w:rsidRPr="0095166E">
        <w:rPr>
          <w:rFonts w:hint="eastAsia"/>
          <w:lang w:eastAsia="zh-CN"/>
        </w:rPr>
        <w:t>）、复制指数型（</w:t>
      </w:r>
      <w:r w:rsidR="0095166E" w:rsidRPr="0095166E">
        <w:rPr>
          <w:lang w:eastAsia="zh-CN"/>
        </w:rPr>
        <w:t>replication indices</w:t>
      </w:r>
      <w:r w:rsidR="0095166E" w:rsidRPr="0095166E">
        <w:rPr>
          <w:rFonts w:hint="eastAsia"/>
          <w:lang w:eastAsia="zh-CN"/>
        </w:rPr>
        <w:t>）这三种。而国内的对冲基金基准均为浮动基准加上对应的固定基准，比如中国人民银行公布的一年期银行定期存款基准利率</w:t>
      </w:r>
      <w:r w:rsidR="0095166E" w:rsidRPr="0095166E">
        <w:rPr>
          <w:lang w:eastAsia="zh-CN"/>
        </w:rPr>
        <w:t>(</w:t>
      </w:r>
      <w:r w:rsidR="0095166E" w:rsidRPr="0095166E">
        <w:rPr>
          <w:rFonts w:hint="eastAsia"/>
          <w:lang w:eastAsia="zh-CN"/>
        </w:rPr>
        <w:t>税后</w:t>
      </w:r>
      <w:r w:rsidR="0095166E" w:rsidRPr="0095166E">
        <w:rPr>
          <w:lang w:eastAsia="zh-CN"/>
        </w:rPr>
        <w:t>)+1%</w:t>
      </w:r>
      <w:r w:rsidR="0095166E" w:rsidRPr="0095166E">
        <w:rPr>
          <w:rFonts w:hint="eastAsia"/>
          <w:lang w:eastAsia="zh-CN"/>
        </w:rPr>
        <w:t>。</w:t>
      </w:r>
    </w:p>
    <w:p w14:paraId="10938A22" w14:textId="70A0814A" w:rsidR="0095166E" w:rsidRDefault="0095166E" w:rsidP="0095166E">
      <w:pPr>
        <w:pStyle w:val="ae"/>
        <w:spacing w:beforeLines="50" w:before="163" w:afterLines="50" w:after="163" w:line="252" w:lineRule="auto"/>
        <w:ind w:left="3017" w:firstLine="583"/>
        <w:jc w:val="both"/>
        <w:rPr>
          <w:rFonts w:hint="eastAsia"/>
          <w:lang w:eastAsia="zh-CN"/>
        </w:rPr>
      </w:pPr>
      <w:r>
        <w:rPr>
          <w:rFonts w:hint="eastAsia"/>
          <w:lang w:eastAsia="zh-CN"/>
        </w:rPr>
        <w:t>本报告在</w:t>
      </w:r>
      <w:r>
        <w:rPr>
          <w:rFonts w:hint="eastAsia"/>
          <w:lang w:eastAsia="zh-CN"/>
        </w:rPr>
        <w:t>Wind</w:t>
      </w:r>
      <w:r>
        <w:rPr>
          <w:rFonts w:hint="eastAsia"/>
          <w:lang w:eastAsia="zh-CN"/>
        </w:rPr>
        <w:t>基金一级分类的基础下统计了复合基准组合个数的关系以及一级分类和基准组成部分个数双重分类下的被选择最多的基准以及相关的比例均值和频率分布</w:t>
      </w:r>
      <w:r w:rsidR="004A0C9F">
        <w:rPr>
          <w:rFonts w:hint="eastAsia"/>
          <w:lang w:eastAsia="zh-CN"/>
        </w:rPr>
        <w:t>、</w:t>
      </w:r>
      <w:r w:rsidR="004A0C9F">
        <w:rPr>
          <w:rFonts w:hint="eastAsia"/>
          <w:lang w:eastAsia="zh-CN"/>
        </w:rPr>
        <w:t>Wind</w:t>
      </w:r>
      <w:r w:rsidR="004A0C9F">
        <w:rPr>
          <w:rFonts w:hint="eastAsia"/>
          <w:lang w:eastAsia="zh-CN"/>
        </w:rPr>
        <w:t>基金二级分类下偏股混合型、灵活配置型、普通股票型、偏债混合型这几种分类下</w:t>
      </w:r>
      <w:r w:rsidR="004A0C9F">
        <w:rPr>
          <w:rFonts w:hint="eastAsia"/>
          <w:lang w:eastAsia="zh-CN"/>
        </w:rPr>
        <w:t>被选择最多的基准以及相关的比例均值和频率分布</w:t>
      </w:r>
      <w:r w:rsidR="004A0C9F">
        <w:rPr>
          <w:rFonts w:hint="eastAsia"/>
          <w:lang w:eastAsia="zh-CN"/>
        </w:rPr>
        <w:t>、行业主题基金中按照行业分类最多的六个行业被选择最多的基准以及相关的比例均值。</w:t>
      </w:r>
    </w:p>
    <w:p w14:paraId="51F6B195" w14:textId="000789BC" w:rsidR="005C657C" w:rsidRDefault="005C657C" w:rsidP="0095166E">
      <w:pPr>
        <w:pStyle w:val="ae"/>
        <w:spacing w:beforeLines="50" w:before="163" w:afterLines="50" w:after="163" w:line="252" w:lineRule="auto"/>
        <w:ind w:left="3017" w:firstLine="583"/>
        <w:jc w:val="both"/>
        <w:rPr>
          <w:lang w:eastAsia="zh-CN"/>
        </w:rPr>
      </w:pPr>
    </w:p>
    <w:p w14:paraId="3C3B944A" w14:textId="5FBA5F52" w:rsidR="005C657C" w:rsidRDefault="005C657C" w:rsidP="0095166E">
      <w:pPr>
        <w:pStyle w:val="ae"/>
        <w:spacing w:beforeLines="50" w:before="163" w:afterLines="50" w:after="163" w:line="252" w:lineRule="auto"/>
        <w:ind w:left="3017" w:firstLine="583"/>
        <w:jc w:val="both"/>
        <w:rPr>
          <w:lang w:eastAsia="zh-CN"/>
        </w:rPr>
      </w:pPr>
    </w:p>
    <w:p w14:paraId="0BE7B145" w14:textId="77777777" w:rsidR="005C657C" w:rsidRDefault="005C657C" w:rsidP="0095166E">
      <w:pPr>
        <w:pStyle w:val="ae"/>
        <w:spacing w:beforeLines="50" w:before="163" w:afterLines="50" w:after="163" w:line="252" w:lineRule="auto"/>
        <w:ind w:left="3017" w:firstLine="583"/>
        <w:jc w:val="both"/>
        <w:rPr>
          <w:lang w:eastAsia="zh-CN"/>
        </w:rPr>
      </w:pPr>
    </w:p>
    <w:tbl>
      <w:tblPr>
        <w:tblW w:w="0" w:type="auto"/>
        <w:tblInd w:w="3085" w:type="dxa"/>
        <w:tblLook w:val="04A0" w:firstRow="1" w:lastRow="0" w:firstColumn="1" w:lastColumn="0" w:noHBand="0" w:noVBand="1"/>
      </w:tblPr>
      <w:tblGrid>
        <w:gridCol w:w="1370"/>
        <w:gridCol w:w="1235"/>
        <w:gridCol w:w="1235"/>
        <w:gridCol w:w="1235"/>
        <w:gridCol w:w="1235"/>
        <w:gridCol w:w="1235"/>
      </w:tblGrid>
      <w:tr w:rsidR="00CD6B59" w:rsidRPr="00CB0A9A" w14:paraId="4E7311DC" w14:textId="77777777" w:rsidTr="005038B6">
        <w:trPr>
          <w:trHeight w:val="285"/>
        </w:trPr>
        <w:tc>
          <w:tcPr>
            <w:tcW w:w="7761" w:type="dxa"/>
            <w:gridSpan w:val="6"/>
            <w:tcBorders>
              <w:top w:val="nil"/>
              <w:left w:val="nil"/>
              <w:bottom w:val="single" w:sz="8" w:space="0" w:color="000000"/>
              <w:right w:val="nil"/>
            </w:tcBorders>
            <w:shd w:val="clear" w:color="auto" w:fill="auto"/>
            <w:noWrap/>
            <w:vAlign w:val="center"/>
          </w:tcPr>
          <w:p w14:paraId="448571FF" w14:textId="42A2327F" w:rsidR="00CD6B59" w:rsidRPr="00CB0A9A" w:rsidRDefault="00CD6B59" w:rsidP="00CD6B59">
            <w:pPr>
              <w:pStyle w:val="af0"/>
              <w:ind w:leftChars="-54" w:left="-130"/>
              <w:rPr>
                <w:rFonts w:ascii="楷体_GB2312" w:hAnsi="等线" w:cs="宋体"/>
                <w:b w:val="0"/>
                <w:bCs/>
                <w:sz w:val="16"/>
                <w:szCs w:val="16"/>
                <w:lang w:eastAsia="zh-CN"/>
              </w:rPr>
            </w:pPr>
            <w:bookmarkStart w:id="39" w:name="_Toc65799020"/>
            <w:r w:rsidRPr="00CD6B59">
              <w:rPr>
                <w:rFonts w:hint="eastAsia"/>
                <w:lang w:eastAsia="zh-CN"/>
              </w:rPr>
              <w:t>表</w:t>
            </w:r>
            <w:r w:rsidRPr="00CD6B59">
              <w:rPr>
                <w:lang w:eastAsia="zh-CN"/>
              </w:rPr>
              <w:t xml:space="preserve"> </w:t>
            </w:r>
            <w:r w:rsidR="002A05DF" w:rsidRPr="00941673">
              <w:fldChar w:fldCharType="begin"/>
            </w:r>
            <w:r w:rsidR="002A05DF" w:rsidRPr="005A1F6F">
              <w:rPr>
                <w:lang w:eastAsia="zh-CN"/>
              </w:rPr>
              <w:instrText xml:space="preserve"> </w:instrText>
            </w:r>
            <w:r w:rsidR="002A05DF" w:rsidRPr="005A1F6F">
              <w:rPr>
                <w:rFonts w:hint="eastAsia"/>
                <w:lang w:eastAsia="zh-CN"/>
              </w:rPr>
              <w:instrText xml:space="preserve">SEQ </w:instrText>
            </w:r>
            <w:r w:rsidR="002A05DF" w:rsidRPr="005A1F6F">
              <w:rPr>
                <w:rFonts w:hint="eastAsia"/>
                <w:lang w:eastAsia="zh-CN"/>
              </w:rPr>
              <w:instrText>表</w:instrText>
            </w:r>
            <w:r w:rsidR="002A05DF" w:rsidRPr="005A1F6F">
              <w:rPr>
                <w:rFonts w:hint="eastAsia"/>
                <w:lang w:eastAsia="zh-CN"/>
              </w:rPr>
              <w:instrText xml:space="preserve"> \* ARABIC</w:instrText>
            </w:r>
            <w:r w:rsidR="002A05DF" w:rsidRPr="005A1F6F">
              <w:rPr>
                <w:lang w:eastAsia="zh-CN"/>
              </w:rPr>
              <w:instrText xml:space="preserve"> </w:instrText>
            </w:r>
            <w:r w:rsidR="002A05DF" w:rsidRPr="00941673">
              <w:fldChar w:fldCharType="separate"/>
            </w:r>
            <w:r w:rsidR="0010512F">
              <w:rPr>
                <w:noProof/>
                <w:lang w:eastAsia="zh-CN"/>
              </w:rPr>
              <w:t>1</w:t>
            </w:r>
            <w:r w:rsidR="002A05DF" w:rsidRPr="00941673">
              <w:fldChar w:fldCharType="end"/>
            </w:r>
            <w:r w:rsidRPr="00CD6B59">
              <w:rPr>
                <w:rFonts w:hint="eastAsia"/>
                <w:lang w:eastAsia="zh-CN"/>
              </w:rPr>
              <w:t>：</w:t>
            </w:r>
            <w:r>
              <w:rPr>
                <w:rFonts w:hint="eastAsia"/>
                <w:lang w:eastAsia="zh-CN"/>
              </w:rPr>
              <w:t>Wind</w:t>
            </w:r>
            <w:r w:rsidRPr="00CD6B59">
              <w:rPr>
                <w:rFonts w:hint="eastAsia"/>
                <w:lang w:eastAsia="zh-CN"/>
              </w:rPr>
              <w:t>基金</w:t>
            </w:r>
            <w:r>
              <w:rPr>
                <w:rFonts w:hint="eastAsia"/>
                <w:lang w:eastAsia="zh-CN"/>
              </w:rPr>
              <w:t>一级分类下</w:t>
            </w:r>
            <w:r w:rsidRPr="00CD6B59">
              <w:rPr>
                <w:rFonts w:hint="eastAsia"/>
                <w:lang w:eastAsia="zh-CN"/>
              </w:rPr>
              <w:t>业绩评价基准</w:t>
            </w:r>
            <w:r>
              <w:rPr>
                <w:rFonts w:hint="eastAsia"/>
                <w:lang w:eastAsia="zh-CN"/>
              </w:rPr>
              <w:t>组成部分个数</w:t>
            </w:r>
            <w:r w:rsidRPr="00CD6B59">
              <w:rPr>
                <w:rFonts w:hint="eastAsia"/>
                <w:lang w:eastAsia="zh-CN"/>
              </w:rPr>
              <w:t>情况统计</w:t>
            </w:r>
            <w:bookmarkEnd w:id="39"/>
          </w:p>
        </w:tc>
      </w:tr>
      <w:tr w:rsidR="00CB0A9A" w:rsidRPr="00CB0A9A" w14:paraId="213EBCE0" w14:textId="77777777" w:rsidTr="00CD6B59">
        <w:trPr>
          <w:trHeight w:val="285"/>
        </w:trPr>
        <w:tc>
          <w:tcPr>
            <w:tcW w:w="1492" w:type="dxa"/>
            <w:tcBorders>
              <w:top w:val="nil"/>
              <w:left w:val="nil"/>
              <w:bottom w:val="single" w:sz="8" w:space="0" w:color="000000"/>
              <w:right w:val="nil"/>
            </w:tcBorders>
            <w:shd w:val="clear" w:color="auto" w:fill="auto"/>
            <w:noWrap/>
            <w:vAlign w:val="center"/>
            <w:hideMark/>
          </w:tcPr>
          <w:p w14:paraId="40E1989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 xml:space="preserve">　</w:t>
            </w:r>
          </w:p>
        </w:tc>
        <w:tc>
          <w:tcPr>
            <w:tcW w:w="0" w:type="auto"/>
            <w:tcBorders>
              <w:top w:val="nil"/>
              <w:left w:val="nil"/>
              <w:bottom w:val="single" w:sz="8" w:space="0" w:color="000000"/>
              <w:right w:val="nil"/>
            </w:tcBorders>
            <w:shd w:val="clear" w:color="auto" w:fill="auto"/>
            <w:noWrap/>
            <w:vAlign w:val="center"/>
            <w:hideMark/>
          </w:tcPr>
          <w:p w14:paraId="29A79433"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单基准基金个数</w:t>
            </w:r>
          </w:p>
        </w:tc>
        <w:tc>
          <w:tcPr>
            <w:tcW w:w="0" w:type="auto"/>
            <w:tcBorders>
              <w:top w:val="nil"/>
              <w:left w:val="nil"/>
              <w:bottom w:val="single" w:sz="8" w:space="0" w:color="000000"/>
              <w:right w:val="nil"/>
            </w:tcBorders>
            <w:shd w:val="clear" w:color="auto" w:fill="auto"/>
            <w:noWrap/>
            <w:vAlign w:val="center"/>
            <w:hideMark/>
          </w:tcPr>
          <w:p w14:paraId="1CED3CF9"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双基准基金个数</w:t>
            </w:r>
          </w:p>
        </w:tc>
        <w:tc>
          <w:tcPr>
            <w:tcW w:w="0" w:type="auto"/>
            <w:tcBorders>
              <w:top w:val="nil"/>
              <w:left w:val="nil"/>
              <w:bottom w:val="single" w:sz="8" w:space="0" w:color="000000"/>
              <w:right w:val="nil"/>
            </w:tcBorders>
            <w:shd w:val="clear" w:color="auto" w:fill="auto"/>
            <w:noWrap/>
            <w:vAlign w:val="center"/>
            <w:hideMark/>
          </w:tcPr>
          <w:p w14:paraId="5448EB21"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三基准基金个数</w:t>
            </w:r>
          </w:p>
        </w:tc>
        <w:tc>
          <w:tcPr>
            <w:tcW w:w="0" w:type="auto"/>
            <w:tcBorders>
              <w:top w:val="nil"/>
              <w:left w:val="nil"/>
              <w:bottom w:val="single" w:sz="8" w:space="0" w:color="000000"/>
              <w:right w:val="nil"/>
            </w:tcBorders>
            <w:shd w:val="clear" w:color="auto" w:fill="auto"/>
            <w:noWrap/>
            <w:vAlign w:val="center"/>
            <w:hideMark/>
          </w:tcPr>
          <w:p w14:paraId="0C71468E"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四基准基金个数</w:t>
            </w:r>
          </w:p>
        </w:tc>
        <w:tc>
          <w:tcPr>
            <w:tcW w:w="0" w:type="auto"/>
            <w:tcBorders>
              <w:top w:val="nil"/>
              <w:left w:val="nil"/>
              <w:bottom w:val="single" w:sz="8" w:space="0" w:color="000000"/>
              <w:right w:val="nil"/>
            </w:tcBorders>
            <w:shd w:val="clear" w:color="auto" w:fill="auto"/>
            <w:noWrap/>
            <w:vAlign w:val="center"/>
            <w:hideMark/>
          </w:tcPr>
          <w:p w14:paraId="70AC68D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五基准基金个数</w:t>
            </w:r>
          </w:p>
        </w:tc>
      </w:tr>
      <w:tr w:rsidR="00CB0A9A" w:rsidRPr="00CB0A9A" w14:paraId="557DC8A3" w14:textId="77777777" w:rsidTr="00CD6B59">
        <w:trPr>
          <w:trHeight w:val="278"/>
        </w:trPr>
        <w:tc>
          <w:tcPr>
            <w:tcW w:w="1492" w:type="dxa"/>
            <w:tcBorders>
              <w:top w:val="nil"/>
              <w:left w:val="nil"/>
              <w:bottom w:val="nil"/>
              <w:right w:val="nil"/>
            </w:tcBorders>
            <w:shd w:val="clear" w:color="auto" w:fill="auto"/>
            <w:noWrap/>
            <w:vAlign w:val="center"/>
            <w:hideMark/>
          </w:tcPr>
          <w:p w14:paraId="7EE09CD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股票型基金</w:t>
            </w:r>
          </w:p>
        </w:tc>
        <w:tc>
          <w:tcPr>
            <w:tcW w:w="0" w:type="auto"/>
            <w:tcBorders>
              <w:top w:val="nil"/>
              <w:left w:val="nil"/>
              <w:bottom w:val="nil"/>
              <w:right w:val="nil"/>
            </w:tcBorders>
            <w:shd w:val="clear" w:color="auto" w:fill="auto"/>
            <w:noWrap/>
            <w:vAlign w:val="center"/>
            <w:hideMark/>
          </w:tcPr>
          <w:p w14:paraId="09EDB82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339</w:t>
            </w:r>
          </w:p>
        </w:tc>
        <w:tc>
          <w:tcPr>
            <w:tcW w:w="0" w:type="auto"/>
            <w:tcBorders>
              <w:top w:val="nil"/>
              <w:left w:val="nil"/>
              <w:bottom w:val="nil"/>
              <w:right w:val="nil"/>
            </w:tcBorders>
            <w:shd w:val="clear" w:color="auto" w:fill="auto"/>
            <w:noWrap/>
            <w:vAlign w:val="center"/>
            <w:hideMark/>
          </w:tcPr>
          <w:p w14:paraId="7FBF68B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1326</w:t>
            </w:r>
          </w:p>
        </w:tc>
        <w:tc>
          <w:tcPr>
            <w:tcW w:w="0" w:type="auto"/>
            <w:tcBorders>
              <w:top w:val="nil"/>
              <w:left w:val="nil"/>
              <w:bottom w:val="nil"/>
              <w:right w:val="nil"/>
            </w:tcBorders>
            <w:shd w:val="clear" w:color="auto" w:fill="auto"/>
            <w:noWrap/>
            <w:vAlign w:val="center"/>
            <w:hideMark/>
          </w:tcPr>
          <w:p w14:paraId="6D20400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w:t>
            </w:r>
          </w:p>
        </w:tc>
        <w:tc>
          <w:tcPr>
            <w:tcW w:w="0" w:type="auto"/>
            <w:tcBorders>
              <w:top w:val="nil"/>
              <w:left w:val="nil"/>
              <w:bottom w:val="nil"/>
              <w:right w:val="nil"/>
            </w:tcBorders>
            <w:shd w:val="clear" w:color="auto" w:fill="auto"/>
            <w:noWrap/>
            <w:vAlign w:val="center"/>
            <w:hideMark/>
          </w:tcPr>
          <w:p w14:paraId="0945B5A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w:t>
            </w:r>
          </w:p>
        </w:tc>
        <w:tc>
          <w:tcPr>
            <w:tcW w:w="0" w:type="auto"/>
            <w:tcBorders>
              <w:top w:val="nil"/>
              <w:left w:val="nil"/>
              <w:bottom w:val="nil"/>
              <w:right w:val="nil"/>
            </w:tcBorders>
            <w:shd w:val="clear" w:color="auto" w:fill="auto"/>
            <w:noWrap/>
            <w:vAlign w:val="center"/>
            <w:hideMark/>
          </w:tcPr>
          <w:p w14:paraId="5256581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w:t>
            </w:r>
          </w:p>
        </w:tc>
      </w:tr>
      <w:tr w:rsidR="00CB0A9A" w:rsidRPr="00CB0A9A" w14:paraId="4BEB293E" w14:textId="77777777" w:rsidTr="00CD6B59">
        <w:trPr>
          <w:trHeight w:val="278"/>
        </w:trPr>
        <w:tc>
          <w:tcPr>
            <w:tcW w:w="1492" w:type="dxa"/>
            <w:tcBorders>
              <w:top w:val="nil"/>
              <w:left w:val="nil"/>
              <w:bottom w:val="nil"/>
              <w:right w:val="nil"/>
            </w:tcBorders>
            <w:shd w:val="clear" w:color="auto" w:fill="auto"/>
            <w:noWrap/>
            <w:vAlign w:val="center"/>
            <w:hideMark/>
          </w:tcPr>
          <w:p w14:paraId="5586F918"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国际</w:t>
            </w:r>
            <w:r w:rsidRPr="00CB0A9A">
              <w:rPr>
                <w:rFonts w:ascii="Arial" w:eastAsia="等线" w:hAnsi="Arial" w:cs="Arial"/>
                <w:b/>
                <w:bCs/>
                <w:color w:val="0F243E"/>
                <w:kern w:val="0"/>
                <w:sz w:val="16"/>
                <w:szCs w:val="16"/>
                <w:lang w:eastAsia="zh-CN"/>
              </w:rPr>
              <w:t>(QDII)</w:t>
            </w:r>
            <w:r w:rsidRPr="00CB0A9A">
              <w:rPr>
                <w:rFonts w:ascii="Arial" w:eastAsia="等线" w:hAnsi="Arial" w:cs="Arial"/>
                <w:b/>
                <w:bCs/>
                <w:color w:val="0F243E"/>
                <w:kern w:val="0"/>
                <w:sz w:val="16"/>
                <w:szCs w:val="16"/>
                <w:lang w:eastAsia="zh-CN"/>
              </w:rPr>
              <w:t>基金</w:t>
            </w:r>
          </w:p>
        </w:tc>
        <w:tc>
          <w:tcPr>
            <w:tcW w:w="0" w:type="auto"/>
            <w:tcBorders>
              <w:top w:val="nil"/>
              <w:left w:val="nil"/>
              <w:bottom w:val="nil"/>
              <w:right w:val="nil"/>
            </w:tcBorders>
            <w:shd w:val="clear" w:color="auto" w:fill="auto"/>
            <w:noWrap/>
            <w:vAlign w:val="center"/>
            <w:hideMark/>
          </w:tcPr>
          <w:p w14:paraId="360EEC6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98</w:t>
            </w:r>
          </w:p>
        </w:tc>
        <w:tc>
          <w:tcPr>
            <w:tcW w:w="0" w:type="auto"/>
            <w:tcBorders>
              <w:top w:val="nil"/>
              <w:left w:val="nil"/>
              <w:bottom w:val="nil"/>
              <w:right w:val="nil"/>
            </w:tcBorders>
            <w:shd w:val="clear" w:color="auto" w:fill="auto"/>
            <w:noWrap/>
            <w:vAlign w:val="center"/>
            <w:hideMark/>
          </w:tcPr>
          <w:p w14:paraId="7591023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170</w:t>
            </w:r>
          </w:p>
        </w:tc>
        <w:tc>
          <w:tcPr>
            <w:tcW w:w="0" w:type="auto"/>
            <w:tcBorders>
              <w:top w:val="nil"/>
              <w:left w:val="nil"/>
              <w:bottom w:val="nil"/>
              <w:right w:val="nil"/>
            </w:tcBorders>
            <w:shd w:val="clear" w:color="auto" w:fill="auto"/>
            <w:noWrap/>
            <w:vAlign w:val="center"/>
            <w:hideMark/>
          </w:tcPr>
          <w:p w14:paraId="570ED20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37</w:t>
            </w:r>
          </w:p>
        </w:tc>
        <w:tc>
          <w:tcPr>
            <w:tcW w:w="0" w:type="auto"/>
            <w:tcBorders>
              <w:top w:val="nil"/>
              <w:left w:val="nil"/>
              <w:bottom w:val="nil"/>
              <w:right w:val="nil"/>
            </w:tcBorders>
            <w:shd w:val="clear" w:color="auto" w:fill="auto"/>
            <w:noWrap/>
            <w:vAlign w:val="center"/>
            <w:hideMark/>
          </w:tcPr>
          <w:p w14:paraId="6E9CD6B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w:t>
            </w:r>
          </w:p>
        </w:tc>
        <w:tc>
          <w:tcPr>
            <w:tcW w:w="0" w:type="auto"/>
            <w:tcBorders>
              <w:top w:val="nil"/>
              <w:left w:val="nil"/>
              <w:bottom w:val="nil"/>
              <w:right w:val="nil"/>
            </w:tcBorders>
            <w:shd w:val="clear" w:color="auto" w:fill="auto"/>
            <w:noWrap/>
            <w:vAlign w:val="center"/>
            <w:hideMark/>
          </w:tcPr>
          <w:p w14:paraId="11E6522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w:t>
            </w:r>
          </w:p>
        </w:tc>
      </w:tr>
      <w:tr w:rsidR="00CB0A9A" w:rsidRPr="00CB0A9A" w14:paraId="2902B967" w14:textId="77777777" w:rsidTr="00CD6B59">
        <w:trPr>
          <w:trHeight w:val="278"/>
        </w:trPr>
        <w:tc>
          <w:tcPr>
            <w:tcW w:w="1492" w:type="dxa"/>
            <w:tcBorders>
              <w:top w:val="nil"/>
              <w:left w:val="nil"/>
              <w:bottom w:val="nil"/>
              <w:right w:val="nil"/>
            </w:tcBorders>
            <w:shd w:val="clear" w:color="auto" w:fill="auto"/>
            <w:noWrap/>
            <w:vAlign w:val="center"/>
            <w:hideMark/>
          </w:tcPr>
          <w:p w14:paraId="1799FF6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混合型基金</w:t>
            </w:r>
          </w:p>
        </w:tc>
        <w:tc>
          <w:tcPr>
            <w:tcW w:w="0" w:type="auto"/>
            <w:tcBorders>
              <w:top w:val="nil"/>
              <w:left w:val="nil"/>
              <w:bottom w:val="nil"/>
              <w:right w:val="nil"/>
            </w:tcBorders>
            <w:shd w:val="clear" w:color="auto" w:fill="auto"/>
            <w:noWrap/>
            <w:vAlign w:val="center"/>
            <w:hideMark/>
          </w:tcPr>
          <w:p w14:paraId="09E7B7A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59</w:t>
            </w:r>
          </w:p>
        </w:tc>
        <w:tc>
          <w:tcPr>
            <w:tcW w:w="0" w:type="auto"/>
            <w:tcBorders>
              <w:top w:val="nil"/>
              <w:left w:val="nil"/>
              <w:bottom w:val="nil"/>
              <w:right w:val="nil"/>
            </w:tcBorders>
            <w:shd w:val="clear" w:color="auto" w:fill="auto"/>
            <w:noWrap/>
            <w:vAlign w:val="center"/>
            <w:hideMark/>
          </w:tcPr>
          <w:p w14:paraId="197D8C7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3378</w:t>
            </w:r>
          </w:p>
        </w:tc>
        <w:tc>
          <w:tcPr>
            <w:tcW w:w="0" w:type="auto"/>
            <w:tcBorders>
              <w:top w:val="nil"/>
              <w:left w:val="nil"/>
              <w:bottom w:val="nil"/>
              <w:right w:val="nil"/>
            </w:tcBorders>
            <w:shd w:val="clear" w:color="auto" w:fill="auto"/>
            <w:noWrap/>
            <w:vAlign w:val="center"/>
            <w:hideMark/>
          </w:tcPr>
          <w:p w14:paraId="0081677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1287</w:t>
            </w:r>
          </w:p>
        </w:tc>
        <w:tc>
          <w:tcPr>
            <w:tcW w:w="0" w:type="auto"/>
            <w:tcBorders>
              <w:top w:val="nil"/>
              <w:left w:val="nil"/>
              <w:bottom w:val="nil"/>
              <w:right w:val="nil"/>
            </w:tcBorders>
            <w:shd w:val="clear" w:color="auto" w:fill="auto"/>
            <w:noWrap/>
            <w:vAlign w:val="center"/>
            <w:hideMark/>
          </w:tcPr>
          <w:p w14:paraId="7F6A7A8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105</w:t>
            </w:r>
          </w:p>
        </w:tc>
        <w:tc>
          <w:tcPr>
            <w:tcW w:w="0" w:type="auto"/>
            <w:tcBorders>
              <w:top w:val="nil"/>
              <w:left w:val="nil"/>
              <w:bottom w:val="nil"/>
              <w:right w:val="nil"/>
            </w:tcBorders>
            <w:shd w:val="clear" w:color="auto" w:fill="auto"/>
            <w:noWrap/>
            <w:vAlign w:val="center"/>
            <w:hideMark/>
          </w:tcPr>
          <w:p w14:paraId="32EC298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w:t>
            </w:r>
          </w:p>
        </w:tc>
      </w:tr>
      <w:tr w:rsidR="00CB0A9A" w:rsidRPr="00CB0A9A" w14:paraId="66BEB223" w14:textId="77777777" w:rsidTr="00CD6B59">
        <w:trPr>
          <w:trHeight w:val="278"/>
        </w:trPr>
        <w:tc>
          <w:tcPr>
            <w:tcW w:w="1492" w:type="dxa"/>
            <w:tcBorders>
              <w:top w:val="nil"/>
              <w:left w:val="nil"/>
              <w:bottom w:val="nil"/>
              <w:right w:val="nil"/>
            </w:tcBorders>
            <w:shd w:val="clear" w:color="auto" w:fill="auto"/>
            <w:noWrap/>
            <w:vAlign w:val="center"/>
            <w:hideMark/>
          </w:tcPr>
          <w:p w14:paraId="688F5A3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另类投资基金</w:t>
            </w:r>
          </w:p>
        </w:tc>
        <w:tc>
          <w:tcPr>
            <w:tcW w:w="0" w:type="auto"/>
            <w:tcBorders>
              <w:top w:val="nil"/>
              <w:left w:val="nil"/>
              <w:bottom w:val="nil"/>
              <w:right w:val="nil"/>
            </w:tcBorders>
            <w:shd w:val="clear" w:color="auto" w:fill="auto"/>
            <w:noWrap/>
            <w:vAlign w:val="center"/>
            <w:hideMark/>
          </w:tcPr>
          <w:p w14:paraId="5E84D9D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39</w:t>
            </w:r>
          </w:p>
        </w:tc>
        <w:tc>
          <w:tcPr>
            <w:tcW w:w="0" w:type="auto"/>
            <w:tcBorders>
              <w:top w:val="nil"/>
              <w:left w:val="nil"/>
              <w:bottom w:val="nil"/>
              <w:right w:val="nil"/>
            </w:tcBorders>
            <w:shd w:val="clear" w:color="auto" w:fill="auto"/>
            <w:noWrap/>
            <w:vAlign w:val="center"/>
            <w:hideMark/>
          </w:tcPr>
          <w:p w14:paraId="29A6734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43</w:t>
            </w:r>
          </w:p>
        </w:tc>
        <w:tc>
          <w:tcPr>
            <w:tcW w:w="0" w:type="auto"/>
            <w:tcBorders>
              <w:top w:val="nil"/>
              <w:left w:val="nil"/>
              <w:bottom w:val="nil"/>
              <w:right w:val="nil"/>
            </w:tcBorders>
            <w:shd w:val="clear" w:color="auto" w:fill="auto"/>
            <w:noWrap/>
            <w:vAlign w:val="center"/>
            <w:hideMark/>
          </w:tcPr>
          <w:p w14:paraId="71A1915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5E5248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15A49A43"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74C8F3F3" w14:textId="77777777" w:rsidTr="00CD6B59">
        <w:trPr>
          <w:trHeight w:val="278"/>
        </w:trPr>
        <w:tc>
          <w:tcPr>
            <w:tcW w:w="1492" w:type="dxa"/>
            <w:tcBorders>
              <w:top w:val="nil"/>
              <w:left w:val="nil"/>
              <w:right w:val="nil"/>
            </w:tcBorders>
            <w:shd w:val="clear" w:color="auto" w:fill="auto"/>
            <w:noWrap/>
            <w:vAlign w:val="center"/>
            <w:hideMark/>
          </w:tcPr>
          <w:p w14:paraId="3CC4D29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债券型基金</w:t>
            </w:r>
          </w:p>
        </w:tc>
        <w:tc>
          <w:tcPr>
            <w:tcW w:w="0" w:type="auto"/>
            <w:tcBorders>
              <w:top w:val="nil"/>
              <w:left w:val="nil"/>
              <w:right w:val="nil"/>
            </w:tcBorders>
            <w:shd w:val="clear" w:color="auto" w:fill="auto"/>
            <w:noWrap/>
            <w:vAlign w:val="center"/>
            <w:hideMark/>
          </w:tcPr>
          <w:p w14:paraId="65CFB79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2109</w:t>
            </w:r>
          </w:p>
        </w:tc>
        <w:tc>
          <w:tcPr>
            <w:tcW w:w="0" w:type="auto"/>
            <w:tcBorders>
              <w:top w:val="nil"/>
              <w:left w:val="nil"/>
              <w:right w:val="nil"/>
            </w:tcBorders>
            <w:shd w:val="clear" w:color="auto" w:fill="auto"/>
            <w:noWrap/>
            <w:vAlign w:val="center"/>
            <w:hideMark/>
          </w:tcPr>
          <w:p w14:paraId="6CC2A8F7"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1503</w:t>
            </w:r>
          </w:p>
        </w:tc>
        <w:tc>
          <w:tcPr>
            <w:tcW w:w="0" w:type="auto"/>
            <w:tcBorders>
              <w:top w:val="nil"/>
              <w:left w:val="nil"/>
              <w:right w:val="nil"/>
            </w:tcBorders>
            <w:shd w:val="clear" w:color="auto" w:fill="auto"/>
            <w:noWrap/>
            <w:vAlign w:val="center"/>
            <w:hideMark/>
          </w:tcPr>
          <w:p w14:paraId="02D903C5"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152</w:t>
            </w:r>
          </w:p>
        </w:tc>
        <w:tc>
          <w:tcPr>
            <w:tcW w:w="0" w:type="auto"/>
            <w:tcBorders>
              <w:top w:val="nil"/>
              <w:left w:val="nil"/>
              <w:right w:val="nil"/>
            </w:tcBorders>
            <w:shd w:val="clear" w:color="auto" w:fill="auto"/>
            <w:noWrap/>
            <w:vAlign w:val="center"/>
            <w:hideMark/>
          </w:tcPr>
          <w:p w14:paraId="5A724FB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7</w:t>
            </w:r>
          </w:p>
        </w:tc>
        <w:tc>
          <w:tcPr>
            <w:tcW w:w="0" w:type="auto"/>
            <w:tcBorders>
              <w:top w:val="nil"/>
              <w:left w:val="nil"/>
              <w:right w:val="nil"/>
            </w:tcBorders>
            <w:shd w:val="clear" w:color="auto" w:fill="auto"/>
            <w:noWrap/>
            <w:vAlign w:val="center"/>
            <w:hideMark/>
          </w:tcPr>
          <w:p w14:paraId="6E6A082F"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5FF26285" w14:textId="77777777" w:rsidTr="00CD6B59">
        <w:trPr>
          <w:trHeight w:val="278"/>
        </w:trPr>
        <w:tc>
          <w:tcPr>
            <w:tcW w:w="1492" w:type="dxa"/>
            <w:tcBorders>
              <w:top w:val="nil"/>
              <w:left w:val="nil"/>
              <w:bottom w:val="single" w:sz="8" w:space="0" w:color="auto"/>
              <w:right w:val="nil"/>
            </w:tcBorders>
            <w:shd w:val="clear" w:color="auto" w:fill="auto"/>
            <w:noWrap/>
            <w:vAlign w:val="center"/>
            <w:hideMark/>
          </w:tcPr>
          <w:p w14:paraId="5C439B4D"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货币市场基金</w:t>
            </w:r>
          </w:p>
        </w:tc>
        <w:tc>
          <w:tcPr>
            <w:tcW w:w="0" w:type="auto"/>
            <w:tcBorders>
              <w:top w:val="nil"/>
              <w:left w:val="nil"/>
              <w:bottom w:val="single" w:sz="8" w:space="0" w:color="auto"/>
              <w:right w:val="nil"/>
            </w:tcBorders>
            <w:shd w:val="clear" w:color="auto" w:fill="auto"/>
            <w:noWrap/>
            <w:vAlign w:val="center"/>
            <w:hideMark/>
          </w:tcPr>
          <w:p w14:paraId="28A9B3B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693</w:t>
            </w:r>
          </w:p>
        </w:tc>
        <w:tc>
          <w:tcPr>
            <w:tcW w:w="0" w:type="auto"/>
            <w:tcBorders>
              <w:top w:val="nil"/>
              <w:left w:val="nil"/>
              <w:bottom w:val="single" w:sz="8" w:space="0" w:color="auto"/>
              <w:right w:val="nil"/>
            </w:tcBorders>
            <w:shd w:val="clear" w:color="auto" w:fill="auto"/>
            <w:noWrap/>
            <w:vAlign w:val="center"/>
            <w:hideMark/>
          </w:tcPr>
          <w:p w14:paraId="116025B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309278E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7E33FC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2B5B12F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D6B59" w:rsidRPr="00CB0A9A" w14:paraId="4F596C56" w14:textId="77777777" w:rsidTr="005038B6">
        <w:trPr>
          <w:trHeight w:val="278"/>
        </w:trPr>
        <w:tc>
          <w:tcPr>
            <w:tcW w:w="7761" w:type="dxa"/>
            <w:gridSpan w:val="6"/>
            <w:tcBorders>
              <w:top w:val="single" w:sz="8" w:space="0" w:color="auto"/>
              <w:left w:val="nil"/>
              <w:right w:val="nil"/>
            </w:tcBorders>
            <w:shd w:val="clear" w:color="auto" w:fill="auto"/>
            <w:noWrap/>
            <w:vAlign w:val="center"/>
          </w:tcPr>
          <w:p w14:paraId="7A2A99C1" w14:textId="0B5A994F" w:rsidR="00CD6B59" w:rsidRPr="00CB0A9A" w:rsidRDefault="00CD6B59" w:rsidP="00CD6B59">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5A805999" w14:textId="77777777" w:rsidR="006A42F8" w:rsidRPr="009A63B1" w:rsidRDefault="006A42F8" w:rsidP="002A05DF">
      <w:pPr>
        <w:pStyle w:val="ae"/>
        <w:spacing w:beforeLines="50" w:before="163" w:afterLines="50" w:after="163" w:line="252" w:lineRule="auto"/>
        <w:ind w:left="3017"/>
        <w:jc w:val="both"/>
        <w:rPr>
          <w:lang w:eastAsia="zh-CN"/>
        </w:rPr>
      </w:pPr>
    </w:p>
    <w:tbl>
      <w:tblPr>
        <w:tblW w:w="7802" w:type="dxa"/>
        <w:jc w:val="right"/>
        <w:tblLook w:val="04A0" w:firstRow="1" w:lastRow="0" w:firstColumn="1" w:lastColumn="0" w:noHBand="0" w:noVBand="1"/>
      </w:tblPr>
      <w:tblGrid>
        <w:gridCol w:w="1680"/>
        <w:gridCol w:w="5021"/>
        <w:gridCol w:w="81"/>
        <w:gridCol w:w="1020"/>
      </w:tblGrid>
      <w:tr w:rsidR="005A1F6F" w:rsidRPr="00F87E3A" w14:paraId="57208180" w14:textId="77777777" w:rsidTr="009A63B1">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7125EDCB" w14:textId="0768A4B4" w:rsidR="005A1F6F" w:rsidRPr="00F87E3A" w:rsidRDefault="005A1F6F" w:rsidP="005A1F6F">
            <w:pPr>
              <w:pStyle w:val="af0"/>
              <w:ind w:leftChars="-54" w:left="-130"/>
              <w:rPr>
                <w:rFonts w:ascii="楷体_GB2312" w:hAnsi="等线" w:cs="宋体"/>
                <w:b w:val="0"/>
                <w:bCs/>
                <w:sz w:val="16"/>
                <w:szCs w:val="16"/>
                <w:lang w:eastAsia="zh-CN"/>
              </w:rPr>
            </w:pPr>
            <w:bookmarkStart w:id="40" w:name="_Toc65799021"/>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2</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基金一级分类单一基准基金所选基准以及对应的基金数目</w:t>
            </w:r>
            <w:bookmarkEnd w:id="40"/>
          </w:p>
        </w:tc>
      </w:tr>
      <w:tr w:rsidR="009A63B1" w:rsidRPr="00F87E3A" w14:paraId="52F0A596" w14:textId="77777777" w:rsidTr="009A63B1">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91800B8"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单一基准基金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8E066FE"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tcBorders>
              <w:top w:val="single" w:sz="8" w:space="0" w:color="auto"/>
              <w:left w:val="nil"/>
              <w:bottom w:val="single" w:sz="8" w:space="0" w:color="000000"/>
              <w:right w:val="nil"/>
            </w:tcBorders>
            <w:shd w:val="clear" w:color="auto" w:fill="auto"/>
            <w:noWrap/>
            <w:vAlign w:val="center"/>
            <w:hideMark/>
          </w:tcPr>
          <w:p w14:paraId="73DBD112"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r>
      <w:tr w:rsidR="009A63B1" w:rsidRPr="00F87E3A" w14:paraId="561A19CC" w14:textId="77777777" w:rsidTr="009A63B1">
        <w:trPr>
          <w:trHeight w:val="278"/>
          <w:jc w:val="right"/>
        </w:trPr>
        <w:tc>
          <w:tcPr>
            <w:tcW w:w="1680" w:type="dxa"/>
            <w:vMerge w:val="restart"/>
            <w:tcBorders>
              <w:top w:val="nil"/>
              <w:left w:val="nil"/>
              <w:bottom w:val="nil"/>
              <w:right w:val="nil"/>
            </w:tcBorders>
            <w:shd w:val="clear" w:color="auto" w:fill="auto"/>
            <w:noWrap/>
            <w:vAlign w:val="center"/>
            <w:hideMark/>
          </w:tcPr>
          <w:p w14:paraId="750D43AE"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混合型基金</w:t>
            </w:r>
          </w:p>
        </w:tc>
        <w:tc>
          <w:tcPr>
            <w:tcW w:w="5102" w:type="dxa"/>
            <w:gridSpan w:val="2"/>
            <w:tcBorders>
              <w:top w:val="nil"/>
              <w:left w:val="nil"/>
              <w:bottom w:val="nil"/>
              <w:right w:val="nil"/>
            </w:tcBorders>
            <w:shd w:val="clear" w:color="auto" w:fill="auto"/>
            <w:noWrap/>
            <w:vAlign w:val="center"/>
            <w:hideMark/>
          </w:tcPr>
          <w:p w14:paraId="18EA62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金融机构人民币三年期定期存款基准利率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72CDA40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13</w:t>
            </w:r>
          </w:p>
        </w:tc>
      </w:tr>
      <w:tr w:rsidR="009A63B1" w:rsidRPr="00F87E3A" w14:paraId="672BDC8C" w14:textId="77777777" w:rsidTr="009A63B1">
        <w:trPr>
          <w:trHeight w:val="278"/>
          <w:jc w:val="right"/>
        </w:trPr>
        <w:tc>
          <w:tcPr>
            <w:tcW w:w="1680" w:type="dxa"/>
            <w:vMerge/>
            <w:tcBorders>
              <w:top w:val="nil"/>
              <w:left w:val="nil"/>
              <w:bottom w:val="nil"/>
              <w:right w:val="nil"/>
            </w:tcBorders>
            <w:vAlign w:val="center"/>
            <w:hideMark/>
          </w:tcPr>
          <w:p w14:paraId="425C9A2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591907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612DE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4A51DC13" w14:textId="77777777" w:rsidTr="009A63B1">
        <w:trPr>
          <w:trHeight w:val="278"/>
          <w:jc w:val="right"/>
        </w:trPr>
        <w:tc>
          <w:tcPr>
            <w:tcW w:w="1680" w:type="dxa"/>
            <w:vMerge/>
            <w:tcBorders>
              <w:top w:val="nil"/>
              <w:left w:val="nil"/>
              <w:bottom w:val="nil"/>
              <w:right w:val="nil"/>
            </w:tcBorders>
            <w:vAlign w:val="center"/>
            <w:hideMark/>
          </w:tcPr>
          <w:p w14:paraId="18B8E604"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85CE44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上证</w:t>
            </w:r>
            <w:r w:rsidRPr="00F87E3A">
              <w:rPr>
                <w:rFonts w:ascii="Arial" w:eastAsia="等线" w:hAnsi="Arial" w:cs="Arial"/>
                <w:b/>
                <w:bCs/>
                <w:color w:val="0F243E"/>
                <w:kern w:val="0"/>
                <w:sz w:val="16"/>
                <w:szCs w:val="16"/>
                <w:lang w:eastAsia="zh-CN"/>
              </w:rPr>
              <w:t>A</w:t>
            </w:r>
            <w:r w:rsidRPr="00F87E3A">
              <w:rPr>
                <w:rFonts w:ascii="Arial" w:eastAsia="等线" w:hAnsi="Arial" w:cs="Arial"/>
                <w:b/>
                <w:bCs/>
                <w:color w:val="0F243E"/>
                <w:kern w:val="0"/>
                <w:sz w:val="16"/>
                <w:szCs w:val="16"/>
                <w:lang w:eastAsia="zh-CN"/>
              </w:rPr>
              <w:t>股指数</w:t>
            </w:r>
          </w:p>
        </w:tc>
        <w:tc>
          <w:tcPr>
            <w:tcW w:w="1020" w:type="dxa"/>
            <w:tcBorders>
              <w:top w:val="nil"/>
              <w:left w:val="nil"/>
              <w:bottom w:val="nil"/>
              <w:right w:val="nil"/>
            </w:tcBorders>
            <w:shd w:val="clear" w:color="auto" w:fill="auto"/>
            <w:noWrap/>
            <w:vAlign w:val="center"/>
            <w:hideMark/>
          </w:tcPr>
          <w:p w14:paraId="6EAEFDF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4263D33" w14:textId="77777777" w:rsidTr="009A63B1">
        <w:trPr>
          <w:trHeight w:val="278"/>
          <w:jc w:val="right"/>
        </w:trPr>
        <w:tc>
          <w:tcPr>
            <w:tcW w:w="1680" w:type="dxa"/>
            <w:vMerge/>
            <w:tcBorders>
              <w:top w:val="nil"/>
              <w:left w:val="nil"/>
              <w:bottom w:val="nil"/>
              <w:right w:val="nil"/>
            </w:tcBorders>
            <w:vAlign w:val="center"/>
            <w:hideMark/>
          </w:tcPr>
          <w:p w14:paraId="41749BB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187B5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6%</w:t>
            </w:r>
          </w:p>
        </w:tc>
        <w:tc>
          <w:tcPr>
            <w:tcW w:w="1020" w:type="dxa"/>
            <w:tcBorders>
              <w:top w:val="nil"/>
              <w:left w:val="nil"/>
              <w:bottom w:val="nil"/>
              <w:right w:val="nil"/>
            </w:tcBorders>
            <w:shd w:val="clear" w:color="auto" w:fill="auto"/>
            <w:noWrap/>
            <w:vAlign w:val="center"/>
            <w:hideMark/>
          </w:tcPr>
          <w:p w14:paraId="3E58EA6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365419E8" w14:textId="77777777" w:rsidTr="009A63B1">
        <w:trPr>
          <w:trHeight w:val="278"/>
          <w:jc w:val="right"/>
        </w:trPr>
        <w:tc>
          <w:tcPr>
            <w:tcW w:w="1680" w:type="dxa"/>
            <w:vMerge/>
            <w:tcBorders>
              <w:top w:val="nil"/>
              <w:left w:val="nil"/>
              <w:bottom w:val="single" w:sz="4" w:space="0" w:color="auto"/>
              <w:right w:val="nil"/>
            </w:tcBorders>
            <w:vAlign w:val="center"/>
            <w:hideMark/>
          </w:tcPr>
          <w:p w14:paraId="7A06B30D"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E0FFEB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7%</w:t>
            </w:r>
          </w:p>
        </w:tc>
        <w:tc>
          <w:tcPr>
            <w:tcW w:w="1020" w:type="dxa"/>
            <w:tcBorders>
              <w:top w:val="nil"/>
              <w:left w:val="nil"/>
              <w:bottom w:val="single" w:sz="4" w:space="0" w:color="auto"/>
              <w:right w:val="nil"/>
            </w:tcBorders>
            <w:shd w:val="clear" w:color="auto" w:fill="auto"/>
            <w:noWrap/>
            <w:vAlign w:val="center"/>
            <w:hideMark/>
          </w:tcPr>
          <w:p w14:paraId="76ABC2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321774D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3729C0B"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6ED925C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中债综合指数收益率</w:t>
            </w:r>
          </w:p>
        </w:tc>
        <w:tc>
          <w:tcPr>
            <w:tcW w:w="1020" w:type="dxa"/>
            <w:tcBorders>
              <w:top w:val="single" w:sz="4" w:space="0" w:color="auto"/>
              <w:left w:val="nil"/>
              <w:bottom w:val="nil"/>
              <w:right w:val="nil"/>
            </w:tcBorders>
            <w:shd w:val="clear" w:color="auto" w:fill="auto"/>
            <w:noWrap/>
            <w:vAlign w:val="center"/>
            <w:hideMark/>
          </w:tcPr>
          <w:p w14:paraId="1B8AACE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277</w:t>
            </w:r>
          </w:p>
        </w:tc>
      </w:tr>
      <w:tr w:rsidR="009A63B1" w:rsidRPr="00F87E3A" w14:paraId="55E43B00" w14:textId="77777777" w:rsidTr="009A63B1">
        <w:trPr>
          <w:trHeight w:val="278"/>
          <w:jc w:val="right"/>
        </w:trPr>
        <w:tc>
          <w:tcPr>
            <w:tcW w:w="1680" w:type="dxa"/>
            <w:vMerge/>
            <w:tcBorders>
              <w:top w:val="nil"/>
              <w:left w:val="nil"/>
              <w:bottom w:val="nil"/>
              <w:right w:val="nil"/>
            </w:tcBorders>
            <w:vAlign w:val="center"/>
            <w:hideMark/>
          </w:tcPr>
          <w:p w14:paraId="48E9C63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667769"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总值</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34FFD6E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176</w:t>
            </w:r>
          </w:p>
        </w:tc>
      </w:tr>
      <w:tr w:rsidR="009A63B1" w:rsidRPr="00F87E3A" w14:paraId="2A8023E9" w14:textId="77777777" w:rsidTr="009A63B1">
        <w:trPr>
          <w:trHeight w:val="278"/>
          <w:jc w:val="right"/>
        </w:trPr>
        <w:tc>
          <w:tcPr>
            <w:tcW w:w="1680" w:type="dxa"/>
            <w:vMerge/>
            <w:tcBorders>
              <w:top w:val="nil"/>
              <w:left w:val="nil"/>
              <w:bottom w:val="nil"/>
              <w:right w:val="nil"/>
            </w:tcBorders>
            <w:vAlign w:val="center"/>
            <w:hideMark/>
          </w:tcPr>
          <w:p w14:paraId="2FB85C1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EB1F08A"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中证全债指数收益率</w:t>
            </w:r>
          </w:p>
        </w:tc>
        <w:tc>
          <w:tcPr>
            <w:tcW w:w="1020" w:type="dxa"/>
            <w:tcBorders>
              <w:top w:val="nil"/>
              <w:left w:val="nil"/>
              <w:bottom w:val="nil"/>
              <w:right w:val="nil"/>
            </w:tcBorders>
            <w:shd w:val="clear" w:color="auto" w:fill="auto"/>
            <w:noWrap/>
            <w:vAlign w:val="center"/>
            <w:hideMark/>
          </w:tcPr>
          <w:p w14:paraId="1B65C696"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210</w:t>
            </w:r>
          </w:p>
        </w:tc>
      </w:tr>
      <w:tr w:rsidR="009A63B1" w:rsidRPr="00F87E3A" w14:paraId="57C51947" w14:textId="77777777" w:rsidTr="009A63B1">
        <w:trPr>
          <w:trHeight w:val="278"/>
          <w:jc w:val="right"/>
        </w:trPr>
        <w:tc>
          <w:tcPr>
            <w:tcW w:w="1680" w:type="dxa"/>
            <w:vMerge/>
            <w:tcBorders>
              <w:top w:val="nil"/>
              <w:left w:val="nil"/>
              <w:bottom w:val="nil"/>
              <w:right w:val="nil"/>
            </w:tcBorders>
            <w:vAlign w:val="center"/>
            <w:hideMark/>
          </w:tcPr>
          <w:p w14:paraId="10EE7D0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407301"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中证综合债指数收益率</w:t>
            </w:r>
          </w:p>
        </w:tc>
        <w:tc>
          <w:tcPr>
            <w:tcW w:w="1020" w:type="dxa"/>
            <w:tcBorders>
              <w:top w:val="nil"/>
              <w:left w:val="nil"/>
              <w:bottom w:val="nil"/>
              <w:right w:val="nil"/>
            </w:tcBorders>
            <w:shd w:val="clear" w:color="auto" w:fill="auto"/>
            <w:noWrap/>
            <w:vAlign w:val="center"/>
            <w:hideMark/>
          </w:tcPr>
          <w:p w14:paraId="4B88BCF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140</w:t>
            </w:r>
          </w:p>
        </w:tc>
      </w:tr>
      <w:tr w:rsidR="009A63B1" w:rsidRPr="00F87E3A" w14:paraId="17E4C1F7" w14:textId="77777777" w:rsidTr="009A63B1">
        <w:trPr>
          <w:trHeight w:val="278"/>
          <w:jc w:val="right"/>
        </w:trPr>
        <w:tc>
          <w:tcPr>
            <w:tcW w:w="1680" w:type="dxa"/>
            <w:vMerge/>
            <w:tcBorders>
              <w:top w:val="nil"/>
              <w:left w:val="nil"/>
              <w:bottom w:val="single" w:sz="4" w:space="0" w:color="auto"/>
              <w:right w:val="nil"/>
            </w:tcBorders>
            <w:vAlign w:val="center"/>
            <w:hideMark/>
          </w:tcPr>
          <w:p w14:paraId="3F67ADA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77ED3D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中债综合全价指数收益率</w:t>
            </w:r>
          </w:p>
        </w:tc>
        <w:tc>
          <w:tcPr>
            <w:tcW w:w="1020" w:type="dxa"/>
            <w:tcBorders>
              <w:top w:val="nil"/>
              <w:left w:val="nil"/>
              <w:bottom w:val="single" w:sz="4" w:space="0" w:color="auto"/>
              <w:right w:val="nil"/>
            </w:tcBorders>
            <w:shd w:val="clear" w:color="auto" w:fill="auto"/>
            <w:noWrap/>
            <w:vAlign w:val="center"/>
            <w:hideMark/>
          </w:tcPr>
          <w:p w14:paraId="27919A9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125</w:t>
            </w:r>
          </w:p>
        </w:tc>
      </w:tr>
      <w:tr w:rsidR="009A63B1" w:rsidRPr="00F87E3A" w14:paraId="1FCA0BF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DF1E72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043E063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创业板指数收益率</w:t>
            </w:r>
          </w:p>
        </w:tc>
        <w:tc>
          <w:tcPr>
            <w:tcW w:w="1020" w:type="dxa"/>
            <w:tcBorders>
              <w:top w:val="single" w:sz="4" w:space="0" w:color="auto"/>
              <w:left w:val="nil"/>
              <w:bottom w:val="nil"/>
              <w:right w:val="nil"/>
            </w:tcBorders>
            <w:shd w:val="clear" w:color="auto" w:fill="auto"/>
            <w:noWrap/>
            <w:vAlign w:val="center"/>
            <w:hideMark/>
          </w:tcPr>
          <w:p w14:paraId="5A80F1D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w:t>
            </w:r>
          </w:p>
        </w:tc>
      </w:tr>
      <w:tr w:rsidR="009A63B1" w:rsidRPr="00F87E3A" w14:paraId="5540D64C" w14:textId="77777777" w:rsidTr="009A63B1">
        <w:trPr>
          <w:trHeight w:val="278"/>
          <w:jc w:val="right"/>
        </w:trPr>
        <w:tc>
          <w:tcPr>
            <w:tcW w:w="1680" w:type="dxa"/>
            <w:vMerge/>
            <w:tcBorders>
              <w:top w:val="nil"/>
              <w:left w:val="nil"/>
              <w:bottom w:val="nil"/>
              <w:right w:val="nil"/>
            </w:tcBorders>
            <w:vAlign w:val="center"/>
            <w:hideMark/>
          </w:tcPr>
          <w:p w14:paraId="2538B95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C2A756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沪深</w:t>
            </w:r>
            <w:r w:rsidRPr="00F87E3A">
              <w:rPr>
                <w:rFonts w:ascii="Arial" w:eastAsia="等线" w:hAnsi="Arial" w:cs="Arial"/>
                <w:b/>
                <w:bCs/>
                <w:color w:val="0F243E"/>
                <w:kern w:val="0"/>
                <w:sz w:val="16"/>
                <w:szCs w:val="16"/>
                <w:lang w:eastAsia="zh-CN"/>
              </w:rPr>
              <w:t>300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53E6B88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w:t>
            </w:r>
          </w:p>
        </w:tc>
      </w:tr>
      <w:tr w:rsidR="009A63B1" w:rsidRPr="00F87E3A" w14:paraId="3ABDBB48" w14:textId="77777777" w:rsidTr="009A63B1">
        <w:trPr>
          <w:trHeight w:val="278"/>
          <w:jc w:val="right"/>
        </w:trPr>
        <w:tc>
          <w:tcPr>
            <w:tcW w:w="1680" w:type="dxa"/>
            <w:vMerge/>
            <w:tcBorders>
              <w:top w:val="nil"/>
              <w:left w:val="nil"/>
              <w:bottom w:val="nil"/>
              <w:right w:val="nil"/>
            </w:tcBorders>
            <w:vAlign w:val="center"/>
            <w:hideMark/>
          </w:tcPr>
          <w:p w14:paraId="336A0C9C"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6727ED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w:t>
            </w:r>
            <w:r w:rsidRPr="00F87E3A">
              <w:rPr>
                <w:rFonts w:ascii="Arial" w:eastAsia="等线" w:hAnsi="Arial" w:cs="Arial"/>
                <w:b/>
                <w:bCs/>
                <w:color w:val="0F243E"/>
                <w:kern w:val="0"/>
                <w:sz w:val="16"/>
                <w:szCs w:val="16"/>
                <w:lang w:eastAsia="zh-CN"/>
              </w:rPr>
              <w:t>500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71789A2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19</w:t>
            </w:r>
          </w:p>
        </w:tc>
      </w:tr>
      <w:tr w:rsidR="009A63B1" w:rsidRPr="00F87E3A" w14:paraId="130C4A70" w14:textId="77777777" w:rsidTr="009A63B1">
        <w:trPr>
          <w:trHeight w:val="278"/>
          <w:jc w:val="right"/>
        </w:trPr>
        <w:tc>
          <w:tcPr>
            <w:tcW w:w="1680" w:type="dxa"/>
            <w:vMerge/>
            <w:tcBorders>
              <w:top w:val="nil"/>
              <w:left w:val="nil"/>
              <w:bottom w:val="nil"/>
              <w:right w:val="nil"/>
            </w:tcBorders>
            <w:vAlign w:val="center"/>
            <w:hideMark/>
          </w:tcPr>
          <w:p w14:paraId="1BC6842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C8EBE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中证银行指数收益率</w:t>
            </w:r>
          </w:p>
        </w:tc>
        <w:tc>
          <w:tcPr>
            <w:tcW w:w="1020" w:type="dxa"/>
            <w:tcBorders>
              <w:top w:val="nil"/>
              <w:left w:val="nil"/>
              <w:bottom w:val="nil"/>
              <w:right w:val="nil"/>
            </w:tcBorders>
            <w:shd w:val="clear" w:color="auto" w:fill="auto"/>
            <w:noWrap/>
            <w:vAlign w:val="center"/>
            <w:hideMark/>
          </w:tcPr>
          <w:p w14:paraId="1C0F53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30F72E8D" w14:textId="77777777" w:rsidTr="009A63B1">
        <w:trPr>
          <w:trHeight w:val="278"/>
          <w:jc w:val="right"/>
        </w:trPr>
        <w:tc>
          <w:tcPr>
            <w:tcW w:w="1680" w:type="dxa"/>
            <w:vMerge/>
            <w:tcBorders>
              <w:top w:val="nil"/>
              <w:left w:val="nil"/>
              <w:bottom w:val="single" w:sz="4" w:space="0" w:color="auto"/>
              <w:right w:val="nil"/>
            </w:tcBorders>
            <w:vAlign w:val="center"/>
            <w:hideMark/>
          </w:tcPr>
          <w:p w14:paraId="599056D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15F8F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中证光伏产业指数收益率</w:t>
            </w:r>
          </w:p>
        </w:tc>
        <w:tc>
          <w:tcPr>
            <w:tcW w:w="1020" w:type="dxa"/>
            <w:tcBorders>
              <w:top w:val="nil"/>
              <w:left w:val="nil"/>
              <w:bottom w:val="single" w:sz="4" w:space="0" w:color="auto"/>
              <w:right w:val="nil"/>
            </w:tcBorders>
            <w:shd w:val="clear" w:color="auto" w:fill="auto"/>
            <w:noWrap/>
            <w:vAlign w:val="center"/>
            <w:hideMark/>
          </w:tcPr>
          <w:p w14:paraId="1A14F4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52D6AA63"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5C1A2D4"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货币市场型基金</w:t>
            </w:r>
          </w:p>
        </w:tc>
        <w:tc>
          <w:tcPr>
            <w:tcW w:w="5102" w:type="dxa"/>
            <w:gridSpan w:val="2"/>
            <w:tcBorders>
              <w:top w:val="single" w:sz="4" w:space="0" w:color="auto"/>
              <w:left w:val="nil"/>
              <w:bottom w:val="nil"/>
              <w:right w:val="nil"/>
            </w:tcBorders>
            <w:shd w:val="clear" w:color="auto" w:fill="auto"/>
            <w:noWrap/>
            <w:vAlign w:val="center"/>
            <w:hideMark/>
          </w:tcPr>
          <w:p w14:paraId="40905D0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活期存款利率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7D4ECB35"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292</w:t>
            </w:r>
          </w:p>
        </w:tc>
      </w:tr>
      <w:tr w:rsidR="009A63B1" w:rsidRPr="00F87E3A" w14:paraId="516DECCF" w14:textId="77777777" w:rsidTr="009A63B1">
        <w:trPr>
          <w:trHeight w:val="278"/>
          <w:jc w:val="right"/>
        </w:trPr>
        <w:tc>
          <w:tcPr>
            <w:tcW w:w="1680" w:type="dxa"/>
            <w:vMerge/>
            <w:tcBorders>
              <w:top w:val="nil"/>
              <w:left w:val="nil"/>
              <w:bottom w:val="nil"/>
              <w:right w:val="nil"/>
            </w:tcBorders>
            <w:vAlign w:val="center"/>
            <w:hideMark/>
          </w:tcPr>
          <w:p w14:paraId="105374C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B4B855"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同期七天通知存款利率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10893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331</w:t>
            </w:r>
          </w:p>
        </w:tc>
      </w:tr>
      <w:tr w:rsidR="009A63B1" w:rsidRPr="00F87E3A" w14:paraId="1A474D4E" w14:textId="77777777" w:rsidTr="009A63B1">
        <w:trPr>
          <w:trHeight w:val="278"/>
          <w:jc w:val="right"/>
        </w:trPr>
        <w:tc>
          <w:tcPr>
            <w:tcW w:w="1680" w:type="dxa"/>
            <w:vMerge/>
            <w:tcBorders>
              <w:top w:val="nil"/>
              <w:left w:val="nil"/>
              <w:bottom w:val="nil"/>
              <w:right w:val="nil"/>
            </w:tcBorders>
            <w:vAlign w:val="center"/>
            <w:hideMark/>
          </w:tcPr>
          <w:p w14:paraId="0122A09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7756B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054745A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8</w:t>
            </w:r>
          </w:p>
        </w:tc>
      </w:tr>
      <w:tr w:rsidR="009A63B1" w:rsidRPr="00F87E3A" w14:paraId="6A96AABD" w14:textId="77777777" w:rsidTr="009A63B1">
        <w:trPr>
          <w:trHeight w:val="278"/>
          <w:jc w:val="right"/>
        </w:trPr>
        <w:tc>
          <w:tcPr>
            <w:tcW w:w="1680" w:type="dxa"/>
            <w:vMerge/>
            <w:tcBorders>
              <w:top w:val="nil"/>
              <w:left w:val="nil"/>
              <w:bottom w:val="nil"/>
              <w:right w:val="nil"/>
            </w:tcBorders>
            <w:vAlign w:val="center"/>
            <w:hideMark/>
          </w:tcPr>
          <w:p w14:paraId="3C6D6551"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D4AA8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六个月银行定期存款利率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389FEE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29CD03CA" w14:textId="77777777" w:rsidTr="009A63B1">
        <w:trPr>
          <w:trHeight w:val="278"/>
          <w:jc w:val="right"/>
        </w:trPr>
        <w:tc>
          <w:tcPr>
            <w:tcW w:w="1680" w:type="dxa"/>
            <w:vMerge/>
            <w:tcBorders>
              <w:top w:val="nil"/>
              <w:left w:val="nil"/>
              <w:bottom w:val="single" w:sz="4" w:space="0" w:color="auto"/>
              <w:right w:val="nil"/>
            </w:tcBorders>
            <w:vAlign w:val="center"/>
            <w:hideMark/>
          </w:tcPr>
          <w:p w14:paraId="31210BF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BD4235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金融机构人民币活期存款基准利率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4" w:space="0" w:color="auto"/>
              <w:right w:val="nil"/>
            </w:tcBorders>
            <w:shd w:val="clear" w:color="auto" w:fill="auto"/>
            <w:noWrap/>
            <w:vAlign w:val="center"/>
            <w:hideMark/>
          </w:tcPr>
          <w:p w14:paraId="745CDE6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099A04E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917254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国际</w:t>
            </w:r>
            <w:r w:rsidRPr="00F87E3A">
              <w:rPr>
                <w:rFonts w:ascii="Arial" w:eastAsia="等线" w:hAnsi="Arial" w:cs="Arial"/>
                <w:b/>
                <w:bCs/>
                <w:color w:val="0F243E"/>
                <w:kern w:val="0"/>
                <w:sz w:val="16"/>
                <w:szCs w:val="16"/>
                <w:lang w:eastAsia="zh-CN"/>
              </w:rPr>
              <w:t>(QDII)</w:t>
            </w:r>
            <w:r w:rsidRPr="00F87E3A">
              <w:rPr>
                <w:rFonts w:ascii="Arial" w:eastAsia="等线" w:hAnsi="Arial" w:cs="Arial"/>
                <w:b/>
                <w:bCs/>
                <w:color w:val="0F243E"/>
                <w:kern w:val="0"/>
                <w:sz w:val="16"/>
                <w:szCs w:val="16"/>
                <w:lang w:eastAsia="zh-CN"/>
              </w:rPr>
              <w:t>基金</w:t>
            </w:r>
          </w:p>
        </w:tc>
        <w:tc>
          <w:tcPr>
            <w:tcW w:w="5102" w:type="dxa"/>
            <w:gridSpan w:val="2"/>
            <w:tcBorders>
              <w:top w:val="single" w:sz="4" w:space="0" w:color="auto"/>
              <w:left w:val="nil"/>
              <w:bottom w:val="nil"/>
              <w:right w:val="nil"/>
            </w:tcBorders>
            <w:shd w:val="clear" w:color="auto" w:fill="auto"/>
            <w:noWrap/>
            <w:vAlign w:val="center"/>
            <w:hideMark/>
          </w:tcPr>
          <w:p w14:paraId="47FE57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同期人民币三年期定期存款利率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0373B95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2C3C8E76" w14:textId="77777777" w:rsidTr="009A63B1">
        <w:trPr>
          <w:trHeight w:val="278"/>
          <w:jc w:val="right"/>
        </w:trPr>
        <w:tc>
          <w:tcPr>
            <w:tcW w:w="1680" w:type="dxa"/>
            <w:vMerge/>
            <w:tcBorders>
              <w:top w:val="nil"/>
              <w:left w:val="nil"/>
              <w:bottom w:val="nil"/>
              <w:right w:val="nil"/>
            </w:tcBorders>
            <w:vAlign w:val="center"/>
            <w:hideMark/>
          </w:tcPr>
          <w:p w14:paraId="74BA60D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D21F2EC" w14:textId="30A6398C"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彭博巴克莱短期美元综合债券指数收益率</w:t>
            </w:r>
          </w:p>
        </w:tc>
        <w:tc>
          <w:tcPr>
            <w:tcW w:w="1020" w:type="dxa"/>
            <w:tcBorders>
              <w:top w:val="nil"/>
              <w:left w:val="nil"/>
              <w:bottom w:val="nil"/>
              <w:right w:val="nil"/>
            </w:tcBorders>
            <w:shd w:val="clear" w:color="auto" w:fill="auto"/>
            <w:noWrap/>
            <w:vAlign w:val="center"/>
            <w:hideMark/>
          </w:tcPr>
          <w:p w14:paraId="0A7100E9"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3800AE2" w14:textId="77777777" w:rsidTr="009A63B1">
        <w:trPr>
          <w:trHeight w:val="278"/>
          <w:jc w:val="right"/>
        </w:trPr>
        <w:tc>
          <w:tcPr>
            <w:tcW w:w="1680" w:type="dxa"/>
            <w:vMerge/>
            <w:tcBorders>
              <w:top w:val="nil"/>
              <w:left w:val="nil"/>
              <w:bottom w:val="nil"/>
              <w:right w:val="nil"/>
            </w:tcBorders>
            <w:vAlign w:val="center"/>
            <w:hideMark/>
          </w:tcPr>
          <w:p w14:paraId="2A3217F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ECE2310"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标普高盛原油商品指数</w:t>
            </w:r>
            <w:r w:rsidRPr="00F87E3A">
              <w:rPr>
                <w:rFonts w:ascii="Arial" w:eastAsia="等线" w:hAnsi="Arial" w:cs="Arial"/>
                <w:b/>
                <w:bCs/>
                <w:color w:val="0F243E"/>
                <w:kern w:val="0"/>
                <w:sz w:val="16"/>
                <w:szCs w:val="16"/>
                <w:lang w:eastAsia="zh-CN"/>
              </w:rPr>
              <w:t>(S&amp;P GSCI Crude Oil Index ER)</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25240FD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29CA2C11" w14:textId="77777777" w:rsidTr="009A63B1">
        <w:trPr>
          <w:trHeight w:val="278"/>
          <w:jc w:val="right"/>
        </w:trPr>
        <w:tc>
          <w:tcPr>
            <w:tcW w:w="1680" w:type="dxa"/>
            <w:vMerge/>
            <w:tcBorders>
              <w:top w:val="nil"/>
              <w:left w:val="nil"/>
              <w:bottom w:val="nil"/>
              <w:right w:val="nil"/>
            </w:tcBorders>
            <w:vAlign w:val="center"/>
            <w:hideMark/>
          </w:tcPr>
          <w:p w14:paraId="122E7C4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61C91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人民币计价的纳斯达克</w:t>
            </w:r>
            <w:r w:rsidRPr="00F87E3A">
              <w:rPr>
                <w:rFonts w:ascii="Arial" w:eastAsia="等线" w:hAnsi="Arial" w:cs="Arial"/>
                <w:b/>
                <w:bCs/>
                <w:color w:val="0F243E"/>
                <w:kern w:val="0"/>
                <w:sz w:val="16"/>
                <w:szCs w:val="16"/>
                <w:lang w:eastAsia="zh-CN"/>
              </w:rPr>
              <w:t>100</w:t>
            </w:r>
            <w:r w:rsidRPr="00F87E3A">
              <w:rPr>
                <w:rFonts w:ascii="Arial" w:eastAsia="等线" w:hAnsi="Arial" w:cs="Arial"/>
                <w:b/>
                <w:bCs/>
                <w:color w:val="0F243E"/>
                <w:kern w:val="0"/>
                <w:sz w:val="16"/>
                <w:szCs w:val="16"/>
                <w:lang w:eastAsia="zh-CN"/>
              </w:rPr>
              <w:t>总收益指数收益率</w:t>
            </w:r>
          </w:p>
        </w:tc>
        <w:tc>
          <w:tcPr>
            <w:tcW w:w="1020" w:type="dxa"/>
            <w:tcBorders>
              <w:top w:val="nil"/>
              <w:left w:val="nil"/>
              <w:bottom w:val="nil"/>
              <w:right w:val="nil"/>
            </w:tcBorders>
            <w:shd w:val="clear" w:color="auto" w:fill="auto"/>
            <w:noWrap/>
            <w:vAlign w:val="center"/>
            <w:hideMark/>
          </w:tcPr>
          <w:p w14:paraId="6E6B69E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F6B5C4F" w14:textId="77777777" w:rsidTr="009A63B1">
        <w:trPr>
          <w:trHeight w:val="278"/>
          <w:jc w:val="right"/>
        </w:trPr>
        <w:tc>
          <w:tcPr>
            <w:tcW w:w="1680" w:type="dxa"/>
            <w:vMerge/>
            <w:tcBorders>
              <w:top w:val="nil"/>
              <w:left w:val="nil"/>
              <w:bottom w:val="single" w:sz="4" w:space="0" w:color="auto"/>
              <w:right w:val="nil"/>
            </w:tcBorders>
            <w:vAlign w:val="center"/>
            <w:hideMark/>
          </w:tcPr>
          <w:p w14:paraId="4C0952BB"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CB79F8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w:t>
            </w:r>
            <w:r w:rsidRPr="00F87E3A">
              <w:rPr>
                <w:rFonts w:ascii="Arial" w:eastAsia="等线" w:hAnsi="Arial" w:cs="Arial"/>
                <w:b/>
                <w:bCs/>
                <w:color w:val="0F243E"/>
                <w:kern w:val="0"/>
                <w:sz w:val="16"/>
                <w:szCs w:val="16"/>
                <w:lang w:eastAsia="zh-CN"/>
              </w:rPr>
              <w:t>MSCI</w:t>
            </w:r>
            <w:r w:rsidRPr="00F87E3A">
              <w:rPr>
                <w:rFonts w:ascii="Arial" w:eastAsia="等线" w:hAnsi="Arial" w:cs="Arial"/>
                <w:b/>
                <w:bCs/>
                <w:color w:val="0F243E"/>
                <w:kern w:val="0"/>
                <w:sz w:val="16"/>
                <w:szCs w:val="16"/>
                <w:lang w:eastAsia="zh-CN"/>
              </w:rPr>
              <w:t>美国</w:t>
            </w:r>
            <w:r w:rsidRPr="00F87E3A">
              <w:rPr>
                <w:rFonts w:ascii="Arial" w:eastAsia="等线" w:hAnsi="Arial" w:cs="Arial"/>
                <w:b/>
                <w:bCs/>
                <w:color w:val="0F243E"/>
                <w:kern w:val="0"/>
                <w:sz w:val="16"/>
                <w:szCs w:val="16"/>
                <w:lang w:eastAsia="zh-CN"/>
              </w:rPr>
              <w:t>REIT</w:t>
            </w:r>
            <w:r w:rsidRPr="00F87E3A">
              <w:rPr>
                <w:rFonts w:ascii="Arial" w:eastAsia="等线" w:hAnsi="Arial" w:cs="Arial"/>
                <w:b/>
                <w:bCs/>
                <w:color w:val="0F243E"/>
                <w:kern w:val="0"/>
                <w:sz w:val="16"/>
                <w:szCs w:val="16"/>
                <w:lang w:eastAsia="zh-CN"/>
              </w:rPr>
              <w:t>净总收益指数</w:t>
            </w:r>
            <w:r w:rsidRPr="00F87E3A">
              <w:rPr>
                <w:rFonts w:ascii="Arial" w:eastAsia="等线" w:hAnsi="Arial" w:cs="Arial"/>
                <w:b/>
                <w:bCs/>
                <w:color w:val="0F243E"/>
                <w:kern w:val="0"/>
                <w:sz w:val="16"/>
                <w:szCs w:val="16"/>
                <w:lang w:eastAsia="zh-CN"/>
              </w:rPr>
              <w:t>(MSCI US REIT Net Daily Total Return Index)</w:t>
            </w:r>
          </w:p>
        </w:tc>
        <w:tc>
          <w:tcPr>
            <w:tcW w:w="1020" w:type="dxa"/>
            <w:tcBorders>
              <w:top w:val="nil"/>
              <w:left w:val="nil"/>
              <w:bottom w:val="single" w:sz="4" w:space="0" w:color="auto"/>
              <w:right w:val="nil"/>
            </w:tcBorders>
            <w:shd w:val="clear" w:color="auto" w:fill="auto"/>
            <w:noWrap/>
            <w:vAlign w:val="center"/>
            <w:hideMark/>
          </w:tcPr>
          <w:p w14:paraId="4B6F145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3FBD115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4C150B0"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74151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3FEE9AFF"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5248FD82" w14:textId="77777777" w:rsidTr="009A63B1">
        <w:trPr>
          <w:trHeight w:val="278"/>
          <w:jc w:val="right"/>
        </w:trPr>
        <w:tc>
          <w:tcPr>
            <w:tcW w:w="1680" w:type="dxa"/>
            <w:vMerge/>
            <w:tcBorders>
              <w:top w:val="nil"/>
              <w:left w:val="nil"/>
              <w:bottom w:val="nil"/>
              <w:right w:val="nil"/>
            </w:tcBorders>
            <w:vAlign w:val="center"/>
            <w:hideMark/>
          </w:tcPr>
          <w:p w14:paraId="534DFA6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18B770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黄金现货实盘合约</w:t>
            </w:r>
            <w:r w:rsidRPr="00F87E3A">
              <w:rPr>
                <w:rFonts w:ascii="Arial" w:eastAsia="等线" w:hAnsi="Arial" w:cs="Arial"/>
                <w:b/>
                <w:bCs/>
                <w:color w:val="0F243E"/>
                <w:kern w:val="0"/>
                <w:sz w:val="16"/>
                <w:szCs w:val="16"/>
                <w:lang w:eastAsia="zh-CN"/>
              </w:rPr>
              <w:t>AU99.99</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0E61A02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0585ADDD" w14:textId="77777777" w:rsidTr="009A63B1">
        <w:trPr>
          <w:trHeight w:val="278"/>
          <w:jc w:val="right"/>
        </w:trPr>
        <w:tc>
          <w:tcPr>
            <w:tcW w:w="1680" w:type="dxa"/>
            <w:vMerge/>
            <w:tcBorders>
              <w:top w:val="nil"/>
              <w:left w:val="nil"/>
              <w:bottom w:val="nil"/>
              <w:right w:val="nil"/>
            </w:tcBorders>
            <w:vAlign w:val="center"/>
            <w:hideMark/>
          </w:tcPr>
          <w:p w14:paraId="5532572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746D88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上海黄金交易所上海金集中定价合约</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合约代码</w:t>
            </w:r>
            <w:r w:rsidRPr="00F87E3A">
              <w:rPr>
                <w:rFonts w:ascii="Arial" w:eastAsia="等线" w:hAnsi="Arial" w:cs="Arial"/>
                <w:b/>
                <w:bCs/>
                <w:color w:val="0F243E"/>
                <w:kern w:val="0"/>
                <w:sz w:val="16"/>
                <w:szCs w:val="16"/>
                <w:lang w:eastAsia="zh-CN"/>
              </w:rPr>
              <w:t>:SHAU)</w:t>
            </w:r>
            <w:r w:rsidRPr="00F87E3A">
              <w:rPr>
                <w:rFonts w:ascii="Arial" w:eastAsia="等线" w:hAnsi="Arial" w:cs="Arial"/>
                <w:b/>
                <w:bCs/>
                <w:color w:val="0F243E"/>
                <w:kern w:val="0"/>
                <w:sz w:val="16"/>
                <w:szCs w:val="16"/>
                <w:lang w:eastAsia="zh-CN"/>
              </w:rPr>
              <w:t>午盘基准价格收益率</w:t>
            </w:r>
          </w:p>
        </w:tc>
        <w:tc>
          <w:tcPr>
            <w:tcW w:w="1020" w:type="dxa"/>
            <w:tcBorders>
              <w:top w:val="nil"/>
              <w:left w:val="nil"/>
              <w:bottom w:val="nil"/>
              <w:right w:val="nil"/>
            </w:tcBorders>
            <w:shd w:val="clear" w:color="auto" w:fill="auto"/>
            <w:noWrap/>
            <w:vAlign w:val="center"/>
            <w:hideMark/>
          </w:tcPr>
          <w:p w14:paraId="43ED669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533CACE9" w14:textId="77777777" w:rsidTr="009A63B1">
        <w:trPr>
          <w:trHeight w:val="278"/>
          <w:jc w:val="right"/>
        </w:trPr>
        <w:tc>
          <w:tcPr>
            <w:tcW w:w="1680" w:type="dxa"/>
            <w:vMerge/>
            <w:tcBorders>
              <w:top w:val="nil"/>
              <w:left w:val="nil"/>
              <w:bottom w:val="nil"/>
              <w:right w:val="nil"/>
            </w:tcBorders>
            <w:vAlign w:val="center"/>
            <w:hideMark/>
          </w:tcPr>
          <w:p w14:paraId="746BA63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0D374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1</w:t>
            </w:r>
            <w:r w:rsidRPr="00F87E3A">
              <w:rPr>
                <w:rFonts w:ascii="Arial" w:eastAsia="等线" w:hAnsi="Arial" w:cs="Arial"/>
                <w:b/>
                <w:bCs/>
                <w:color w:val="0F243E"/>
                <w:kern w:val="0"/>
                <w:sz w:val="16"/>
                <w:szCs w:val="16"/>
                <w:lang w:eastAsia="zh-CN"/>
              </w:rPr>
              <w:t>年期银行定期存款收益率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2B255BB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9A63B1" w:rsidRPr="00F87E3A" w14:paraId="22A16B00" w14:textId="77777777" w:rsidTr="00F06B29">
        <w:trPr>
          <w:trHeight w:val="278"/>
          <w:jc w:val="right"/>
        </w:trPr>
        <w:tc>
          <w:tcPr>
            <w:tcW w:w="1680" w:type="dxa"/>
            <w:vMerge/>
            <w:tcBorders>
              <w:top w:val="nil"/>
              <w:left w:val="nil"/>
              <w:bottom w:val="single" w:sz="8" w:space="0" w:color="auto"/>
              <w:right w:val="nil"/>
            </w:tcBorders>
            <w:vAlign w:val="center"/>
            <w:hideMark/>
          </w:tcPr>
          <w:p w14:paraId="59C2454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8" w:space="0" w:color="auto"/>
              <w:right w:val="nil"/>
            </w:tcBorders>
            <w:shd w:val="clear" w:color="auto" w:fill="auto"/>
            <w:noWrap/>
            <w:vAlign w:val="center"/>
            <w:hideMark/>
          </w:tcPr>
          <w:p w14:paraId="0CE89E7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8" w:space="0" w:color="auto"/>
              <w:right w:val="nil"/>
            </w:tcBorders>
            <w:shd w:val="clear" w:color="auto" w:fill="auto"/>
            <w:noWrap/>
            <w:vAlign w:val="center"/>
            <w:hideMark/>
          </w:tcPr>
          <w:p w14:paraId="5313333C"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F06B29" w:rsidRPr="00F87E3A" w14:paraId="1EDC6A83" w14:textId="77777777" w:rsidTr="00D01B9E">
        <w:trPr>
          <w:trHeight w:val="278"/>
          <w:jc w:val="right"/>
        </w:trPr>
        <w:tc>
          <w:tcPr>
            <w:tcW w:w="7802" w:type="dxa"/>
            <w:gridSpan w:val="4"/>
            <w:tcBorders>
              <w:top w:val="single" w:sz="8" w:space="0" w:color="auto"/>
              <w:left w:val="nil"/>
              <w:right w:val="nil"/>
            </w:tcBorders>
            <w:vAlign w:val="center"/>
          </w:tcPr>
          <w:p w14:paraId="0DAF7306" w14:textId="2B625142" w:rsidR="00F06B29" w:rsidRPr="00F87E3A" w:rsidRDefault="00EF2613" w:rsidP="00EF2613">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7BBDF2E8" w14:textId="7777777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71E696BA" w14:textId="4E54F65B" w:rsidTr="00EF2613">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6D8712BC" w14:textId="7B6F40F7" w:rsidR="00EF2613" w:rsidRPr="00F87E3A" w:rsidRDefault="00EF2613" w:rsidP="00D01B9E">
            <w:pPr>
              <w:pStyle w:val="af0"/>
              <w:ind w:leftChars="-54" w:left="-130"/>
              <w:rPr>
                <w:rFonts w:ascii="楷体_GB2312" w:hAnsi="等线" w:cs="宋体"/>
                <w:b w:val="0"/>
                <w:bCs/>
                <w:sz w:val="16"/>
                <w:szCs w:val="16"/>
                <w:lang w:eastAsia="zh-CN"/>
              </w:rPr>
            </w:pPr>
            <w:bookmarkStart w:id="41" w:name="_Toc65799022"/>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3</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基金一级分类双基准基金所选基准以及对应的基金数目</w:t>
            </w:r>
            <w:bookmarkEnd w:id="41"/>
          </w:p>
        </w:tc>
        <w:tc>
          <w:tcPr>
            <w:tcW w:w="1020" w:type="dxa"/>
            <w:gridSpan w:val="2"/>
            <w:tcBorders>
              <w:left w:val="nil"/>
              <w:bottom w:val="single" w:sz="8" w:space="0" w:color="000000"/>
              <w:right w:val="nil"/>
            </w:tcBorders>
          </w:tcPr>
          <w:p w14:paraId="2C7BE3D1" w14:textId="77777777" w:rsidR="00EF2613" w:rsidRPr="00941673" w:rsidRDefault="00EF2613" w:rsidP="00D01B9E">
            <w:pPr>
              <w:pStyle w:val="af0"/>
              <w:ind w:leftChars="-54" w:left="-130"/>
              <w:rPr>
                <w:lang w:eastAsia="zh-CN"/>
              </w:rPr>
            </w:pPr>
          </w:p>
        </w:tc>
      </w:tr>
      <w:tr w:rsidR="00EF2613" w:rsidRPr="00F87E3A" w14:paraId="784AD2D5" w14:textId="27DFA2D7" w:rsidTr="00EF2613">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36315515" w14:textId="1C9A1984"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双</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D99D5A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31A73FE4"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4976EABF" w14:textId="29420F93"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18E75DBA" w14:textId="721876A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98740BE" w14:textId="692D266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04CBB389" w14:textId="4EAA739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15B34193" w14:textId="0D27F59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253</w:t>
            </w:r>
          </w:p>
        </w:tc>
        <w:tc>
          <w:tcPr>
            <w:tcW w:w="1020" w:type="dxa"/>
            <w:tcBorders>
              <w:top w:val="nil"/>
              <w:left w:val="nil"/>
              <w:bottom w:val="nil"/>
              <w:right w:val="nil"/>
            </w:tcBorders>
            <w:vAlign w:val="center"/>
          </w:tcPr>
          <w:p w14:paraId="2F8CD9A2" w14:textId="510529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11.87%</w:t>
            </w:r>
          </w:p>
        </w:tc>
      </w:tr>
      <w:tr w:rsidR="00EF2613" w:rsidRPr="00F87E3A" w14:paraId="1333130B" w14:textId="4985E428" w:rsidTr="00D01B9E">
        <w:trPr>
          <w:trHeight w:val="278"/>
          <w:jc w:val="right"/>
        </w:trPr>
        <w:tc>
          <w:tcPr>
            <w:tcW w:w="1680" w:type="dxa"/>
            <w:vMerge/>
            <w:tcBorders>
              <w:top w:val="nil"/>
              <w:left w:val="nil"/>
              <w:bottom w:val="nil"/>
              <w:right w:val="nil"/>
            </w:tcBorders>
            <w:vAlign w:val="center"/>
            <w:hideMark/>
          </w:tcPr>
          <w:p w14:paraId="7F035A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EACED02" w14:textId="6CB415E6"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0B0D2AE4" w14:textId="7EB57F1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227</w:t>
            </w:r>
          </w:p>
        </w:tc>
        <w:tc>
          <w:tcPr>
            <w:tcW w:w="1020" w:type="dxa"/>
            <w:tcBorders>
              <w:top w:val="nil"/>
              <w:left w:val="nil"/>
              <w:bottom w:val="nil"/>
              <w:right w:val="nil"/>
            </w:tcBorders>
            <w:vAlign w:val="center"/>
          </w:tcPr>
          <w:p w14:paraId="308EB73C" w14:textId="13DAB3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6.28%</w:t>
            </w:r>
          </w:p>
        </w:tc>
      </w:tr>
      <w:tr w:rsidR="00EF2613" w:rsidRPr="00F87E3A" w14:paraId="4A9C2811" w14:textId="6E18576E" w:rsidTr="00D01B9E">
        <w:trPr>
          <w:trHeight w:val="278"/>
          <w:jc w:val="right"/>
        </w:trPr>
        <w:tc>
          <w:tcPr>
            <w:tcW w:w="1680" w:type="dxa"/>
            <w:vMerge/>
            <w:tcBorders>
              <w:top w:val="nil"/>
              <w:left w:val="nil"/>
              <w:bottom w:val="nil"/>
              <w:right w:val="nil"/>
            </w:tcBorders>
            <w:vAlign w:val="center"/>
            <w:hideMark/>
          </w:tcPr>
          <w:p w14:paraId="296E58E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9554979" w14:textId="0439F95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一年期定期存款利率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27F0593C" w14:textId="2989700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199</w:t>
            </w:r>
          </w:p>
        </w:tc>
        <w:tc>
          <w:tcPr>
            <w:tcW w:w="1020" w:type="dxa"/>
            <w:tcBorders>
              <w:top w:val="nil"/>
              <w:left w:val="nil"/>
              <w:bottom w:val="nil"/>
              <w:right w:val="nil"/>
            </w:tcBorders>
            <w:vAlign w:val="center"/>
          </w:tcPr>
          <w:p w14:paraId="36DF009C" w14:textId="189C38D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18.88%</w:t>
            </w:r>
          </w:p>
        </w:tc>
      </w:tr>
      <w:tr w:rsidR="00EF2613" w:rsidRPr="00F87E3A" w14:paraId="79570356" w14:textId="24273F02" w:rsidTr="00D01B9E">
        <w:trPr>
          <w:trHeight w:val="278"/>
          <w:jc w:val="right"/>
        </w:trPr>
        <w:tc>
          <w:tcPr>
            <w:tcW w:w="1680" w:type="dxa"/>
            <w:vMerge/>
            <w:tcBorders>
              <w:top w:val="nil"/>
              <w:left w:val="nil"/>
              <w:bottom w:val="nil"/>
              <w:right w:val="nil"/>
            </w:tcBorders>
            <w:vAlign w:val="center"/>
            <w:hideMark/>
          </w:tcPr>
          <w:p w14:paraId="63B9E2C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D3DB485" w14:textId="0772BC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1</w:t>
            </w:r>
            <w:r>
              <w:rPr>
                <w:rFonts w:ascii="Arial" w:eastAsia="等线" w:hAnsi="Arial" w:cs="Arial"/>
                <w:b/>
                <w:bCs/>
                <w:color w:val="0F243E"/>
                <w:sz w:val="16"/>
                <w:szCs w:val="16"/>
                <w:lang w:eastAsia="zh-CN"/>
              </w:rPr>
              <w:t>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343566A" w14:textId="203B6AB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193</w:t>
            </w:r>
          </w:p>
        </w:tc>
        <w:tc>
          <w:tcPr>
            <w:tcW w:w="1020" w:type="dxa"/>
            <w:tcBorders>
              <w:top w:val="nil"/>
              <w:left w:val="nil"/>
              <w:bottom w:val="nil"/>
              <w:right w:val="nil"/>
            </w:tcBorders>
            <w:vAlign w:val="center"/>
          </w:tcPr>
          <w:p w14:paraId="10A8FD81" w14:textId="2278C2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10.05%</w:t>
            </w:r>
          </w:p>
        </w:tc>
      </w:tr>
      <w:tr w:rsidR="00EF2613" w:rsidRPr="00F87E3A" w14:paraId="0BA82EBC" w14:textId="3E12062B" w:rsidTr="00D01B9E">
        <w:trPr>
          <w:trHeight w:val="278"/>
          <w:jc w:val="right"/>
        </w:trPr>
        <w:tc>
          <w:tcPr>
            <w:tcW w:w="1680" w:type="dxa"/>
            <w:vMerge/>
            <w:tcBorders>
              <w:top w:val="nil"/>
              <w:left w:val="nil"/>
              <w:bottom w:val="single" w:sz="4" w:space="0" w:color="auto"/>
              <w:right w:val="nil"/>
            </w:tcBorders>
            <w:vAlign w:val="center"/>
            <w:hideMark/>
          </w:tcPr>
          <w:p w14:paraId="1A27EA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85E5495" w14:textId="71DC32B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5DF896F" w14:textId="5282994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147</w:t>
            </w:r>
          </w:p>
        </w:tc>
        <w:tc>
          <w:tcPr>
            <w:tcW w:w="1020" w:type="dxa"/>
            <w:tcBorders>
              <w:top w:val="nil"/>
              <w:left w:val="nil"/>
              <w:bottom w:val="single" w:sz="4" w:space="0" w:color="auto"/>
              <w:right w:val="nil"/>
            </w:tcBorders>
            <w:vAlign w:val="center"/>
          </w:tcPr>
          <w:p w14:paraId="54838453" w14:textId="773FA43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88.67%</w:t>
            </w:r>
          </w:p>
        </w:tc>
      </w:tr>
      <w:tr w:rsidR="00EF2613" w:rsidRPr="00F87E3A" w14:paraId="229A7337" w14:textId="547842C9"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E1599BE" w14:textId="106779B5"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2DB7F7C0" w14:textId="6D9ABA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single" w:sz="4" w:space="0" w:color="auto"/>
              <w:left w:val="nil"/>
              <w:bottom w:val="nil"/>
              <w:right w:val="nil"/>
            </w:tcBorders>
            <w:shd w:val="clear" w:color="auto" w:fill="auto"/>
            <w:noWrap/>
            <w:vAlign w:val="center"/>
            <w:hideMark/>
          </w:tcPr>
          <w:p w14:paraId="05A83F8B" w14:textId="076B9D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2136</w:t>
            </w:r>
          </w:p>
        </w:tc>
        <w:tc>
          <w:tcPr>
            <w:tcW w:w="1020" w:type="dxa"/>
            <w:tcBorders>
              <w:top w:val="single" w:sz="4" w:space="0" w:color="auto"/>
              <w:left w:val="nil"/>
              <w:bottom w:val="nil"/>
              <w:right w:val="nil"/>
            </w:tcBorders>
            <w:vAlign w:val="center"/>
          </w:tcPr>
          <w:p w14:paraId="24A702AC" w14:textId="4685B4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51.87%</w:t>
            </w:r>
          </w:p>
        </w:tc>
      </w:tr>
      <w:tr w:rsidR="00EF2613" w:rsidRPr="00F87E3A" w14:paraId="0E2C5D93" w14:textId="361E384F" w:rsidTr="00D01B9E">
        <w:trPr>
          <w:trHeight w:val="278"/>
          <w:jc w:val="right"/>
        </w:trPr>
        <w:tc>
          <w:tcPr>
            <w:tcW w:w="1680" w:type="dxa"/>
            <w:vMerge/>
            <w:tcBorders>
              <w:top w:val="nil"/>
              <w:left w:val="nil"/>
              <w:bottom w:val="nil"/>
              <w:right w:val="nil"/>
            </w:tcBorders>
            <w:vAlign w:val="center"/>
            <w:hideMark/>
          </w:tcPr>
          <w:p w14:paraId="1A42D5E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114DF5B" w14:textId="31AA61F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nil"/>
              <w:right w:val="nil"/>
            </w:tcBorders>
            <w:shd w:val="clear" w:color="auto" w:fill="auto"/>
            <w:noWrap/>
            <w:vAlign w:val="center"/>
            <w:hideMark/>
          </w:tcPr>
          <w:p w14:paraId="68C950C4" w14:textId="367529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510</w:t>
            </w:r>
          </w:p>
        </w:tc>
        <w:tc>
          <w:tcPr>
            <w:tcW w:w="1020" w:type="dxa"/>
            <w:tcBorders>
              <w:top w:val="nil"/>
              <w:left w:val="nil"/>
              <w:bottom w:val="nil"/>
              <w:right w:val="nil"/>
            </w:tcBorders>
            <w:vAlign w:val="center"/>
          </w:tcPr>
          <w:p w14:paraId="4062EE8A" w14:textId="47CFA70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41.56%</w:t>
            </w:r>
          </w:p>
        </w:tc>
      </w:tr>
      <w:tr w:rsidR="00EF2613" w:rsidRPr="00F87E3A" w14:paraId="4AE5E0C8" w14:textId="2E65F4AF" w:rsidTr="00D01B9E">
        <w:trPr>
          <w:trHeight w:val="278"/>
          <w:jc w:val="right"/>
        </w:trPr>
        <w:tc>
          <w:tcPr>
            <w:tcW w:w="1680" w:type="dxa"/>
            <w:vMerge/>
            <w:tcBorders>
              <w:top w:val="nil"/>
              <w:left w:val="nil"/>
              <w:bottom w:val="nil"/>
              <w:right w:val="nil"/>
            </w:tcBorders>
            <w:vAlign w:val="center"/>
            <w:hideMark/>
          </w:tcPr>
          <w:p w14:paraId="570E993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195B8D" w14:textId="72D6682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75DA185F" w14:textId="2E7B4CB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494</w:t>
            </w:r>
          </w:p>
        </w:tc>
        <w:tc>
          <w:tcPr>
            <w:tcW w:w="1020" w:type="dxa"/>
            <w:tcBorders>
              <w:top w:val="nil"/>
              <w:left w:val="nil"/>
              <w:bottom w:val="nil"/>
              <w:right w:val="nil"/>
            </w:tcBorders>
            <w:vAlign w:val="center"/>
          </w:tcPr>
          <w:p w14:paraId="18689B2B" w14:textId="4B3AD1C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47.81%</w:t>
            </w:r>
          </w:p>
        </w:tc>
      </w:tr>
      <w:tr w:rsidR="00EF2613" w:rsidRPr="00F87E3A" w14:paraId="0613413B" w14:textId="00157FF1" w:rsidTr="00D01B9E">
        <w:trPr>
          <w:trHeight w:val="278"/>
          <w:jc w:val="right"/>
        </w:trPr>
        <w:tc>
          <w:tcPr>
            <w:tcW w:w="1680" w:type="dxa"/>
            <w:vMerge/>
            <w:tcBorders>
              <w:top w:val="nil"/>
              <w:left w:val="nil"/>
              <w:bottom w:val="nil"/>
              <w:right w:val="nil"/>
            </w:tcBorders>
            <w:vAlign w:val="center"/>
            <w:hideMark/>
          </w:tcPr>
          <w:p w14:paraId="6FED44A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C6EA482" w14:textId="228B5F6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3BAA0F21" w14:textId="26DC251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432</w:t>
            </w:r>
          </w:p>
        </w:tc>
        <w:tc>
          <w:tcPr>
            <w:tcW w:w="1020" w:type="dxa"/>
            <w:tcBorders>
              <w:top w:val="nil"/>
              <w:left w:val="nil"/>
              <w:bottom w:val="nil"/>
              <w:right w:val="nil"/>
            </w:tcBorders>
            <w:vAlign w:val="center"/>
          </w:tcPr>
          <w:p w14:paraId="53D9E052" w14:textId="6687F09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47.00%</w:t>
            </w:r>
          </w:p>
        </w:tc>
      </w:tr>
      <w:tr w:rsidR="00EF2613" w:rsidRPr="00F87E3A" w14:paraId="4CECD195" w14:textId="687F843A" w:rsidTr="00D01B9E">
        <w:trPr>
          <w:trHeight w:val="278"/>
          <w:jc w:val="right"/>
        </w:trPr>
        <w:tc>
          <w:tcPr>
            <w:tcW w:w="1680" w:type="dxa"/>
            <w:vMerge/>
            <w:tcBorders>
              <w:top w:val="nil"/>
              <w:left w:val="nil"/>
              <w:bottom w:val="single" w:sz="4" w:space="0" w:color="auto"/>
              <w:right w:val="nil"/>
            </w:tcBorders>
            <w:vAlign w:val="center"/>
            <w:hideMark/>
          </w:tcPr>
          <w:p w14:paraId="2BBA188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D4CA1D5" w14:textId="3013C42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中证综合债指数收益率</w:t>
            </w:r>
          </w:p>
        </w:tc>
        <w:tc>
          <w:tcPr>
            <w:tcW w:w="1020" w:type="dxa"/>
            <w:gridSpan w:val="2"/>
            <w:tcBorders>
              <w:top w:val="nil"/>
              <w:left w:val="nil"/>
              <w:bottom w:val="single" w:sz="4" w:space="0" w:color="auto"/>
              <w:right w:val="nil"/>
            </w:tcBorders>
            <w:shd w:val="clear" w:color="auto" w:fill="auto"/>
            <w:noWrap/>
            <w:vAlign w:val="center"/>
            <w:hideMark/>
          </w:tcPr>
          <w:p w14:paraId="1FE91C3B" w14:textId="248601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284</w:t>
            </w:r>
          </w:p>
        </w:tc>
        <w:tc>
          <w:tcPr>
            <w:tcW w:w="1020" w:type="dxa"/>
            <w:tcBorders>
              <w:top w:val="nil"/>
              <w:left w:val="nil"/>
              <w:bottom w:val="single" w:sz="4" w:space="0" w:color="auto"/>
              <w:right w:val="nil"/>
            </w:tcBorders>
            <w:vAlign w:val="center"/>
          </w:tcPr>
          <w:p w14:paraId="7F0095C2" w14:textId="43FA1E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46.61%</w:t>
            </w:r>
          </w:p>
        </w:tc>
      </w:tr>
      <w:tr w:rsidR="00EF2613" w:rsidRPr="00F87E3A" w14:paraId="0C78E149" w14:textId="547E3ADF"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4312C47" w14:textId="672FBDF1"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5D7C6FE4" w14:textId="07CA600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09DD5E57" w14:textId="2E0A53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399</w:t>
            </w:r>
          </w:p>
        </w:tc>
        <w:tc>
          <w:tcPr>
            <w:tcW w:w="1020" w:type="dxa"/>
            <w:tcBorders>
              <w:top w:val="single" w:sz="4" w:space="0" w:color="auto"/>
              <w:left w:val="nil"/>
              <w:bottom w:val="nil"/>
              <w:right w:val="nil"/>
            </w:tcBorders>
            <w:vAlign w:val="center"/>
          </w:tcPr>
          <w:p w14:paraId="09A55F8C" w14:textId="5D30583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w:t>
            </w:r>
          </w:p>
        </w:tc>
      </w:tr>
      <w:tr w:rsidR="00EF2613" w:rsidRPr="00F87E3A" w14:paraId="386EF4FD" w14:textId="284F2BDE" w:rsidTr="00D01B9E">
        <w:trPr>
          <w:trHeight w:val="278"/>
          <w:jc w:val="right"/>
        </w:trPr>
        <w:tc>
          <w:tcPr>
            <w:tcW w:w="1680" w:type="dxa"/>
            <w:vMerge/>
            <w:tcBorders>
              <w:top w:val="nil"/>
              <w:left w:val="nil"/>
              <w:bottom w:val="nil"/>
              <w:right w:val="nil"/>
            </w:tcBorders>
            <w:vAlign w:val="center"/>
            <w:hideMark/>
          </w:tcPr>
          <w:p w14:paraId="146771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F766BFC" w14:textId="728F02B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5D198E24" w14:textId="570EF57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230</w:t>
            </w:r>
          </w:p>
        </w:tc>
        <w:tc>
          <w:tcPr>
            <w:tcW w:w="1020" w:type="dxa"/>
            <w:tcBorders>
              <w:top w:val="nil"/>
              <w:left w:val="nil"/>
              <w:bottom w:val="nil"/>
              <w:right w:val="nil"/>
            </w:tcBorders>
            <w:vAlign w:val="center"/>
          </w:tcPr>
          <w:p w14:paraId="0052AB5C" w14:textId="73EC48E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89.54%</w:t>
            </w:r>
          </w:p>
        </w:tc>
      </w:tr>
      <w:tr w:rsidR="00EF2613" w:rsidRPr="00F87E3A" w14:paraId="7A42C17B" w14:textId="7E849560" w:rsidTr="00D01B9E">
        <w:trPr>
          <w:trHeight w:val="278"/>
          <w:jc w:val="right"/>
        </w:trPr>
        <w:tc>
          <w:tcPr>
            <w:tcW w:w="1680" w:type="dxa"/>
            <w:vMerge/>
            <w:tcBorders>
              <w:top w:val="nil"/>
              <w:left w:val="nil"/>
              <w:bottom w:val="nil"/>
              <w:right w:val="nil"/>
            </w:tcBorders>
            <w:vAlign w:val="center"/>
            <w:hideMark/>
          </w:tcPr>
          <w:p w14:paraId="13B955B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194197" w14:textId="5368E61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F612FA" w14:textId="011757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145</w:t>
            </w:r>
          </w:p>
        </w:tc>
        <w:tc>
          <w:tcPr>
            <w:tcW w:w="1020" w:type="dxa"/>
            <w:tcBorders>
              <w:top w:val="nil"/>
              <w:left w:val="nil"/>
              <w:bottom w:val="nil"/>
              <w:right w:val="nil"/>
            </w:tcBorders>
            <w:vAlign w:val="center"/>
          </w:tcPr>
          <w:p w14:paraId="3F63837B" w14:textId="7794F74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93.86%</w:t>
            </w:r>
          </w:p>
        </w:tc>
      </w:tr>
      <w:tr w:rsidR="00EF2613" w:rsidRPr="00F87E3A" w14:paraId="01F7D958" w14:textId="67B7D46E" w:rsidTr="00D01B9E">
        <w:trPr>
          <w:trHeight w:val="278"/>
          <w:jc w:val="right"/>
        </w:trPr>
        <w:tc>
          <w:tcPr>
            <w:tcW w:w="1680" w:type="dxa"/>
            <w:vMerge/>
            <w:tcBorders>
              <w:top w:val="nil"/>
              <w:left w:val="nil"/>
              <w:bottom w:val="nil"/>
              <w:right w:val="nil"/>
            </w:tcBorders>
            <w:vAlign w:val="center"/>
            <w:hideMark/>
          </w:tcPr>
          <w:p w14:paraId="6E05828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46D0573" w14:textId="2698234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5770496" w14:textId="0BA54B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140</w:t>
            </w:r>
          </w:p>
        </w:tc>
        <w:tc>
          <w:tcPr>
            <w:tcW w:w="1020" w:type="dxa"/>
            <w:tcBorders>
              <w:top w:val="nil"/>
              <w:left w:val="nil"/>
              <w:bottom w:val="nil"/>
              <w:right w:val="nil"/>
            </w:tcBorders>
            <w:vAlign w:val="center"/>
          </w:tcPr>
          <w:p w14:paraId="125D7C7F" w14:textId="5F552A7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5.36%</w:t>
            </w:r>
          </w:p>
        </w:tc>
      </w:tr>
      <w:tr w:rsidR="00EF2613" w:rsidRPr="00F87E3A" w14:paraId="7E6A8026" w14:textId="277DC345" w:rsidTr="00D01B9E">
        <w:trPr>
          <w:trHeight w:val="278"/>
          <w:jc w:val="right"/>
        </w:trPr>
        <w:tc>
          <w:tcPr>
            <w:tcW w:w="1680" w:type="dxa"/>
            <w:vMerge/>
            <w:tcBorders>
              <w:top w:val="nil"/>
              <w:left w:val="nil"/>
              <w:bottom w:val="single" w:sz="4" w:space="0" w:color="auto"/>
              <w:right w:val="nil"/>
            </w:tcBorders>
            <w:vAlign w:val="center"/>
            <w:hideMark/>
          </w:tcPr>
          <w:p w14:paraId="1C59B93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39227DCC" w14:textId="24260C6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7B40C24A" w14:textId="6E84D5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81</w:t>
            </w:r>
          </w:p>
        </w:tc>
        <w:tc>
          <w:tcPr>
            <w:tcW w:w="1020" w:type="dxa"/>
            <w:tcBorders>
              <w:top w:val="nil"/>
              <w:left w:val="nil"/>
              <w:bottom w:val="single" w:sz="4" w:space="0" w:color="auto"/>
              <w:right w:val="nil"/>
            </w:tcBorders>
            <w:vAlign w:val="center"/>
          </w:tcPr>
          <w:p w14:paraId="1EB8EB36" w14:textId="7901CC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5.80%</w:t>
            </w:r>
          </w:p>
        </w:tc>
      </w:tr>
      <w:tr w:rsidR="00EF2613" w:rsidRPr="00F87E3A" w14:paraId="0B09345D" w14:textId="3724327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6C327F7" w14:textId="67BE7E08"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7E119CE" w14:textId="20B6832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31A7BCF8" w14:textId="463286D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34</w:t>
            </w:r>
          </w:p>
        </w:tc>
        <w:tc>
          <w:tcPr>
            <w:tcW w:w="1020" w:type="dxa"/>
            <w:tcBorders>
              <w:top w:val="single" w:sz="4" w:space="0" w:color="auto"/>
              <w:left w:val="nil"/>
              <w:bottom w:val="nil"/>
              <w:right w:val="nil"/>
            </w:tcBorders>
            <w:vAlign w:val="center"/>
          </w:tcPr>
          <w:p w14:paraId="02B19DE9" w14:textId="1B6BD8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8.09%</w:t>
            </w:r>
          </w:p>
        </w:tc>
      </w:tr>
      <w:tr w:rsidR="00EF2613" w:rsidRPr="00F87E3A" w14:paraId="384501E6" w14:textId="7303A578" w:rsidTr="00D01B9E">
        <w:trPr>
          <w:trHeight w:val="278"/>
          <w:jc w:val="right"/>
        </w:trPr>
        <w:tc>
          <w:tcPr>
            <w:tcW w:w="1680" w:type="dxa"/>
            <w:vMerge/>
            <w:tcBorders>
              <w:top w:val="nil"/>
              <w:left w:val="nil"/>
              <w:bottom w:val="nil"/>
              <w:right w:val="nil"/>
            </w:tcBorders>
            <w:vAlign w:val="center"/>
            <w:hideMark/>
          </w:tcPr>
          <w:p w14:paraId="7B2A851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408AC4" w14:textId="4B49A97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020" w:type="dxa"/>
            <w:gridSpan w:val="2"/>
            <w:tcBorders>
              <w:top w:val="nil"/>
              <w:left w:val="nil"/>
              <w:bottom w:val="nil"/>
              <w:right w:val="nil"/>
            </w:tcBorders>
            <w:shd w:val="clear" w:color="auto" w:fill="auto"/>
            <w:noWrap/>
            <w:vAlign w:val="center"/>
            <w:hideMark/>
          </w:tcPr>
          <w:p w14:paraId="2C1838BA" w14:textId="23FE8725"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w:t>
            </w:r>
          </w:p>
        </w:tc>
        <w:tc>
          <w:tcPr>
            <w:tcW w:w="1020" w:type="dxa"/>
            <w:tcBorders>
              <w:top w:val="nil"/>
              <w:left w:val="nil"/>
              <w:bottom w:val="nil"/>
              <w:right w:val="nil"/>
            </w:tcBorders>
            <w:vAlign w:val="center"/>
          </w:tcPr>
          <w:p w14:paraId="6DEFE4C7" w14:textId="769367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5.00%</w:t>
            </w:r>
          </w:p>
        </w:tc>
      </w:tr>
      <w:tr w:rsidR="00EF2613" w:rsidRPr="00F87E3A" w14:paraId="384A9F0A" w14:textId="2728A4B3" w:rsidTr="00D01B9E">
        <w:trPr>
          <w:trHeight w:val="278"/>
          <w:jc w:val="right"/>
        </w:trPr>
        <w:tc>
          <w:tcPr>
            <w:tcW w:w="1680" w:type="dxa"/>
            <w:vMerge/>
            <w:tcBorders>
              <w:top w:val="nil"/>
              <w:left w:val="nil"/>
              <w:bottom w:val="nil"/>
              <w:right w:val="nil"/>
            </w:tcBorders>
            <w:vAlign w:val="center"/>
            <w:hideMark/>
          </w:tcPr>
          <w:p w14:paraId="4A66B59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1511DF2" w14:textId="386689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FF6C0AD" w14:textId="240E8B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5D432AFC" w14:textId="5D1B228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6.00%</w:t>
            </w:r>
          </w:p>
        </w:tc>
      </w:tr>
      <w:tr w:rsidR="00EF2613" w:rsidRPr="00F87E3A" w14:paraId="298E7F63" w14:textId="74D4FC15" w:rsidTr="00D01B9E">
        <w:trPr>
          <w:trHeight w:val="278"/>
          <w:jc w:val="right"/>
        </w:trPr>
        <w:tc>
          <w:tcPr>
            <w:tcW w:w="1680" w:type="dxa"/>
            <w:vMerge/>
            <w:tcBorders>
              <w:top w:val="nil"/>
              <w:left w:val="nil"/>
              <w:bottom w:val="nil"/>
              <w:right w:val="nil"/>
            </w:tcBorders>
            <w:vAlign w:val="center"/>
            <w:hideMark/>
          </w:tcPr>
          <w:p w14:paraId="21C4159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A7CAB86" w14:textId="799F79B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巴克莱资本美国综合债券指数收益率</w:t>
            </w:r>
          </w:p>
        </w:tc>
        <w:tc>
          <w:tcPr>
            <w:tcW w:w="1020" w:type="dxa"/>
            <w:gridSpan w:val="2"/>
            <w:tcBorders>
              <w:top w:val="nil"/>
              <w:left w:val="nil"/>
              <w:bottom w:val="nil"/>
              <w:right w:val="nil"/>
            </w:tcBorders>
            <w:shd w:val="clear" w:color="auto" w:fill="auto"/>
            <w:noWrap/>
            <w:vAlign w:val="center"/>
            <w:hideMark/>
          </w:tcPr>
          <w:p w14:paraId="1BCD2EF0" w14:textId="15DA8C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nil"/>
              <w:right w:val="nil"/>
            </w:tcBorders>
            <w:vAlign w:val="center"/>
          </w:tcPr>
          <w:p w14:paraId="29D7991B" w14:textId="7C433F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93.33%</w:t>
            </w:r>
          </w:p>
        </w:tc>
      </w:tr>
      <w:tr w:rsidR="00EF2613" w:rsidRPr="00F87E3A" w14:paraId="4E4E8CC6" w14:textId="4F1974CD" w:rsidTr="00D01B9E">
        <w:trPr>
          <w:trHeight w:val="278"/>
          <w:jc w:val="right"/>
        </w:trPr>
        <w:tc>
          <w:tcPr>
            <w:tcW w:w="1680" w:type="dxa"/>
            <w:vMerge/>
            <w:tcBorders>
              <w:top w:val="nil"/>
              <w:left w:val="nil"/>
              <w:bottom w:val="single" w:sz="4" w:space="0" w:color="auto"/>
              <w:right w:val="nil"/>
            </w:tcBorders>
            <w:vAlign w:val="center"/>
            <w:hideMark/>
          </w:tcPr>
          <w:p w14:paraId="5AB9B6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78B86" w14:textId="12094B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DD0620E" w14:textId="7C1929E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single" w:sz="4" w:space="0" w:color="auto"/>
              <w:right w:val="nil"/>
            </w:tcBorders>
            <w:vAlign w:val="center"/>
          </w:tcPr>
          <w:p w14:paraId="1EA2CE11" w14:textId="6C68B54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5.83%</w:t>
            </w:r>
          </w:p>
        </w:tc>
      </w:tr>
      <w:tr w:rsidR="00EF2613" w:rsidRPr="00F87E3A" w14:paraId="68070872" w14:textId="66C823B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67B7207" w14:textId="7C0921A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38D2582D" w14:textId="3FF93B6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788D83D2" w14:textId="7B48C92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single" w:sz="4" w:space="0" w:color="auto"/>
              <w:left w:val="nil"/>
              <w:bottom w:val="nil"/>
              <w:right w:val="nil"/>
            </w:tcBorders>
            <w:vAlign w:val="center"/>
          </w:tcPr>
          <w:p w14:paraId="270FE107" w14:textId="3258D7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7850E214" w14:textId="27389B71" w:rsidTr="00D01B9E">
        <w:trPr>
          <w:trHeight w:val="278"/>
          <w:jc w:val="right"/>
        </w:trPr>
        <w:tc>
          <w:tcPr>
            <w:tcW w:w="1680" w:type="dxa"/>
            <w:vMerge/>
            <w:tcBorders>
              <w:top w:val="nil"/>
              <w:left w:val="nil"/>
              <w:bottom w:val="nil"/>
              <w:right w:val="nil"/>
            </w:tcBorders>
            <w:vAlign w:val="center"/>
            <w:hideMark/>
          </w:tcPr>
          <w:p w14:paraId="70DBF2A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0F9BAF4" w14:textId="3863D79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nil"/>
              <w:left w:val="nil"/>
              <w:bottom w:val="nil"/>
              <w:right w:val="nil"/>
            </w:tcBorders>
            <w:shd w:val="clear" w:color="auto" w:fill="auto"/>
            <w:noWrap/>
            <w:vAlign w:val="center"/>
            <w:hideMark/>
          </w:tcPr>
          <w:p w14:paraId="4785EFE4" w14:textId="2946F79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nil"/>
              <w:left w:val="nil"/>
              <w:bottom w:val="nil"/>
              <w:right w:val="nil"/>
            </w:tcBorders>
            <w:vAlign w:val="center"/>
          </w:tcPr>
          <w:p w14:paraId="41B005FB" w14:textId="22963BF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3B95887C" w14:textId="18E25669" w:rsidTr="00D01B9E">
        <w:trPr>
          <w:trHeight w:val="278"/>
          <w:jc w:val="right"/>
        </w:trPr>
        <w:tc>
          <w:tcPr>
            <w:tcW w:w="1680" w:type="dxa"/>
            <w:vMerge/>
            <w:tcBorders>
              <w:top w:val="nil"/>
              <w:left w:val="nil"/>
              <w:bottom w:val="nil"/>
              <w:right w:val="nil"/>
            </w:tcBorders>
            <w:vAlign w:val="center"/>
            <w:hideMark/>
          </w:tcPr>
          <w:p w14:paraId="51FE1AD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57A004" w14:textId="5A1DD8F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8A275FE" w14:textId="4303226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E19C705" w14:textId="6A4A89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33D614E4" w14:textId="7DF4F297" w:rsidTr="00D01B9E">
        <w:trPr>
          <w:trHeight w:val="278"/>
          <w:jc w:val="right"/>
        </w:trPr>
        <w:tc>
          <w:tcPr>
            <w:tcW w:w="1680" w:type="dxa"/>
            <w:vMerge/>
            <w:tcBorders>
              <w:top w:val="nil"/>
              <w:left w:val="nil"/>
              <w:bottom w:val="nil"/>
              <w:right w:val="nil"/>
            </w:tcBorders>
            <w:vAlign w:val="center"/>
            <w:hideMark/>
          </w:tcPr>
          <w:p w14:paraId="72A1D68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5AF34C9" w14:textId="57B0893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D88CAB9" w14:textId="1B258C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90B7AA6" w14:textId="0A92D54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501EBD51" w14:textId="086D0C72" w:rsidTr="00D01B9E">
        <w:trPr>
          <w:trHeight w:val="278"/>
          <w:jc w:val="right"/>
        </w:trPr>
        <w:tc>
          <w:tcPr>
            <w:tcW w:w="1680" w:type="dxa"/>
            <w:vMerge/>
            <w:tcBorders>
              <w:top w:val="nil"/>
              <w:left w:val="nil"/>
              <w:bottom w:val="single" w:sz="4" w:space="0" w:color="auto"/>
              <w:right w:val="nil"/>
            </w:tcBorders>
            <w:vAlign w:val="center"/>
            <w:hideMark/>
          </w:tcPr>
          <w:p w14:paraId="36EC481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59AD4" w14:textId="7A0B6D4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single" w:sz="4" w:space="0" w:color="auto"/>
              <w:right w:val="nil"/>
            </w:tcBorders>
            <w:shd w:val="clear" w:color="auto" w:fill="auto"/>
            <w:noWrap/>
            <w:vAlign w:val="center"/>
            <w:hideMark/>
          </w:tcPr>
          <w:p w14:paraId="03618B04" w14:textId="6997CE8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single" w:sz="4" w:space="0" w:color="auto"/>
              <w:right w:val="nil"/>
            </w:tcBorders>
            <w:vAlign w:val="center"/>
          </w:tcPr>
          <w:p w14:paraId="5A833898" w14:textId="7FDB1BA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61D58BD" w14:textId="4F1B8B69" w:rsidTr="00EF2613">
        <w:trPr>
          <w:trHeight w:val="278"/>
          <w:jc w:val="right"/>
        </w:trPr>
        <w:tc>
          <w:tcPr>
            <w:tcW w:w="7802" w:type="dxa"/>
            <w:gridSpan w:val="5"/>
            <w:tcBorders>
              <w:top w:val="single" w:sz="8" w:space="0" w:color="auto"/>
              <w:left w:val="nil"/>
              <w:right w:val="nil"/>
            </w:tcBorders>
            <w:vAlign w:val="center"/>
          </w:tcPr>
          <w:p w14:paraId="1AC86D7F"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6EC011D6" w14:textId="77777777" w:rsidR="00EF2613" w:rsidRPr="00C66411" w:rsidRDefault="00EF2613" w:rsidP="00D01B9E">
            <w:pPr>
              <w:pStyle w:val="aff2"/>
              <w:ind w:leftChars="-54" w:left="-130"/>
            </w:pPr>
          </w:p>
        </w:tc>
      </w:tr>
    </w:tbl>
    <w:p w14:paraId="09C16411" w14:textId="2265293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2C17C3BD" w14:textId="77777777" w:rsidTr="00D01B9E">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57D879A7" w14:textId="26519B77" w:rsidR="00EF2613" w:rsidRPr="00F87E3A" w:rsidRDefault="00EF2613" w:rsidP="00D01B9E">
            <w:pPr>
              <w:pStyle w:val="af0"/>
              <w:ind w:leftChars="-54" w:left="-130"/>
              <w:rPr>
                <w:rFonts w:ascii="楷体_GB2312" w:hAnsi="等线" w:cs="宋体"/>
                <w:b w:val="0"/>
                <w:bCs/>
                <w:sz w:val="16"/>
                <w:szCs w:val="16"/>
                <w:lang w:eastAsia="zh-CN"/>
              </w:rPr>
            </w:pPr>
            <w:bookmarkStart w:id="42" w:name="_Toc65799023"/>
            <w:r w:rsidRPr="00941673">
              <w:rPr>
                <w:rFonts w:hint="eastAsia"/>
                <w:lang w:eastAsia="zh-CN"/>
              </w:rPr>
              <w:lastRenderedPageBreak/>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4</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基金一级分类三基准基金所选基准以及对应的基金数目</w:t>
            </w:r>
            <w:bookmarkEnd w:id="42"/>
          </w:p>
        </w:tc>
        <w:tc>
          <w:tcPr>
            <w:tcW w:w="1020" w:type="dxa"/>
            <w:gridSpan w:val="2"/>
            <w:tcBorders>
              <w:left w:val="nil"/>
              <w:bottom w:val="single" w:sz="8" w:space="0" w:color="000000"/>
              <w:right w:val="nil"/>
            </w:tcBorders>
          </w:tcPr>
          <w:p w14:paraId="26BFEDEF" w14:textId="77777777" w:rsidR="00EF2613" w:rsidRPr="00941673" w:rsidRDefault="00EF2613" w:rsidP="00D01B9E">
            <w:pPr>
              <w:pStyle w:val="af0"/>
              <w:ind w:leftChars="-54" w:left="-130"/>
              <w:rPr>
                <w:lang w:eastAsia="zh-CN"/>
              </w:rPr>
            </w:pPr>
          </w:p>
        </w:tc>
      </w:tr>
      <w:tr w:rsidR="00EF2613" w:rsidRPr="00F87E3A" w14:paraId="12FF344C" w14:textId="77777777" w:rsidTr="00D01B9E">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6BD024D" w14:textId="2A9886E0"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三</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3C0E193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03EB2E21"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705549DA"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61E119F0" w14:textId="7777777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3860413"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27573D26" w14:textId="7503BC0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8D19207" w14:textId="4ECB2B6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nil"/>
              <w:right w:val="nil"/>
            </w:tcBorders>
            <w:vAlign w:val="center"/>
          </w:tcPr>
          <w:p w14:paraId="7ADBEB5C" w14:textId="28EFDF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29BC8EB5" w14:textId="77777777" w:rsidTr="00D01B9E">
        <w:trPr>
          <w:trHeight w:val="278"/>
          <w:jc w:val="right"/>
        </w:trPr>
        <w:tc>
          <w:tcPr>
            <w:tcW w:w="1680" w:type="dxa"/>
            <w:vMerge/>
            <w:tcBorders>
              <w:top w:val="nil"/>
              <w:left w:val="nil"/>
              <w:bottom w:val="nil"/>
              <w:right w:val="nil"/>
            </w:tcBorders>
            <w:vAlign w:val="center"/>
            <w:hideMark/>
          </w:tcPr>
          <w:p w14:paraId="13ACED3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155FCC" w14:textId="48D6EE5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0908E1" w14:textId="46FCD9D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247</w:t>
            </w:r>
          </w:p>
        </w:tc>
        <w:tc>
          <w:tcPr>
            <w:tcW w:w="1020" w:type="dxa"/>
            <w:tcBorders>
              <w:top w:val="nil"/>
              <w:left w:val="nil"/>
              <w:bottom w:val="nil"/>
              <w:right w:val="nil"/>
            </w:tcBorders>
            <w:vAlign w:val="center"/>
          </w:tcPr>
          <w:p w14:paraId="74A64546" w14:textId="10C266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54.88%</w:t>
            </w:r>
          </w:p>
        </w:tc>
      </w:tr>
      <w:tr w:rsidR="00EF2613" w:rsidRPr="00F87E3A" w14:paraId="562D3BE3" w14:textId="77777777" w:rsidTr="00D01B9E">
        <w:trPr>
          <w:trHeight w:val="278"/>
          <w:jc w:val="right"/>
        </w:trPr>
        <w:tc>
          <w:tcPr>
            <w:tcW w:w="1680" w:type="dxa"/>
            <w:vMerge/>
            <w:tcBorders>
              <w:top w:val="nil"/>
              <w:left w:val="nil"/>
              <w:bottom w:val="nil"/>
              <w:right w:val="nil"/>
            </w:tcBorders>
            <w:vAlign w:val="center"/>
            <w:hideMark/>
          </w:tcPr>
          <w:p w14:paraId="41BB8E6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3528DF5" w14:textId="32C1FA8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11CE4F8" w14:textId="7C4B2A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216</w:t>
            </w:r>
          </w:p>
        </w:tc>
        <w:tc>
          <w:tcPr>
            <w:tcW w:w="1020" w:type="dxa"/>
            <w:tcBorders>
              <w:top w:val="nil"/>
              <w:left w:val="nil"/>
              <w:bottom w:val="nil"/>
              <w:right w:val="nil"/>
            </w:tcBorders>
            <w:vAlign w:val="center"/>
          </w:tcPr>
          <w:p w14:paraId="6C88C652" w14:textId="12EEB11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42.15%</w:t>
            </w:r>
          </w:p>
        </w:tc>
      </w:tr>
      <w:tr w:rsidR="00EF2613" w:rsidRPr="00F87E3A" w14:paraId="2261C1A9" w14:textId="77777777" w:rsidTr="00D01B9E">
        <w:trPr>
          <w:trHeight w:val="278"/>
          <w:jc w:val="right"/>
        </w:trPr>
        <w:tc>
          <w:tcPr>
            <w:tcW w:w="1680" w:type="dxa"/>
            <w:vMerge/>
            <w:tcBorders>
              <w:top w:val="nil"/>
              <w:left w:val="nil"/>
              <w:bottom w:val="nil"/>
              <w:right w:val="nil"/>
            </w:tcBorders>
            <w:vAlign w:val="center"/>
            <w:hideMark/>
          </w:tcPr>
          <w:p w14:paraId="205F5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47E6B7E" w14:textId="6C52EB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00EE7800" w14:textId="5D360FA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165</w:t>
            </w:r>
          </w:p>
        </w:tc>
        <w:tc>
          <w:tcPr>
            <w:tcW w:w="1020" w:type="dxa"/>
            <w:tcBorders>
              <w:top w:val="nil"/>
              <w:left w:val="nil"/>
              <w:bottom w:val="nil"/>
              <w:right w:val="nil"/>
            </w:tcBorders>
            <w:vAlign w:val="center"/>
          </w:tcPr>
          <w:p w14:paraId="577E4674" w14:textId="4C79FC4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38.27%</w:t>
            </w:r>
          </w:p>
        </w:tc>
      </w:tr>
      <w:tr w:rsidR="00EF2613" w:rsidRPr="00F87E3A" w14:paraId="028FF445" w14:textId="77777777" w:rsidTr="00D01B9E">
        <w:trPr>
          <w:trHeight w:val="278"/>
          <w:jc w:val="right"/>
        </w:trPr>
        <w:tc>
          <w:tcPr>
            <w:tcW w:w="1680" w:type="dxa"/>
            <w:vMerge/>
            <w:tcBorders>
              <w:top w:val="nil"/>
              <w:left w:val="nil"/>
              <w:bottom w:val="single" w:sz="4" w:space="0" w:color="auto"/>
              <w:right w:val="nil"/>
            </w:tcBorders>
            <w:vAlign w:val="center"/>
            <w:hideMark/>
          </w:tcPr>
          <w:p w14:paraId="1B4F367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8E8D39C" w14:textId="2AF550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70AEEDA" w14:textId="099865B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107</w:t>
            </w:r>
          </w:p>
        </w:tc>
        <w:tc>
          <w:tcPr>
            <w:tcW w:w="1020" w:type="dxa"/>
            <w:tcBorders>
              <w:top w:val="nil"/>
              <w:left w:val="nil"/>
              <w:bottom w:val="single" w:sz="4" w:space="0" w:color="auto"/>
              <w:right w:val="nil"/>
            </w:tcBorders>
            <w:vAlign w:val="center"/>
          </w:tcPr>
          <w:p w14:paraId="6979D93D" w14:textId="2D58912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9.71%</w:t>
            </w:r>
          </w:p>
        </w:tc>
      </w:tr>
      <w:tr w:rsidR="00EF2613" w:rsidRPr="00F87E3A" w14:paraId="154352E7"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679ABF40"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36A7DF55" w14:textId="6E96A5C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中证可转换债券指数收益率</w:t>
            </w:r>
          </w:p>
        </w:tc>
        <w:tc>
          <w:tcPr>
            <w:tcW w:w="1020" w:type="dxa"/>
            <w:gridSpan w:val="2"/>
            <w:tcBorders>
              <w:top w:val="single" w:sz="4" w:space="0" w:color="auto"/>
              <w:left w:val="nil"/>
              <w:bottom w:val="nil"/>
              <w:right w:val="nil"/>
            </w:tcBorders>
            <w:shd w:val="clear" w:color="auto" w:fill="auto"/>
            <w:noWrap/>
            <w:vAlign w:val="center"/>
            <w:hideMark/>
          </w:tcPr>
          <w:p w14:paraId="612F8BA1" w14:textId="60E328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40</w:t>
            </w:r>
          </w:p>
        </w:tc>
        <w:tc>
          <w:tcPr>
            <w:tcW w:w="1020" w:type="dxa"/>
            <w:tcBorders>
              <w:top w:val="single" w:sz="4" w:space="0" w:color="auto"/>
              <w:left w:val="nil"/>
              <w:bottom w:val="nil"/>
              <w:right w:val="nil"/>
            </w:tcBorders>
            <w:vAlign w:val="center"/>
          </w:tcPr>
          <w:p w14:paraId="780C91D3" w14:textId="2C5EA64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63.88%</w:t>
            </w:r>
          </w:p>
        </w:tc>
      </w:tr>
      <w:tr w:rsidR="00EF2613" w:rsidRPr="00F87E3A" w14:paraId="3E656B53" w14:textId="77777777" w:rsidTr="00D01B9E">
        <w:trPr>
          <w:trHeight w:val="278"/>
          <w:jc w:val="right"/>
        </w:trPr>
        <w:tc>
          <w:tcPr>
            <w:tcW w:w="1680" w:type="dxa"/>
            <w:vMerge/>
            <w:tcBorders>
              <w:top w:val="nil"/>
              <w:left w:val="nil"/>
              <w:bottom w:val="nil"/>
              <w:right w:val="nil"/>
            </w:tcBorders>
            <w:vAlign w:val="center"/>
            <w:hideMark/>
          </w:tcPr>
          <w:p w14:paraId="52D0162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EE8C6B" w14:textId="279D30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nil"/>
              <w:right w:val="nil"/>
            </w:tcBorders>
            <w:shd w:val="clear" w:color="auto" w:fill="auto"/>
            <w:noWrap/>
            <w:vAlign w:val="center"/>
            <w:hideMark/>
          </w:tcPr>
          <w:p w14:paraId="418DABD4" w14:textId="40613F4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7305BE60" w14:textId="684A25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66.48%</w:t>
            </w:r>
          </w:p>
        </w:tc>
      </w:tr>
      <w:tr w:rsidR="00EF2613" w:rsidRPr="00F87E3A" w14:paraId="1C9D9B16" w14:textId="77777777" w:rsidTr="00D01B9E">
        <w:trPr>
          <w:trHeight w:val="278"/>
          <w:jc w:val="right"/>
        </w:trPr>
        <w:tc>
          <w:tcPr>
            <w:tcW w:w="1680" w:type="dxa"/>
            <w:vMerge/>
            <w:tcBorders>
              <w:top w:val="nil"/>
              <w:left w:val="nil"/>
              <w:bottom w:val="nil"/>
              <w:right w:val="nil"/>
            </w:tcBorders>
            <w:vAlign w:val="center"/>
            <w:hideMark/>
          </w:tcPr>
          <w:p w14:paraId="53D3322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8371A2A" w14:textId="5BB5C3F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4F3B8F7" w14:textId="14B4FF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w:t>
            </w:r>
          </w:p>
        </w:tc>
        <w:tc>
          <w:tcPr>
            <w:tcW w:w="1020" w:type="dxa"/>
            <w:tcBorders>
              <w:top w:val="nil"/>
              <w:left w:val="nil"/>
              <w:bottom w:val="nil"/>
              <w:right w:val="nil"/>
            </w:tcBorders>
            <w:vAlign w:val="center"/>
          </w:tcPr>
          <w:p w14:paraId="350BB14D" w14:textId="6FE6F6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39.44%</w:t>
            </w:r>
          </w:p>
        </w:tc>
      </w:tr>
      <w:tr w:rsidR="00EF2613" w:rsidRPr="00F87E3A" w14:paraId="22B99AB4" w14:textId="77777777" w:rsidTr="00D01B9E">
        <w:trPr>
          <w:trHeight w:val="278"/>
          <w:jc w:val="right"/>
        </w:trPr>
        <w:tc>
          <w:tcPr>
            <w:tcW w:w="1680" w:type="dxa"/>
            <w:vMerge/>
            <w:tcBorders>
              <w:top w:val="nil"/>
              <w:left w:val="nil"/>
              <w:bottom w:val="nil"/>
              <w:right w:val="nil"/>
            </w:tcBorders>
            <w:vAlign w:val="center"/>
            <w:hideMark/>
          </w:tcPr>
          <w:p w14:paraId="655352B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99FBE5" w14:textId="0CF757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66154DC" w14:textId="014C57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w:t>
            </w:r>
          </w:p>
        </w:tc>
        <w:tc>
          <w:tcPr>
            <w:tcW w:w="1020" w:type="dxa"/>
            <w:tcBorders>
              <w:top w:val="nil"/>
              <w:left w:val="nil"/>
              <w:bottom w:val="nil"/>
              <w:right w:val="nil"/>
            </w:tcBorders>
            <w:vAlign w:val="center"/>
          </w:tcPr>
          <w:p w14:paraId="6F015F80" w14:textId="612F9B0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5.67%</w:t>
            </w:r>
          </w:p>
        </w:tc>
      </w:tr>
      <w:tr w:rsidR="00EF2613" w:rsidRPr="00F87E3A" w14:paraId="0B7B6C5F" w14:textId="77777777" w:rsidTr="00D01B9E">
        <w:trPr>
          <w:trHeight w:val="278"/>
          <w:jc w:val="right"/>
        </w:trPr>
        <w:tc>
          <w:tcPr>
            <w:tcW w:w="1680" w:type="dxa"/>
            <w:vMerge/>
            <w:tcBorders>
              <w:top w:val="nil"/>
              <w:left w:val="nil"/>
              <w:bottom w:val="single" w:sz="4" w:space="0" w:color="auto"/>
              <w:right w:val="nil"/>
            </w:tcBorders>
            <w:vAlign w:val="center"/>
            <w:hideMark/>
          </w:tcPr>
          <w:p w14:paraId="45709FC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CADFAC6" w14:textId="7A8E16A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097A25DF" w14:textId="2ADD00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61</w:t>
            </w:r>
          </w:p>
        </w:tc>
        <w:tc>
          <w:tcPr>
            <w:tcW w:w="1020" w:type="dxa"/>
            <w:tcBorders>
              <w:top w:val="nil"/>
              <w:left w:val="nil"/>
              <w:bottom w:val="single" w:sz="4" w:space="0" w:color="auto"/>
              <w:right w:val="nil"/>
            </w:tcBorders>
            <w:vAlign w:val="center"/>
          </w:tcPr>
          <w:p w14:paraId="2E0B885F" w14:textId="631B81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58.85%</w:t>
            </w:r>
          </w:p>
        </w:tc>
      </w:tr>
      <w:tr w:rsidR="00EF2613" w:rsidRPr="00F87E3A" w14:paraId="0AC74CC8"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8F93368"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2B35EDC8" w14:textId="4A2B2BE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single" w:sz="4" w:space="0" w:color="auto"/>
              <w:left w:val="nil"/>
              <w:bottom w:val="nil"/>
              <w:right w:val="nil"/>
            </w:tcBorders>
            <w:shd w:val="clear" w:color="auto" w:fill="auto"/>
            <w:noWrap/>
            <w:vAlign w:val="center"/>
            <w:hideMark/>
          </w:tcPr>
          <w:p w14:paraId="4EEFD2B2" w14:textId="23C1BC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w:t>
            </w:r>
          </w:p>
        </w:tc>
        <w:tc>
          <w:tcPr>
            <w:tcW w:w="1020" w:type="dxa"/>
            <w:tcBorders>
              <w:top w:val="single" w:sz="4" w:space="0" w:color="auto"/>
              <w:left w:val="nil"/>
              <w:bottom w:val="nil"/>
              <w:right w:val="nil"/>
            </w:tcBorders>
            <w:vAlign w:val="center"/>
          </w:tcPr>
          <w:p w14:paraId="6172C39D" w14:textId="4CF026D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21.22%</w:t>
            </w:r>
          </w:p>
        </w:tc>
      </w:tr>
      <w:tr w:rsidR="00EF2613" w:rsidRPr="00F87E3A" w14:paraId="66861A46" w14:textId="77777777" w:rsidTr="00D01B9E">
        <w:trPr>
          <w:trHeight w:val="278"/>
          <w:jc w:val="right"/>
        </w:trPr>
        <w:tc>
          <w:tcPr>
            <w:tcW w:w="1680" w:type="dxa"/>
            <w:vMerge/>
            <w:tcBorders>
              <w:top w:val="nil"/>
              <w:left w:val="nil"/>
              <w:bottom w:val="nil"/>
              <w:right w:val="nil"/>
            </w:tcBorders>
            <w:vAlign w:val="center"/>
            <w:hideMark/>
          </w:tcPr>
          <w:p w14:paraId="1AD959F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F5D333F" w14:textId="5892F4F0"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5583BB8C" w14:textId="53A838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39BEC486" w14:textId="5E95B8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14.81%</w:t>
            </w:r>
          </w:p>
        </w:tc>
      </w:tr>
      <w:tr w:rsidR="00EF2613" w:rsidRPr="00F87E3A" w14:paraId="6858D66C" w14:textId="77777777" w:rsidTr="00D01B9E">
        <w:trPr>
          <w:trHeight w:val="278"/>
          <w:jc w:val="right"/>
        </w:trPr>
        <w:tc>
          <w:tcPr>
            <w:tcW w:w="1680" w:type="dxa"/>
            <w:vMerge/>
            <w:tcBorders>
              <w:top w:val="nil"/>
              <w:left w:val="nil"/>
              <w:bottom w:val="nil"/>
              <w:right w:val="nil"/>
            </w:tcBorders>
            <w:vAlign w:val="center"/>
            <w:hideMark/>
          </w:tcPr>
          <w:p w14:paraId="41AAE837"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49B5853" w14:textId="43A7CCC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669859E4" w14:textId="185DE1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26</w:t>
            </w:r>
          </w:p>
        </w:tc>
        <w:tc>
          <w:tcPr>
            <w:tcW w:w="1020" w:type="dxa"/>
            <w:tcBorders>
              <w:top w:val="nil"/>
              <w:left w:val="nil"/>
              <w:bottom w:val="nil"/>
              <w:right w:val="nil"/>
            </w:tcBorders>
            <w:vAlign w:val="center"/>
          </w:tcPr>
          <w:p w14:paraId="7DBD75B0" w14:textId="68A40DD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15.96%</w:t>
            </w:r>
          </w:p>
        </w:tc>
      </w:tr>
      <w:tr w:rsidR="00EF2613" w:rsidRPr="00F87E3A" w14:paraId="76565394" w14:textId="77777777" w:rsidTr="00D01B9E">
        <w:trPr>
          <w:trHeight w:val="278"/>
          <w:jc w:val="right"/>
        </w:trPr>
        <w:tc>
          <w:tcPr>
            <w:tcW w:w="1680" w:type="dxa"/>
            <w:vMerge/>
            <w:tcBorders>
              <w:top w:val="nil"/>
              <w:left w:val="nil"/>
              <w:bottom w:val="nil"/>
              <w:right w:val="nil"/>
            </w:tcBorders>
            <w:vAlign w:val="center"/>
            <w:hideMark/>
          </w:tcPr>
          <w:p w14:paraId="3326E63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65BBFC6" w14:textId="004FD84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中证港股通综合指数收益率</w:t>
            </w:r>
          </w:p>
        </w:tc>
        <w:tc>
          <w:tcPr>
            <w:tcW w:w="1020" w:type="dxa"/>
            <w:gridSpan w:val="2"/>
            <w:tcBorders>
              <w:top w:val="nil"/>
              <w:left w:val="nil"/>
              <w:bottom w:val="nil"/>
              <w:right w:val="nil"/>
            </w:tcBorders>
            <w:shd w:val="clear" w:color="auto" w:fill="auto"/>
            <w:noWrap/>
            <w:vAlign w:val="center"/>
            <w:hideMark/>
          </w:tcPr>
          <w:p w14:paraId="38D8F44F" w14:textId="4339D50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76214B65" w14:textId="526DA9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15.50%</w:t>
            </w:r>
          </w:p>
        </w:tc>
      </w:tr>
      <w:tr w:rsidR="00EF2613" w:rsidRPr="00F87E3A" w14:paraId="08DF2716" w14:textId="77777777" w:rsidTr="00D01B9E">
        <w:trPr>
          <w:trHeight w:val="278"/>
          <w:jc w:val="right"/>
        </w:trPr>
        <w:tc>
          <w:tcPr>
            <w:tcW w:w="1680" w:type="dxa"/>
            <w:vMerge/>
            <w:tcBorders>
              <w:top w:val="nil"/>
              <w:left w:val="nil"/>
              <w:bottom w:val="single" w:sz="4" w:space="0" w:color="auto"/>
              <w:right w:val="nil"/>
            </w:tcBorders>
            <w:vAlign w:val="center"/>
            <w:hideMark/>
          </w:tcPr>
          <w:p w14:paraId="68D158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23F79A2" w14:textId="3400C85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single" w:sz="4" w:space="0" w:color="auto"/>
              <w:right w:val="nil"/>
            </w:tcBorders>
            <w:shd w:val="clear" w:color="auto" w:fill="auto"/>
            <w:noWrap/>
            <w:vAlign w:val="center"/>
            <w:hideMark/>
          </w:tcPr>
          <w:p w14:paraId="182A1638" w14:textId="1A2F6C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single" w:sz="4" w:space="0" w:color="auto"/>
              <w:right w:val="nil"/>
            </w:tcBorders>
            <w:vAlign w:val="center"/>
          </w:tcPr>
          <w:p w14:paraId="21A31812" w14:textId="403C002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D90222A"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73EB2179"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E701EC9" w14:textId="54C3BD6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中证海外中国互联网指数收益率</w:t>
            </w:r>
          </w:p>
        </w:tc>
        <w:tc>
          <w:tcPr>
            <w:tcW w:w="1020" w:type="dxa"/>
            <w:gridSpan w:val="2"/>
            <w:tcBorders>
              <w:top w:val="single" w:sz="4" w:space="0" w:color="auto"/>
              <w:left w:val="nil"/>
              <w:bottom w:val="nil"/>
              <w:right w:val="nil"/>
            </w:tcBorders>
            <w:shd w:val="clear" w:color="auto" w:fill="auto"/>
            <w:noWrap/>
            <w:vAlign w:val="center"/>
            <w:hideMark/>
          </w:tcPr>
          <w:p w14:paraId="4E59DA5D" w14:textId="64281EF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single" w:sz="4" w:space="0" w:color="auto"/>
              <w:left w:val="nil"/>
              <w:bottom w:val="nil"/>
              <w:right w:val="nil"/>
            </w:tcBorders>
            <w:vAlign w:val="center"/>
          </w:tcPr>
          <w:p w14:paraId="681AF75A" w14:textId="683FE8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568D212" w14:textId="77777777" w:rsidTr="00D01B9E">
        <w:trPr>
          <w:trHeight w:val="278"/>
          <w:jc w:val="right"/>
        </w:trPr>
        <w:tc>
          <w:tcPr>
            <w:tcW w:w="1680" w:type="dxa"/>
            <w:vMerge/>
            <w:tcBorders>
              <w:top w:val="nil"/>
              <w:left w:val="nil"/>
              <w:bottom w:val="nil"/>
              <w:right w:val="nil"/>
            </w:tcBorders>
            <w:vAlign w:val="center"/>
            <w:hideMark/>
          </w:tcPr>
          <w:p w14:paraId="4D7BA9B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2B4A2C" w14:textId="02FD374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摩根士丹利资本国际全球指数</w:t>
            </w:r>
            <w:r>
              <w:rPr>
                <w:rFonts w:ascii="Arial" w:eastAsia="等线" w:hAnsi="Arial" w:cs="Arial"/>
                <w:b/>
                <w:bCs/>
                <w:color w:val="0F243E"/>
                <w:sz w:val="16"/>
                <w:szCs w:val="16"/>
              </w:rPr>
              <w:t>(MSCI All Country World Index)</w:t>
            </w:r>
            <w:r>
              <w:rPr>
                <w:rFonts w:ascii="Arial" w:eastAsia="等线" w:hAnsi="Arial" w:cs="Arial"/>
                <w:b/>
                <w:bCs/>
                <w:color w:val="0F243E"/>
                <w:sz w:val="16"/>
                <w:szCs w:val="16"/>
              </w:rPr>
              <w:t>收益率</w:t>
            </w:r>
          </w:p>
        </w:tc>
        <w:tc>
          <w:tcPr>
            <w:tcW w:w="1020" w:type="dxa"/>
            <w:gridSpan w:val="2"/>
            <w:tcBorders>
              <w:top w:val="nil"/>
              <w:left w:val="nil"/>
              <w:bottom w:val="nil"/>
              <w:right w:val="nil"/>
            </w:tcBorders>
            <w:shd w:val="clear" w:color="auto" w:fill="auto"/>
            <w:noWrap/>
            <w:vAlign w:val="center"/>
            <w:hideMark/>
          </w:tcPr>
          <w:p w14:paraId="43C9284A" w14:textId="560DD10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171B8277" w14:textId="54B9FD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40CB8A2C" w14:textId="77777777" w:rsidTr="00D01B9E">
        <w:trPr>
          <w:trHeight w:val="278"/>
          <w:jc w:val="right"/>
        </w:trPr>
        <w:tc>
          <w:tcPr>
            <w:tcW w:w="1680" w:type="dxa"/>
            <w:vMerge/>
            <w:tcBorders>
              <w:top w:val="nil"/>
              <w:left w:val="nil"/>
              <w:bottom w:val="nil"/>
              <w:right w:val="nil"/>
            </w:tcBorders>
            <w:vAlign w:val="center"/>
            <w:hideMark/>
          </w:tcPr>
          <w:p w14:paraId="714FB0E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942D993" w14:textId="79AF47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w:t>
            </w:r>
            <w:r>
              <w:rPr>
                <w:rFonts w:ascii="Arial" w:eastAsia="等线" w:hAnsi="Arial" w:cs="Arial"/>
                <w:b/>
                <w:bCs/>
                <w:color w:val="0F243E"/>
                <w:sz w:val="16"/>
                <w:szCs w:val="16"/>
              </w:rPr>
              <w:t>美国</w:t>
            </w:r>
            <w:r>
              <w:rPr>
                <w:rFonts w:ascii="Arial" w:eastAsia="等线" w:hAnsi="Arial" w:cs="Arial"/>
                <w:b/>
                <w:bCs/>
                <w:color w:val="0F243E"/>
                <w:sz w:val="16"/>
                <w:szCs w:val="16"/>
              </w:rPr>
              <w:t>10</w:t>
            </w:r>
            <w:r>
              <w:rPr>
                <w:rFonts w:ascii="Arial" w:eastAsia="等线" w:hAnsi="Arial" w:cs="Arial"/>
                <w:b/>
                <w:bCs/>
                <w:color w:val="0F243E"/>
                <w:sz w:val="16"/>
                <w:szCs w:val="16"/>
              </w:rPr>
              <w:t>年期国债收益率</w:t>
            </w:r>
          </w:p>
        </w:tc>
        <w:tc>
          <w:tcPr>
            <w:tcW w:w="1020" w:type="dxa"/>
            <w:gridSpan w:val="2"/>
            <w:tcBorders>
              <w:top w:val="nil"/>
              <w:left w:val="nil"/>
              <w:bottom w:val="nil"/>
              <w:right w:val="nil"/>
            </w:tcBorders>
            <w:shd w:val="clear" w:color="auto" w:fill="auto"/>
            <w:noWrap/>
            <w:vAlign w:val="center"/>
            <w:hideMark/>
          </w:tcPr>
          <w:p w14:paraId="34A1AADA" w14:textId="3C0D98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9244DDB" w14:textId="166B4D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E285600" w14:textId="77777777" w:rsidTr="00D01B9E">
        <w:trPr>
          <w:trHeight w:val="278"/>
          <w:jc w:val="right"/>
        </w:trPr>
        <w:tc>
          <w:tcPr>
            <w:tcW w:w="1680" w:type="dxa"/>
            <w:vMerge/>
            <w:tcBorders>
              <w:top w:val="nil"/>
              <w:left w:val="nil"/>
              <w:bottom w:val="nil"/>
              <w:right w:val="nil"/>
            </w:tcBorders>
            <w:vAlign w:val="center"/>
            <w:hideMark/>
          </w:tcPr>
          <w:p w14:paraId="5B809BF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FED293A" w14:textId="2E3B2CE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1.5%)</w:t>
            </w:r>
          </w:p>
        </w:tc>
        <w:tc>
          <w:tcPr>
            <w:tcW w:w="1020" w:type="dxa"/>
            <w:gridSpan w:val="2"/>
            <w:tcBorders>
              <w:top w:val="nil"/>
              <w:left w:val="nil"/>
              <w:bottom w:val="nil"/>
              <w:right w:val="nil"/>
            </w:tcBorders>
            <w:shd w:val="clear" w:color="auto" w:fill="auto"/>
            <w:noWrap/>
            <w:vAlign w:val="center"/>
            <w:hideMark/>
          </w:tcPr>
          <w:p w14:paraId="78537A9F" w14:textId="0169C2D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5941CF9" w14:textId="73320C0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A229DBC" w14:textId="77777777" w:rsidTr="00D01B9E">
        <w:trPr>
          <w:trHeight w:val="278"/>
          <w:jc w:val="right"/>
        </w:trPr>
        <w:tc>
          <w:tcPr>
            <w:tcW w:w="1680" w:type="dxa"/>
            <w:vMerge/>
            <w:tcBorders>
              <w:top w:val="nil"/>
              <w:left w:val="nil"/>
              <w:bottom w:val="single" w:sz="4" w:space="0" w:color="auto"/>
              <w:right w:val="nil"/>
            </w:tcBorders>
            <w:vAlign w:val="center"/>
            <w:hideMark/>
          </w:tcPr>
          <w:p w14:paraId="3C77F3C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0D0C2FB" w14:textId="65B6428A"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3D50A46" w14:textId="19F316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nil"/>
              <w:left w:val="nil"/>
              <w:bottom w:val="single" w:sz="4" w:space="0" w:color="auto"/>
              <w:right w:val="nil"/>
            </w:tcBorders>
            <w:vAlign w:val="center"/>
          </w:tcPr>
          <w:p w14:paraId="5EF7F944" w14:textId="3C6C0A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696B6FFB"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D0A350D"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BA201F3" w14:textId="5F169BA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single" w:sz="4" w:space="0" w:color="auto"/>
              <w:left w:val="nil"/>
              <w:bottom w:val="nil"/>
              <w:right w:val="nil"/>
            </w:tcBorders>
            <w:shd w:val="clear" w:color="auto" w:fill="auto"/>
            <w:noWrap/>
            <w:vAlign w:val="center"/>
            <w:hideMark/>
          </w:tcPr>
          <w:p w14:paraId="31319308" w14:textId="74513B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single" w:sz="4" w:space="0" w:color="auto"/>
              <w:left w:val="nil"/>
              <w:bottom w:val="nil"/>
              <w:right w:val="nil"/>
            </w:tcBorders>
            <w:vAlign w:val="center"/>
          </w:tcPr>
          <w:p w14:paraId="55E265E2" w14:textId="552B00B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7137A952" w14:textId="77777777" w:rsidTr="00D01B9E">
        <w:trPr>
          <w:trHeight w:val="278"/>
          <w:jc w:val="right"/>
        </w:trPr>
        <w:tc>
          <w:tcPr>
            <w:tcW w:w="1680" w:type="dxa"/>
            <w:vMerge/>
            <w:tcBorders>
              <w:top w:val="nil"/>
              <w:left w:val="nil"/>
              <w:bottom w:val="nil"/>
              <w:right w:val="nil"/>
            </w:tcBorders>
            <w:vAlign w:val="center"/>
            <w:hideMark/>
          </w:tcPr>
          <w:p w14:paraId="59B3EB1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4DC0D1" w14:textId="4129DD5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FEB035E" w14:textId="5D7092D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05ED0724" w14:textId="108278C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7AD38180" w14:textId="77777777" w:rsidTr="00D01B9E">
        <w:trPr>
          <w:trHeight w:val="278"/>
          <w:jc w:val="right"/>
        </w:trPr>
        <w:tc>
          <w:tcPr>
            <w:tcW w:w="1680" w:type="dxa"/>
            <w:vMerge/>
            <w:tcBorders>
              <w:top w:val="nil"/>
              <w:left w:val="nil"/>
              <w:bottom w:val="nil"/>
              <w:right w:val="nil"/>
            </w:tcBorders>
            <w:vAlign w:val="center"/>
            <w:hideMark/>
          </w:tcPr>
          <w:p w14:paraId="7F67A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663A706" w14:textId="07ADF7B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80B5CEE" w14:textId="160CC6A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66F908CD" w14:textId="7B9AC6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048A87F" w14:textId="77777777" w:rsidTr="00D01B9E">
        <w:trPr>
          <w:trHeight w:val="278"/>
          <w:jc w:val="right"/>
        </w:trPr>
        <w:tc>
          <w:tcPr>
            <w:tcW w:w="1680" w:type="dxa"/>
            <w:vMerge/>
            <w:tcBorders>
              <w:top w:val="nil"/>
              <w:left w:val="nil"/>
              <w:bottom w:val="nil"/>
              <w:right w:val="nil"/>
            </w:tcBorders>
            <w:vAlign w:val="center"/>
            <w:hideMark/>
          </w:tcPr>
          <w:p w14:paraId="1F1C14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445B58" w14:textId="567F26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nil"/>
              <w:right w:val="nil"/>
            </w:tcBorders>
            <w:shd w:val="clear" w:color="auto" w:fill="auto"/>
            <w:noWrap/>
            <w:vAlign w:val="center"/>
            <w:hideMark/>
          </w:tcPr>
          <w:p w14:paraId="4070F25F" w14:textId="60FC02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480EF137" w14:textId="52F553B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2C4FCD7" w14:textId="77777777" w:rsidTr="00D01B9E">
        <w:trPr>
          <w:trHeight w:val="278"/>
          <w:jc w:val="right"/>
        </w:trPr>
        <w:tc>
          <w:tcPr>
            <w:tcW w:w="1680" w:type="dxa"/>
            <w:vMerge/>
            <w:tcBorders>
              <w:top w:val="nil"/>
              <w:left w:val="nil"/>
              <w:bottom w:val="single" w:sz="4" w:space="0" w:color="auto"/>
              <w:right w:val="nil"/>
            </w:tcBorders>
            <w:vAlign w:val="center"/>
            <w:hideMark/>
          </w:tcPr>
          <w:p w14:paraId="7E74B79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EB54466" w14:textId="4411E0B5"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single" w:sz="4" w:space="0" w:color="auto"/>
              <w:right w:val="nil"/>
            </w:tcBorders>
            <w:shd w:val="clear" w:color="auto" w:fill="auto"/>
            <w:noWrap/>
            <w:vAlign w:val="center"/>
            <w:hideMark/>
          </w:tcPr>
          <w:p w14:paraId="6B0DEC05" w14:textId="29D487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single" w:sz="4" w:space="0" w:color="auto"/>
              <w:right w:val="nil"/>
            </w:tcBorders>
            <w:vAlign w:val="center"/>
          </w:tcPr>
          <w:p w14:paraId="10247C66" w14:textId="2E8C139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1847C6A1" w14:textId="77777777" w:rsidTr="00D01B9E">
        <w:trPr>
          <w:trHeight w:val="278"/>
          <w:jc w:val="right"/>
        </w:trPr>
        <w:tc>
          <w:tcPr>
            <w:tcW w:w="7802" w:type="dxa"/>
            <w:gridSpan w:val="5"/>
            <w:tcBorders>
              <w:top w:val="single" w:sz="8" w:space="0" w:color="auto"/>
              <w:left w:val="nil"/>
              <w:right w:val="nil"/>
            </w:tcBorders>
            <w:vAlign w:val="center"/>
          </w:tcPr>
          <w:p w14:paraId="3A24AF41"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2C6420B7" w14:textId="77777777" w:rsidR="00EF2613" w:rsidRPr="00C66411" w:rsidRDefault="00EF2613" w:rsidP="00D01B9E">
            <w:pPr>
              <w:pStyle w:val="aff2"/>
              <w:ind w:leftChars="-54" w:left="-130"/>
            </w:pPr>
          </w:p>
        </w:tc>
      </w:tr>
    </w:tbl>
    <w:p w14:paraId="1DEAE824" w14:textId="42E8C18A" w:rsidR="00EF2613" w:rsidRDefault="00EF2613" w:rsidP="009307D7">
      <w:pPr>
        <w:pStyle w:val="ae"/>
        <w:spacing w:beforeLines="50" w:before="163" w:afterLines="50" w:after="163" w:line="252" w:lineRule="auto"/>
        <w:ind w:left="3017"/>
        <w:jc w:val="both"/>
        <w:rPr>
          <w:lang w:eastAsia="zh-CN"/>
        </w:rPr>
      </w:pPr>
    </w:p>
    <w:p w14:paraId="76559589" w14:textId="0C8E72B2" w:rsidR="005C657C" w:rsidRDefault="005C657C" w:rsidP="009307D7">
      <w:pPr>
        <w:pStyle w:val="ae"/>
        <w:spacing w:beforeLines="50" w:before="163" w:afterLines="50" w:after="163" w:line="252" w:lineRule="auto"/>
        <w:ind w:left="3017"/>
        <w:jc w:val="both"/>
        <w:rPr>
          <w:lang w:eastAsia="zh-CN"/>
        </w:rPr>
      </w:pPr>
    </w:p>
    <w:p w14:paraId="4FD2DEF8" w14:textId="73C266AB" w:rsidR="005C657C" w:rsidRDefault="005C657C" w:rsidP="009307D7">
      <w:pPr>
        <w:pStyle w:val="ae"/>
        <w:spacing w:beforeLines="50" w:before="163" w:afterLines="50" w:after="163" w:line="252" w:lineRule="auto"/>
        <w:ind w:left="3017"/>
        <w:jc w:val="both"/>
        <w:rPr>
          <w:lang w:eastAsia="zh-CN"/>
        </w:rPr>
      </w:pPr>
    </w:p>
    <w:p w14:paraId="03E9B2AC" w14:textId="77777777" w:rsidR="005C657C" w:rsidRDefault="005C657C" w:rsidP="009307D7">
      <w:pPr>
        <w:pStyle w:val="ae"/>
        <w:spacing w:beforeLines="50" w:before="163" w:afterLines="50" w:after="163" w:line="252" w:lineRule="auto"/>
        <w:ind w:left="3017"/>
        <w:jc w:val="both"/>
        <w:rPr>
          <w:lang w:eastAsia="zh-CN"/>
        </w:rPr>
      </w:pPr>
    </w:p>
    <w:tbl>
      <w:tblPr>
        <w:tblW w:w="10431" w:type="dxa"/>
        <w:tblInd w:w="130" w:type="dxa"/>
        <w:tblLayout w:type="fixed"/>
        <w:tblLook w:val="04A0" w:firstRow="1" w:lastRow="0" w:firstColumn="1" w:lastColumn="0" w:noHBand="0" w:noVBand="1"/>
      </w:tblPr>
      <w:tblGrid>
        <w:gridCol w:w="5046"/>
        <w:gridCol w:w="28"/>
        <w:gridCol w:w="255"/>
        <w:gridCol w:w="28"/>
        <w:gridCol w:w="5046"/>
        <w:gridCol w:w="28"/>
      </w:tblGrid>
      <w:tr w:rsidR="00D739B5" w:rsidRPr="00C72F7D" w14:paraId="4484346F" w14:textId="77777777" w:rsidTr="00D01B9E">
        <w:tc>
          <w:tcPr>
            <w:tcW w:w="5074" w:type="dxa"/>
            <w:gridSpan w:val="2"/>
            <w:tcBorders>
              <w:top w:val="nil"/>
              <w:left w:val="nil"/>
              <w:bottom w:val="single" w:sz="4" w:space="0" w:color="auto"/>
              <w:right w:val="nil"/>
            </w:tcBorders>
            <w:hideMark/>
          </w:tcPr>
          <w:p w14:paraId="199C7E87" w14:textId="298E2E7D" w:rsidR="00D739B5" w:rsidRPr="00C72F7D" w:rsidRDefault="00D739B5" w:rsidP="00D01B9E">
            <w:pPr>
              <w:pStyle w:val="af0"/>
              <w:ind w:leftChars="-54" w:left="-130"/>
              <w:rPr>
                <w:lang w:eastAsia="zh-CN"/>
              </w:rPr>
            </w:pPr>
            <w:bookmarkStart w:id="43" w:name="_Toc65799000"/>
            <w:r>
              <w:rPr>
                <w:rFonts w:hint="eastAsia"/>
                <w:lang w:eastAsia="zh-CN"/>
              </w:rPr>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10512F">
              <w:rPr>
                <w:noProof/>
                <w:lang w:eastAsia="zh-CN"/>
              </w:rPr>
              <w:t>5</w:t>
            </w:r>
            <w:r>
              <w:fldChar w:fldCharType="end"/>
            </w:r>
            <w:r>
              <w:rPr>
                <w:rFonts w:hint="eastAsia"/>
                <w:lang w:eastAsia="zh-CN"/>
              </w:rPr>
              <w:t>：</w:t>
            </w:r>
            <w:r w:rsidR="00D01B9E">
              <w:rPr>
                <w:rFonts w:hint="eastAsia"/>
                <w:lang w:eastAsia="zh-CN"/>
              </w:rPr>
              <w:t>偏股混合型基金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3"/>
          </w:p>
        </w:tc>
        <w:tc>
          <w:tcPr>
            <w:tcW w:w="283" w:type="dxa"/>
            <w:gridSpan w:val="2"/>
          </w:tcPr>
          <w:p w14:paraId="23AEC382" w14:textId="77777777" w:rsidR="00D739B5" w:rsidRPr="00490D55" w:rsidRDefault="00D739B5" w:rsidP="00D01B9E">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028F0A21" w14:textId="06FC1DF0" w:rsidR="00D739B5" w:rsidRPr="00C72F7D" w:rsidRDefault="00D739B5" w:rsidP="00D01B9E">
            <w:pPr>
              <w:pStyle w:val="af0"/>
              <w:ind w:leftChars="-41" w:left="-98"/>
              <w:rPr>
                <w:lang w:eastAsia="zh-CN"/>
              </w:rPr>
            </w:pPr>
            <w:bookmarkStart w:id="44" w:name="_Toc65799001"/>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6</w:t>
            </w:r>
            <w:r>
              <w:fldChar w:fldCharType="end"/>
            </w:r>
            <w:r>
              <w:rPr>
                <w:rFonts w:hint="eastAsia"/>
                <w:lang w:eastAsia="zh-CN"/>
              </w:rPr>
              <w:t>：</w:t>
            </w:r>
            <w:r w:rsidR="00390048">
              <w:rPr>
                <w:rFonts w:hint="eastAsia"/>
                <w:lang w:eastAsia="zh-CN"/>
              </w:rPr>
              <w:t>偏股混合型基金</w:t>
            </w:r>
            <w:r w:rsidRPr="0040539B">
              <w:rPr>
                <w:rFonts w:hint="eastAsia"/>
                <w:lang w:eastAsia="zh-CN"/>
              </w:rPr>
              <w:t>所选</w:t>
            </w:r>
            <w:r>
              <w:rPr>
                <w:rFonts w:hint="eastAsia"/>
                <w:lang w:eastAsia="zh-CN"/>
              </w:rPr>
              <w:t>第二基准</w:t>
            </w:r>
            <w:r w:rsidRPr="0040539B">
              <w:rPr>
                <w:rFonts w:hint="eastAsia"/>
                <w:lang w:eastAsia="zh-CN"/>
              </w:rPr>
              <w:t>应的基金数目</w:t>
            </w:r>
            <w:bookmarkEnd w:id="44"/>
          </w:p>
        </w:tc>
      </w:tr>
      <w:tr w:rsidR="00D739B5" w:rsidRPr="009B1FB9" w14:paraId="464ED48F" w14:textId="77777777" w:rsidTr="00D01B9E">
        <w:trPr>
          <w:gridAfter w:val="1"/>
          <w:wAfter w:w="28" w:type="dxa"/>
          <w:trHeight w:hRule="exact" w:val="2551"/>
        </w:trPr>
        <w:tc>
          <w:tcPr>
            <w:tcW w:w="5046" w:type="dxa"/>
            <w:tcBorders>
              <w:top w:val="single" w:sz="4" w:space="0" w:color="auto"/>
              <w:left w:val="nil"/>
              <w:bottom w:val="single" w:sz="4" w:space="0" w:color="auto"/>
              <w:right w:val="nil"/>
            </w:tcBorders>
            <w:vAlign w:val="center"/>
          </w:tcPr>
          <w:p w14:paraId="1EDC52C1" w14:textId="0FCA1485" w:rsidR="00D739B5" w:rsidRPr="00D739B5" w:rsidRDefault="00D01B9E" w:rsidP="00D739B5">
            <w:pPr>
              <w:pStyle w:val="ae"/>
              <w:spacing w:after="0"/>
              <w:ind w:leftChars="0" w:left="0"/>
              <w:rPr>
                <w:rFonts w:eastAsia="PMingLiU" w:cs="Arial"/>
                <w:lang w:eastAsia="zh-CN"/>
              </w:rPr>
            </w:pPr>
            <w:r>
              <w:rPr>
                <w:noProof/>
              </w:rPr>
              <w:lastRenderedPageBreak/>
              <w:drawing>
                <wp:inline distT="0" distB="0" distL="0" distR="0" wp14:anchorId="5681E604" wp14:editId="0C6F331D">
                  <wp:extent cx="2880000" cy="1440000"/>
                  <wp:effectExtent l="0" t="0" r="0" b="8255"/>
                  <wp:docPr id="98" name="图表 98">
                    <a:extLst xmlns:a="http://schemas.openxmlformats.org/drawingml/2006/main">
                      <a:ext uri="{FF2B5EF4-FFF2-40B4-BE49-F238E27FC236}">
                        <a16:creationId xmlns:a16="http://schemas.microsoft.com/office/drawing/2014/main" id="{7452655D-428C-4EB0-AAD9-66E35DCDB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tc>
        <w:tc>
          <w:tcPr>
            <w:tcW w:w="283" w:type="dxa"/>
            <w:gridSpan w:val="2"/>
          </w:tcPr>
          <w:p w14:paraId="055F8B16" w14:textId="77777777" w:rsidR="00D739B5" w:rsidRPr="009B1FB9" w:rsidRDefault="00D739B5" w:rsidP="00D01B9E">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3D677DB8" w14:textId="2507B709" w:rsidR="00D739B5" w:rsidRPr="009B1FB9" w:rsidRDefault="00D01B9E" w:rsidP="00D01B9E">
            <w:pPr>
              <w:pStyle w:val="ae"/>
              <w:spacing w:after="0"/>
              <w:ind w:leftChars="0" w:left="0"/>
              <w:jc w:val="both"/>
              <w:rPr>
                <w:rFonts w:cs="Arial"/>
                <w:lang w:eastAsia="zh-CN"/>
              </w:rPr>
            </w:pPr>
            <w:r>
              <w:rPr>
                <w:noProof/>
              </w:rPr>
              <w:drawing>
                <wp:inline distT="0" distB="0" distL="0" distR="0" wp14:anchorId="3405A4BE" wp14:editId="2180C50E">
                  <wp:extent cx="2880000" cy="1440000"/>
                  <wp:effectExtent l="0" t="0" r="0" b="8255"/>
                  <wp:docPr id="99" name="图表 99">
                    <a:extLst xmlns:a="http://schemas.openxmlformats.org/drawingml/2006/main">
                      <a:ext uri="{FF2B5EF4-FFF2-40B4-BE49-F238E27FC236}">
                        <a16:creationId xmlns:a16="http://schemas.microsoft.com/office/drawing/2014/main" id="{C67CB92D-DBCB-4F59-8D5B-935270B90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tc>
      </w:tr>
      <w:tr w:rsidR="00D739B5" w:rsidRPr="00C72F7D" w14:paraId="509D8D09" w14:textId="77777777" w:rsidTr="00D01B9E">
        <w:tc>
          <w:tcPr>
            <w:tcW w:w="5074" w:type="dxa"/>
            <w:gridSpan w:val="2"/>
            <w:tcBorders>
              <w:left w:val="nil"/>
              <w:bottom w:val="nil"/>
              <w:right w:val="nil"/>
            </w:tcBorders>
            <w:hideMark/>
          </w:tcPr>
          <w:p w14:paraId="593D4E2F" w14:textId="755DC92F" w:rsidR="00D739B5" w:rsidRPr="00C72F7D" w:rsidRDefault="00D739B5" w:rsidP="00D01B9E">
            <w:pPr>
              <w:pStyle w:val="af0"/>
              <w:ind w:leftChars="-54" w:left="-130"/>
              <w:rPr>
                <w:lang w:eastAsia="zh-CN"/>
              </w:rPr>
            </w:pPr>
            <w:bookmarkStart w:id="45" w:name="_Toc65799002"/>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7</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5"/>
          </w:p>
        </w:tc>
        <w:tc>
          <w:tcPr>
            <w:tcW w:w="283" w:type="dxa"/>
            <w:gridSpan w:val="2"/>
          </w:tcPr>
          <w:p w14:paraId="1FED51EB" w14:textId="77777777" w:rsidR="00D739B5" w:rsidRPr="0040539B" w:rsidRDefault="00D739B5" w:rsidP="00D01B9E">
            <w:pPr>
              <w:pStyle w:val="af0"/>
              <w:ind w:leftChars="-54" w:left="-130"/>
              <w:rPr>
                <w:lang w:eastAsia="zh-CN"/>
              </w:rPr>
            </w:pPr>
          </w:p>
        </w:tc>
        <w:tc>
          <w:tcPr>
            <w:tcW w:w="5074" w:type="dxa"/>
            <w:gridSpan w:val="2"/>
            <w:tcBorders>
              <w:left w:val="nil"/>
              <w:bottom w:val="nil"/>
              <w:right w:val="nil"/>
            </w:tcBorders>
            <w:hideMark/>
          </w:tcPr>
          <w:p w14:paraId="6E6C6CF9" w14:textId="111ECFCB" w:rsidR="00D739B5" w:rsidRPr="00C72F7D" w:rsidRDefault="00D739B5" w:rsidP="00D01B9E">
            <w:pPr>
              <w:pStyle w:val="af0"/>
              <w:ind w:leftChars="-54" w:left="-130"/>
              <w:rPr>
                <w:lang w:eastAsia="zh-CN"/>
              </w:rPr>
            </w:pPr>
            <w:bookmarkStart w:id="46" w:name="_Toc65799003"/>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8</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6"/>
          </w:p>
        </w:tc>
      </w:tr>
      <w:tr w:rsidR="00D739B5" w:rsidRPr="009B1FB9" w14:paraId="37505884" w14:textId="77777777" w:rsidTr="00D01B9E">
        <w:trPr>
          <w:trHeight w:val="3005"/>
        </w:trPr>
        <w:tc>
          <w:tcPr>
            <w:tcW w:w="5074" w:type="dxa"/>
            <w:gridSpan w:val="2"/>
            <w:tcBorders>
              <w:top w:val="single" w:sz="4" w:space="0" w:color="auto"/>
              <w:left w:val="nil"/>
              <w:bottom w:val="single" w:sz="4" w:space="0" w:color="auto"/>
              <w:right w:val="nil"/>
            </w:tcBorders>
            <w:hideMark/>
          </w:tcPr>
          <w:p w14:paraId="4738606B" w14:textId="3E102585" w:rsidR="00D739B5" w:rsidRPr="0040539B" w:rsidRDefault="00D01B9E" w:rsidP="00D01B9E">
            <w:pPr>
              <w:pStyle w:val="aff2"/>
              <w:ind w:leftChars="-54" w:left="-130"/>
            </w:pPr>
            <w:r>
              <w:rPr>
                <w:noProof/>
              </w:rPr>
              <w:drawing>
                <wp:inline distT="0" distB="0" distL="0" distR="0" wp14:anchorId="0C7C45DC" wp14:editId="542FA908">
                  <wp:extent cx="2880000" cy="1440000"/>
                  <wp:effectExtent l="0" t="0" r="0" b="8255"/>
                  <wp:docPr id="104" name="图表 104">
                    <a:extLst xmlns:a="http://schemas.openxmlformats.org/drawingml/2006/main">
                      <a:ext uri="{FF2B5EF4-FFF2-40B4-BE49-F238E27FC236}">
                        <a16:creationId xmlns:a16="http://schemas.microsoft.com/office/drawing/2014/main" id="{275A4994-8796-47A9-85D1-62E9F5774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tc>
        <w:tc>
          <w:tcPr>
            <w:tcW w:w="283" w:type="dxa"/>
            <w:gridSpan w:val="2"/>
            <w:tcBorders>
              <w:bottom w:val="single" w:sz="4" w:space="0" w:color="auto"/>
            </w:tcBorders>
          </w:tcPr>
          <w:p w14:paraId="58D7D404"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6AED93EA" w14:textId="510477B9" w:rsidR="00D739B5" w:rsidRPr="0040539B" w:rsidRDefault="00D01B9E" w:rsidP="00D01B9E">
            <w:pPr>
              <w:pStyle w:val="aff2"/>
              <w:ind w:leftChars="-41" w:left="-98"/>
            </w:pPr>
            <w:r>
              <w:rPr>
                <w:noProof/>
              </w:rPr>
              <w:drawing>
                <wp:inline distT="0" distB="0" distL="0" distR="0" wp14:anchorId="3371E3C7" wp14:editId="54A4DA28">
                  <wp:extent cx="2880000" cy="1440000"/>
                  <wp:effectExtent l="0" t="0" r="0" b="8255"/>
                  <wp:docPr id="105" name="图表 105">
                    <a:extLst xmlns:a="http://schemas.openxmlformats.org/drawingml/2006/main">
                      <a:ext uri="{FF2B5EF4-FFF2-40B4-BE49-F238E27FC236}">
                        <a16:creationId xmlns:a16="http://schemas.microsoft.com/office/drawing/2014/main" id="{3101A38D-4BEA-42FC-9296-B028FF6BF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tc>
      </w:tr>
      <w:tr w:rsidR="00C374B0" w:rsidRPr="00C72F7D" w14:paraId="67604FB2" w14:textId="77777777" w:rsidTr="00D01B9E">
        <w:tc>
          <w:tcPr>
            <w:tcW w:w="5074" w:type="dxa"/>
            <w:gridSpan w:val="2"/>
            <w:tcBorders>
              <w:left w:val="nil"/>
              <w:bottom w:val="single" w:sz="4" w:space="0" w:color="auto"/>
              <w:right w:val="nil"/>
            </w:tcBorders>
            <w:hideMark/>
          </w:tcPr>
          <w:p w14:paraId="206097FF" w14:textId="29181D26" w:rsidR="00C374B0" w:rsidRPr="00C72F7D" w:rsidRDefault="00C374B0" w:rsidP="00C374B0">
            <w:pPr>
              <w:pStyle w:val="af0"/>
              <w:ind w:leftChars="-54" w:left="-130"/>
              <w:rPr>
                <w:lang w:eastAsia="zh-CN"/>
              </w:rPr>
            </w:pPr>
            <w:bookmarkStart w:id="47" w:name="_Toc65799004"/>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9</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7"/>
          </w:p>
        </w:tc>
        <w:tc>
          <w:tcPr>
            <w:tcW w:w="283" w:type="dxa"/>
            <w:gridSpan w:val="2"/>
            <w:tcBorders>
              <w:bottom w:val="single" w:sz="4" w:space="0" w:color="auto"/>
            </w:tcBorders>
          </w:tcPr>
          <w:p w14:paraId="34B3D586" w14:textId="77777777" w:rsidR="00C374B0" w:rsidRPr="0040539B" w:rsidRDefault="00C374B0" w:rsidP="00C374B0">
            <w:pPr>
              <w:pStyle w:val="af0"/>
              <w:ind w:leftChars="-54" w:left="-130"/>
              <w:rPr>
                <w:lang w:eastAsia="zh-CN"/>
              </w:rPr>
            </w:pPr>
          </w:p>
        </w:tc>
        <w:tc>
          <w:tcPr>
            <w:tcW w:w="5074" w:type="dxa"/>
            <w:gridSpan w:val="2"/>
            <w:tcBorders>
              <w:left w:val="nil"/>
              <w:bottom w:val="single" w:sz="4" w:space="0" w:color="auto"/>
              <w:right w:val="nil"/>
            </w:tcBorders>
            <w:hideMark/>
          </w:tcPr>
          <w:p w14:paraId="72133EE2" w14:textId="7FAA3278" w:rsidR="00C374B0" w:rsidRPr="00C72F7D" w:rsidRDefault="00C374B0" w:rsidP="00C374B0">
            <w:pPr>
              <w:pStyle w:val="af0"/>
              <w:ind w:leftChars="-54" w:left="-130"/>
              <w:rPr>
                <w:lang w:eastAsia="zh-CN"/>
              </w:rPr>
            </w:pPr>
            <w:bookmarkStart w:id="48" w:name="_Toc65799005"/>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10</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8"/>
          </w:p>
        </w:tc>
      </w:tr>
      <w:tr w:rsidR="00D739B5" w:rsidRPr="009B1FB9" w14:paraId="305FF9A5" w14:textId="77777777" w:rsidTr="00D01B9E">
        <w:tc>
          <w:tcPr>
            <w:tcW w:w="5074" w:type="dxa"/>
            <w:gridSpan w:val="2"/>
            <w:tcBorders>
              <w:top w:val="single" w:sz="4" w:space="0" w:color="auto"/>
              <w:left w:val="nil"/>
              <w:bottom w:val="single" w:sz="4" w:space="0" w:color="auto"/>
              <w:right w:val="nil"/>
            </w:tcBorders>
            <w:hideMark/>
          </w:tcPr>
          <w:p w14:paraId="74DE5992" w14:textId="03AE5D19" w:rsidR="00D739B5" w:rsidRPr="0040539B" w:rsidRDefault="00D01B9E" w:rsidP="00D01B9E">
            <w:pPr>
              <w:pStyle w:val="aff2"/>
              <w:ind w:leftChars="-54" w:left="-130"/>
            </w:pPr>
            <w:r>
              <w:rPr>
                <w:noProof/>
              </w:rPr>
              <w:drawing>
                <wp:inline distT="0" distB="0" distL="0" distR="0" wp14:anchorId="53363304" wp14:editId="70D9D7F9">
                  <wp:extent cx="2880000" cy="1440000"/>
                  <wp:effectExtent l="0" t="0" r="0" b="8255"/>
                  <wp:docPr id="106" name="图表 106">
                    <a:extLst xmlns:a="http://schemas.openxmlformats.org/drawingml/2006/main">
                      <a:ext uri="{FF2B5EF4-FFF2-40B4-BE49-F238E27FC236}">
                        <a16:creationId xmlns:a16="http://schemas.microsoft.com/office/drawing/2014/main" id="{7FD5FEB9-9C99-49A2-9C9B-6840D8C1E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tc>
        <w:tc>
          <w:tcPr>
            <w:tcW w:w="283" w:type="dxa"/>
            <w:gridSpan w:val="2"/>
            <w:tcBorders>
              <w:top w:val="single" w:sz="4" w:space="0" w:color="auto"/>
              <w:bottom w:val="single" w:sz="4" w:space="0" w:color="auto"/>
            </w:tcBorders>
          </w:tcPr>
          <w:p w14:paraId="111F2430"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72BBF983" w14:textId="205C5E32" w:rsidR="00D739B5" w:rsidRPr="0040539B" w:rsidRDefault="00D01B9E" w:rsidP="00D01B9E">
            <w:pPr>
              <w:pStyle w:val="aff2"/>
              <w:ind w:leftChars="-41" w:left="-98"/>
            </w:pPr>
            <w:r>
              <w:rPr>
                <w:noProof/>
              </w:rPr>
              <w:drawing>
                <wp:inline distT="0" distB="0" distL="0" distR="0" wp14:anchorId="12965BD7" wp14:editId="50C1760A">
                  <wp:extent cx="2880000" cy="1440000"/>
                  <wp:effectExtent l="0" t="0" r="0" b="8255"/>
                  <wp:docPr id="107" name="图表 107">
                    <a:extLst xmlns:a="http://schemas.openxmlformats.org/drawingml/2006/main">
                      <a:ext uri="{FF2B5EF4-FFF2-40B4-BE49-F238E27FC236}">
                        <a16:creationId xmlns:a16="http://schemas.microsoft.com/office/drawing/2014/main" id="{2B69E5B6-A68C-4367-939E-B3B7458B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tc>
      </w:tr>
      <w:tr w:rsidR="00C374B0" w:rsidRPr="00C72F7D" w14:paraId="240E67B5" w14:textId="77777777" w:rsidTr="00D01B9E">
        <w:tc>
          <w:tcPr>
            <w:tcW w:w="5074" w:type="dxa"/>
            <w:gridSpan w:val="2"/>
            <w:tcBorders>
              <w:left w:val="nil"/>
              <w:bottom w:val="single" w:sz="4" w:space="0" w:color="auto"/>
              <w:right w:val="nil"/>
            </w:tcBorders>
            <w:hideMark/>
          </w:tcPr>
          <w:p w14:paraId="00C43AA0" w14:textId="23BA8AB7" w:rsidR="00C374B0" w:rsidRPr="00C72F7D" w:rsidRDefault="00D739B5" w:rsidP="00C374B0">
            <w:pPr>
              <w:pStyle w:val="af0"/>
              <w:ind w:leftChars="-54" w:left="-130"/>
              <w:rPr>
                <w:lang w:eastAsia="zh-CN"/>
              </w:rPr>
            </w:pPr>
            <w:r>
              <w:rPr>
                <w:lang w:eastAsia="zh-CN"/>
              </w:rPr>
              <w:br w:type="page"/>
            </w:r>
            <w:bookmarkStart w:id="49" w:name="_Toc65799006"/>
            <w:r w:rsidR="00C374B0">
              <w:rPr>
                <w:rFonts w:hint="eastAsia"/>
                <w:lang w:eastAsia="zh-CN"/>
              </w:rPr>
              <w:t>图</w:t>
            </w:r>
            <w:r w:rsidR="00C374B0">
              <w:rPr>
                <w:lang w:eastAsia="zh-CN"/>
              </w:rPr>
              <w:t xml:space="preserve"> </w:t>
            </w:r>
            <w:r w:rsidR="00C374B0">
              <w:rPr>
                <w:lang w:eastAsia="zh-CN"/>
              </w:rPr>
              <w:fldChar w:fldCharType="begin"/>
            </w:r>
            <w:r w:rsidR="00C374B0" w:rsidRPr="00716F0C">
              <w:rPr>
                <w:lang w:eastAsia="zh-CN"/>
              </w:rPr>
              <w:instrText xml:space="preserve"> SEQ </w:instrText>
            </w:r>
            <w:r w:rsidR="00C374B0" w:rsidRPr="00716F0C">
              <w:rPr>
                <w:lang w:eastAsia="zh-CN"/>
              </w:rPr>
              <w:instrText>图</w:instrText>
            </w:r>
            <w:r w:rsidR="00C374B0" w:rsidRPr="00716F0C">
              <w:rPr>
                <w:lang w:eastAsia="zh-CN"/>
              </w:rPr>
              <w:instrText xml:space="preserve"> \* ARABIC </w:instrText>
            </w:r>
            <w:r w:rsidR="00C374B0">
              <w:rPr>
                <w:lang w:eastAsia="zh-CN"/>
              </w:rPr>
              <w:fldChar w:fldCharType="separate"/>
            </w:r>
            <w:r w:rsidR="0010512F">
              <w:rPr>
                <w:noProof/>
                <w:lang w:eastAsia="zh-CN"/>
              </w:rPr>
              <w:t>11</w:t>
            </w:r>
            <w:r w:rsidR="00C374B0">
              <w:rPr>
                <w:lang w:eastAsia="zh-CN"/>
              </w:rPr>
              <w:fldChar w:fldCharType="end"/>
            </w:r>
            <w:r w:rsidR="00C374B0">
              <w:rPr>
                <w:rFonts w:hint="eastAsia"/>
                <w:lang w:eastAsia="zh-CN"/>
              </w:rPr>
              <w:t>：</w:t>
            </w:r>
            <w:r w:rsidR="005C657C">
              <w:rPr>
                <w:rFonts w:hint="eastAsia"/>
                <w:lang w:eastAsia="zh-CN"/>
              </w:rPr>
              <w:t>偏债混合型基金</w:t>
            </w:r>
            <w:r w:rsidR="00C374B0" w:rsidRPr="0040539B">
              <w:rPr>
                <w:rFonts w:hint="eastAsia"/>
                <w:lang w:eastAsia="zh-CN"/>
              </w:rPr>
              <w:t>所选</w:t>
            </w:r>
            <w:r w:rsidR="00C374B0">
              <w:rPr>
                <w:rFonts w:hint="eastAsia"/>
                <w:lang w:eastAsia="zh-CN"/>
              </w:rPr>
              <w:t>第一</w:t>
            </w:r>
            <w:r w:rsidR="00C374B0" w:rsidRPr="0040539B">
              <w:rPr>
                <w:rFonts w:hint="eastAsia"/>
                <w:lang w:eastAsia="zh-CN"/>
              </w:rPr>
              <w:t>基准对应的基金数目</w:t>
            </w:r>
            <w:bookmarkEnd w:id="49"/>
          </w:p>
        </w:tc>
        <w:tc>
          <w:tcPr>
            <w:tcW w:w="283" w:type="dxa"/>
            <w:gridSpan w:val="2"/>
            <w:tcBorders>
              <w:bottom w:val="single" w:sz="4" w:space="0" w:color="auto"/>
            </w:tcBorders>
          </w:tcPr>
          <w:p w14:paraId="0309B50A" w14:textId="77777777" w:rsidR="00C374B0" w:rsidRPr="0040539B" w:rsidRDefault="00C374B0" w:rsidP="00C374B0">
            <w:pPr>
              <w:pStyle w:val="af0"/>
              <w:ind w:leftChars="-54" w:left="-130"/>
              <w:rPr>
                <w:lang w:eastAsia="zh-CN"/>
              </w:rPr>
            </w:pPr>
          </w:p>
        </w:tc>
        <w:tc>
          <w:tcPr>
            <w:tcW w:w="5074" w:type="dxa"/>
            <w:gridSpan w:val="2"/>
            <w:tcBorders>
              <w:left w:val="nil"/>
              <w:bottom w:val="single" w:sz="4" w:space="0" w:color="auto"/>
              <w:right w:val="nil"/>
            </w:tcBorders>
            <w:hideMark/>
          </w:tcPr>
          <w:p w14:paraId="2672FADB" w14:textId="45B3F493" w:rsidR="00C374B0" w:rsidRPr="00C72F7D" w:rsidRDefault="00C374B0" w:rsidP="00C374B0">
            <w:pPr>
              <w:pStyle w:val="af0"/>
              <w:ind w:leftChars="-54" w:left="-130"/>
              <w:rPr>
                <w:lang w:eastAsia="zh-CN"/>
              </w:rPr>
            </w:pPr>
            <w:bookmarkStart w:id="50" w:name="_Toc65799007"/>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12</w:t>
            </w:r>
            <w:r>
              <w:rPr>
                <w:lang w:eastAsia="zh-CN"/>
              </w:rPr>
              <w:fldChar w:fldCharType="end"/>
            </w:r>
            <w:r>
              <w:rPr>
                <w:rFonts w:hint="eastAsia"/>
                <w:lang w:eastAsia="zh-CN"/>
              </w:rPr>
              <w:t>：</w:t>
            </w:r>
            <w:r w:rsidR="005C657C">
              <w:rPr>
                <w:rFonts w:hint="eastAsia"/>
                <w:lang w:eastAsia="zh-CN"/>
              </w:rPr>
              <w:t>偏债混合型基金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50"/>
          </w:p>
        </w:tc>
      </w:tr>
      <w:tr w:rsidR="00D739B5" w:rsidRPr="009B1FB9" w14:paraId="60F66D55" w14:textId="77777777" w:rsidTr="00D01B9E">
        <w:tc>
          <w:tcPr>
            <w:tcW w:w="5074" w:type="dxa"/>
            <w:gridSpan w:val="2"/>
            <w:tcBorders>
              <w:top w:val="single" w:sz="4" w:space="0" w:color="auto"/>
              <w:left w:val="nil"/>
              <w:bottom w:val="nil"/>
              <w:right w:val="nil"/>
            </w:tcBorders>
            <w:hideMark/>
          </w:tcPr>
          <w:p w14:paraId="57AD422A" w14:textId="0ABC33D3" w:rsidR="00D739B5" w:rsidRPr="0040539B" w:rsidRDefault="00D01B9E" w:rsidP="00D01B9E">
            <w:pPr>
              <w:pStyle w:val="aff2"/>
              <w:ind w:leftChars="-54" w:left="-130"/>
            </w:pPr>
            <w:r>
              <w:rPr>
                <w:noProof/>
              </w:rPr>
              <w:drawing>
                <wp:inline distT="0" distB="0" distL="0" distR="0" wp14:anchorId="711CDE38" wp14:editId="6BC58154">
                  <wp:extent cx="2880000" cy="1440000"/>
                  <wp:effectExtent l="0" t="0" r="0" b="8255"/>
                  <wp:docPr id="108" name="图表 108">
                    <a:extLst xmlns:a="http://schemas.openxmlformats.org/drawingml/2006/main">
                      <a:ext uri="{FF2B5EF4-FFF2-40B4-BE49-F238E27FC236}">
                        <a16:creationId xmlns:a16="http://schemas.microsoft.com/office/drawing/2014/main" id="{02D5D1DE-6717-4640-912F-78014DA35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tc>
        <w:tc>
          <w:tcPr>
            <w:tcW w:w="283" w:type="dxa"/>
            <w:gridSpan w:val="2"/>
            <w:tcBorders>
              <w:top w:val="single" w:sz="4" w:space="0" w:color="auto"/>
            </w:tcBorders>
          </w:tcPr>
          <w:p w14:paraId="2CD01851"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nil"/>
              <w:right w:val="nil"/>
            </w:tcBorders>
            <w:hideMark/>
          </w:tcPr>
          <w:p w14:paraId="4641AF7F" w14:textId="47DDB799" w:rsidR="00D739B5" w:rsidRPr="0040539B" w:rsidRDefault="00D01B9E" w:rsidP="00D01B9E">
            <w:pPr>
              <w:pStyle w:val="aff2"/>
              <w:ind w:leftChars="-41" w:left="-98"/>
            </w:pPr>
            <w:r>
              <w:rPr>
                <w:noProof/>
              </w:rPr>
              <w:drawing>
                <wp:inline distT="0" distB="0" distL="0" distR="0" wp14:anchorId="1FD9517C" wp14:editId="475E5A6D">
                  <wp:extent cx="2880000" cy="1440000"/>
                  <wp:effectExtent l="0" t="0" r="0" b="8255"/>
                  <wp:docPr id="109" name="图表 109">
                    <a:extLst xmlns:a="http://schemas.openxmlformats.org/drawingml/2006/main">
                      <a:ext uri="{FF2B5EF4-FFF2-40B4-BE49-F238E27FC236}">
                        <a16:creationId xmlns:a16="http://schemas.microsoft.com/office/drawing/2014/main" id="{839B54CD-9EAF-4F19-AD59-BF6AC5B9B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tc>
      </w:tr>
      <w:tr w:rsidR="00D739B5" w:rsidRPr="00C66411" w14:paraId="5AC49529" w14:textId="77777777" w:rsidTr="00D01B9E">
        <w:tc>
          <w:tcPr>
            <w:tcW w:w="5074" w:type="dxa"/>
            <w:gridSpan w:val="2"/>
            <w:tcBorders>
              <w:top w:val="single" w:sz="4" w:space="0" w:color="auto"/>
              <w:left w:val="nil"/>
              <w:bottom w:val="nil"/>
              <w:right w:val="nil"/>
            </w:tcBorders>
            <w:hideMark/>
          </w:tcPr>
          <w:p w14:paraId="68CD39AE" w14:textId="77777777" w:rsidR="00D739B5" w:rsidRPr="00C66411" w:rsidRDefault="00D739B5"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gridSpan w:val="2"/>
          </w:tcPr>
          <w:p w14:paraId="242AC651" w14:textId="77777777" w:rsidR="00D739B5" w:rsidRPr="00490D55"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nil"/>
              <w:right w:val="nil"/>
            </w:tcBorders>
            <w:hideMark/>
          </w:tcPr>
          <w:p w14:paraId="1806DFCE" w14:textId="77777777" w:rsidR="00D739B5" w:rsidRPr="00C66411" w:rsidRDefault="00D739B5"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429B2FFE" w14:textId="77777777" w:rsidR="00D739B5" w:rsidRPr="0040539B" w:rsidRDefault="00D739B5" w:rsidP="00D739B5">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0" w:type="auto"/>
        <w:tblLook w:val="04A0" w:firstRow="1" w:lastRow="0" w:firstColumn="1" w:lastColumn="0" w:noHBand="0" w:noVBand="1"/>
      </w:tblPr>
      <w:tblGrid>
        <w:gridCol w:w="193"/>
        <w:gridCol w:w="193"/>
        <w:gridCol w:w="2224"/>
        <w:gridCol w:w="1695"/>
        <w:gridCol w:w="1426"/>
        <w:gridCol w:w="2046"/>
        <w:gridCol w:w="1426"/>
        <w:gridCol w:w="731"/>
        <w:gridCol w:w="696"/>
      </w:tblGrid>
      <w:tr w:rsidR="004A0C9F" w:rsidRPr="00941673" w14:paraId="1D525A86" w14:textId="77777777" w:rsidTr="005E3881">
        <w:trPr>
          <w:gridBefore w:val="1"/>
          <w:gridAfter w:val="1"/>
          <w:trHeight w:val="227"/>
        </w:trPr>
        <w:tc>
          <w:tcPr>
            <w:tcW w:w="0" w:type="auto"/>
            <w:gridSpan w:val="7"/>
            <w:tcBorders>
              <w:top w:val="nil"/>
              <w:left w:val="nil"/>
              <w:bottom w:val="single" w:sz="4" w:space="0" w:color="auto"/>
              <w:right w:val="nil"/>
            </w:tcBorders>
          </w:tcPr>
          <w:p w14:paraId="6D5CD488" w14:textId="768873EB" w:rsidR="004A0C9F" w:rsidRPr="00941673" w:rsidRDefault="004A0C9F" w:rsidP="004A0C9F">
            <w:pPr>
              <w:pStyle w:val="af"/>
              <w:rPr>
                <w:lang w:eastAsia="zh-CN"/>
              </w:rPr>
            </w:pPr>
            <w:bookmarkStart w:id="51" w:name="_Toc65799024"/>
            <w:r w:rsidRPr="00941673">
              <w:rPr>
                <w:rFonts w:hint="eastAsia"/>
                <w:lang w:eastAsia="zh-CN"/>
              </w:rPr>
              <w:t>表</w:t>
            </w:r>
            <w:r w:rsidRPr="00941673">
              <w:rPr>
                <w:rFonts w:hint="eastAsia"/>
                <w:lang w:eastAsia="zh-CN"/>
              </w:rPr>
              <w:t xml:space="preserve"> </w:t>
            </w:r>
            <w:r w:rsidRPr="00941673">
              <w:fldChar w:fldCharType="begin"/>
            </w:r>
            <w:r w:rsidRPr="004A0C9F">
              <w:rPr>
                <w:lang w:eastAsia="zh-CN"/>
              </w:rPr>
              <w:instrText xml:space="preserve"> </w:instrText>
            </w:r>
            <w:r w:rsidRPr="004A0C9F">
              <w:rPr>
                <w:rFonts w:hint="eastAsia"/>
                <w:lang w:eastAsia="zh-CN"/>
              </w:rPr>
              <w:instrText xml:space="preserve">SEQ </w:instrText>
            </w:r>
            <w:r w:rsidRPr="004A0C9F">
              <w:rPr>
                <w:rFonts w:hint="eastAsia"/>
                <w:lang w:eastAsia="zh-CN"/>
              </w:rPr>
              <w:instrText>表</w:instrText>
            </w:r>
            <w:r w:rsidRPr="004A0C9F">
              <w:rPr>
                <w:rFonts w:hint="eastAsia"/>
                <w:lang w:eastAsia="zh-CN"/>
              </w:rPr>
              <w:instrText xml:space="preserve"> \* ARABIC</w:instrText>
            </w:r>
            <w:r w:rsidRPr="004A0C9F">
              <w:rPr>
                <w:lang w:eastAsia="zh-CN"/>
              </w:rPr>
              <w:instrText xml:space="preserve"> </w:instrText>
            </w:r>
            <w:r w:rsidRPr="00941673">
              <w:fldChar w:fldCharType="separate"/>
            </w:r>
            <w:r>
              <w:rPr>
                <w:noProof/>
                <w:lang w:eastAsia="zh-CN"/>
              </w:rPr>
              <w:t>5</w:t>
            </w:r>
            <w:r w:rsidRPr="00941673">
              <w:fldChar w:fldCharType="end"/>
            </w:r>
            <w:r w:rsidRPr="00941673">
              <w:rPr>
                <w:rFonts w:hint="eastAsia"/>
                <w:lang w:eastAsia="zh-CN"/>
              </w:rPr>
              <w:t>：</w:t>
            </w:r>
            <w:r>
              <w:rPr>
                <w:rFonts w:hint="eastAsia"/>
                <w:lang w:eastAsia="zh-CN"/>
              </w:rPr>
              <w:t>Wind</w:t>
            </w:r>
            <w:r>
              <w:rPr>
                <w:rFonts w:hint="eastAsia"/>
                <w:lang w:eastAsia="zh-CN"/>
              </w:rPr>
              <w:t>基金二级分类下业绩评价基准选择情况统计</w:t>
            </w:r>
            <w:bookmarkEnd w:id="51"/>
          </w:p>
        </w:tc>
      </w:tr>
      <w:tr w:rsidR="00215DD1" w14:paraId="2DE2FDE0" w14:textId="77777777" w:rsidTr="00390048">
        <w:trPr>
          <w:trHeight w:val="285"/>
        </w:trPr>
        <w:tc>
          <w:tcPr>
            <w:tcW w:w="0" w:type="auto"/>
            <w:gridSpan w:val="2"/>
            <w:tcBorders>
              <w:top w:val="single" w:sz="4" w:space="0" w:color="auto"/>
              <w:left w:val="nil"/>
              <w:right w:val="single" w:sz="4" w:space="0" w:color="auto"/>
            </w:tcBorders>
            <w:vAlign w:val="bottom"/>
          </w:tcPr>
          <w:p w14:paraId="5755E136" w14:textId="77777777" w:rsidR="00215DD1" w:rsidRDefault="00215DD1" w:rsidP="00215DD1">
            <w:pPr>
              <w:widowControl/>
              <w:jc w:val="center"/>
              <w:rPr>
                <w:rFonts w:ascii="楷体_GB2312" w:eastAsia="楷体_GB2312" w:hAnsi="等线"/>
                <w:b/>
                <w:bCs/>
                <w:color w:val="0F243E"/>
                <w:sz w:val="16"/>
                <w:szCs w:val="16"/>
                <w:lang w:eastAsia="zh-CN"/>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B678D7C" w14:textId="5234E63F" w:rsidR="00215DD1" w:rsidRDefault="00215DD1" w:rsidP="00215DD1">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u w:val="single"/>
              </w:rPr>
              <w:t>第一基准</w:t>
            </w:r>
          </w:p>
        </w:tc>
        <w:tc>
          <w:tcPr>
            <w:tcW w:w="0" w:type="auto"/>
            <w:tcBorders>
              <w:top w:val="single" w:sz="4" w:space="0" w:color="auto"/>
              <w:left w:val="nil"/>
              <w:bottom w:val="single" w:sz="4" w:space="0" w:color="auto"/>
              <w:right w:val="nil"/>
            </w:tcBorders>
            <w:shd w:val="clear" w:color="auto" w:fill="auto"/>
            <w:noWrap/>
            <w:vAlign w:val="center"/>
            <w:hideMark/>
          </w:tcPr>
          <w:p w14:paraId="4EABC0D6" w14:textId="77A7C5CE" w:rsidR="00215DD1" w:rsidRDefault="00215DD1" w:rsidP="00215DD1">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u w:val="single"/>
                <w:lang w:eastAsia="zh-CN"/>
              </w:rPr>
              <w:t>第一基准对应的基金数目</w:t>
            </w:r>
          </w:p>
        </w:tc>
        <w:tc>
          <w:tcPr>
            <w:tcW w:w="0" w:type="auto"/>
            <w:tcBorders>
              <w:top w:val="single" w:sz="4" w:space="0" w:color="auto"/>
              <w:left w:val="nil"/>
              <w:bottom w:val="single" w:sz="4" w:space="0" w:color="auto"/>
              <w:right w:val="nil"/>
            </w:tcBorders>
            <w:shd w:val="clear" w:color="auto" w:fill="auto"/>
            <w:noWrap/>
            <w:vAlign w:val="center"/>
            <w:hideMark/>
          </w:tcPr>
          <w:p w14:paraId="2E11B613" w14:textId="44B39EDE"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第一基准的平均比例</w:t>
            </w:r>
          </w:p>
        </w:tc>
        <w:tc>
          <w:tcPr>
            <w:tcW w:w="0" w:type="auto"/>
            <w:tcBorders>
              <w:top w:val="single" w:sz="4" w:space="0" w:color="auto"/>
              <w:left w:val="nil"/>
              <w:bottom w:val="single" w:sz="4" w:space="0" w:color="auto"/>
              <w:right w:val="nil"/>
            </w:tcBorders>
            <w:shd w:val="clear" w:color="auto" w:fill="auto"/>
            <w:noWrap/>
            <w:vAlign w:val="center"/>
            <w:hideMark/>
          </w:tcPr>
          <w:p w14:paraId="7882B2B1" w14:textId="40131754"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第二基准</w:t>
            </w:r>
          </w:p>
        </w:tc>
        <w:tc>
          <w:tcPr>
            <w:tcW w:w="0" w:type="auto"/>
            <w:tcBorders>
              <w:top w:val="single" w:sz="4" w:space="0" w:color="auto"/>
              <w:left w:val="nil"/>
              <w:bottom w:val="single" w:sz="4" w:space="0" w:color="auto"/>
              <w:right w:val="nil"/>
            </w:tcBorders>
            <w:shd w:val="clear" w:color="auto" w:fill="auto"/>
            <w:noWrap/>
            <w:vAlign w:val="center"/>
            <w:hideMark/>
          </w:tcPr>
          <w:p w14:paraId="490E2E8E"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401CD9F9"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215DD1" w14:paraId="776F6BD6" w14:textId="77777777" w:rsidTr="00390048">
        <w:trPr>
          <w:trHeight w:val="278"/>
        </w:trPr>
        <w:tc>
          <w:tcPr>
            <w:tcW w:w="0" w:type="auto"/>
            <w:gridSpan w:val="2"/>
            <w:vMerge w:val="restart"/>
            <w:tcBorders>
              <w:top w:val="single" w:sz="4" w:space="0" w:color="auto"/>
              <w:left w:val="nil"/>
              <w:right w:val="single" w:sz="4" w:space="0" w:color="auto"/>
            </w:tcBorders>
            <w:vAlign w:val="center"/>
          </w:tcPr>
          <w:p w14:paraId="696049C4" w14:textId="46DC972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偏股混</w:t>
            </w:r>
            <w:r>
              <w:rPr>
                <w:rFonts w:ascii="Arial" w:eastAsia="等线" w:hAnsi="Arial" w:cs="Arial"/>
                <w:b/>
                <w:bCs/>
                <w:color w:val="0F243E"/>
                <w:sz w:val="16"/>
                <w:szCs w:val="16"/>
              </w:rPr>
              <w:lastRenderedPageBreak/>
              <w:t>合型</w:t>
            </w:r>
          </w:p>
        </w:tc>
        <w:tc>
          <w:tcPr>
            <w:tcW w:w="0" w:type="auto"/>
            <w:tcBorders>
              <w:top w:val="single" w:sz="4" w:space="0" w:color="auto"/>
              <w:left w:val="single" w:sz="4" w:space="0" w:color="auto"/>
              <w:bottom w:val="nil"/>
              <w:right w:val="nil"/>
            </w:tcBorders>
            <w:shd w:val="clear" w:color="auto" w:fill="auto"/>
            <w:noWrap/>
            <w:vAlign w:val="center"/>
            <w:hideMark/>
          </w:tcPr>
          <w:p w14:paraId="78323ABC" w14:textId="729D74D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lastRenderedPageBreak/>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single" w:sz="4" w:space="0" w:color="auto"/>
              <w:left w:val="nil"/>
              <w:bottom w:val="nil"/>
              <w:right w:val="nil"/>
            </w:tcBorders>
            <w:shd w:val="clear" w:color="auto" w:fill="auto"/>
            <w:noWrap/>
            <w:vAlign w:val="center"/>
            <w:hideMark/>
          </w:tcPr>
          <w:p w14:paraId="3A043FA0" w14:textId="555F6F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947</w:t>
            </w:r>
          </w:p>
        </w:tc>
        <w:tc>
          <w:tcPr>
            <w:tcW w:w="0" w:type="auto"/>
            <w:tcBorders>
              <w:top w:val="single" w:sz="4" w:space="0" w:color="auto"/>
              <w:left w:val="nil"/>
              <w:bottom w:val="nil"/>
              <w:right w:val="nil"/>
            </w:tcBorders>
            <w:shd w:val="clear" w:color="auto" w:fill="auto"/>
            <w:noWrap/>
            <w:vAlign w:val="center"/>
            <w:hideMark/>
          </w:tcPr>
          <w:p w14:paraId="5009A462" w14:textId="2B1B45D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66.26%</w:t>
            </w:r>
          </w:p>
        </w:tc>
        <w:tc>
          <w:tcPr>
            <w:tcW w:w="0" w:type="auto"/>
            <w:tcBorders>
              <w:top w:val="single" w:sz="4" w:space="0" w:color="auto"/>
              <w:left w:val="nil"/>
              <w:bottom w:val="nil"/>
              <w:right w:val="nil"/>
            </w:tcBorders>
            <w:shd w:val="clear" w:color="auto" w:fill="auto"/>
            <w:noWrap/>
            <w:vAlign w:val="center"/>
            <w:hideMark/>
          </w:tcPr>
          <w:p w14:paraId="1CF4137A" w14:textId="1372A538"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0" w:type="auto"/>
            <w:tcBorders>
              <w:top w:val="single" w:sz="4" w:space="0" w:color="auto"/>
              <w:left w:val="nil"/>
              <w:bottom w:val="nil"/>
              <w:right w:val="nil"/>
            </w:tcBorders>
            <w:shd w:val="clear" w:color="auto" w:fill="auto"/>
            <w:noWrap/>
            <w:vAlign w:val="center"/>
            <w:hideMark/>
          </w:tcPr>
          <w:p w14:paraId="5A9BFAEC" w14:textId="04413C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239</w:t>
            </w:r>
          </w:p>
        </w:tc>
        <w:tc>
          <w:tcPr>
            <w:tcW w:w="0" w:type="auto"/>
            <w:gridSpan w:val="2"/>
            <w:tcBorders>
              <w:top w:val="single" w:sz="4" w:space="0" w:color="auto"/>
              <w:left w:val="nil"/>
              <w:bottom w:val="nil"/>
              <w:right w:val="nil"/>
            </w:tcBorders>
            <w:shd w:val="clear" w:color="auto" w:fill="auto"/>
            <w:noWrap/>
            <w:vAlign w:val="center"/>
            <w:hideMark/>
          </w:tcPr>
          <w:p w14:paraId="2CF61424" w14:textId="55A3B06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69.17%</w:t>
            </w:r>
          </w:p>
        </w:tc>
      </w:tr>
      <w:tr w:rsidR="00215DD1" w14:paraId="69ECE92E" w14:textId="77777777" w:rsidTr="00390048">
        <w:trPr>
          <w:trHeight w:val="278"/>
        </w:trPr>
        <w:tc>
          <w:tcPr>
            <w:tcW w:w="0" w:type="auto"/>
            <w:gridSpan w:val="2"/>
            <w:vMerge/>
            <w:tcBorders>
              <w:left w:val="nil"/>
              <w:right w:val="single" w:sz="4" w:space="0" w:color="auto"/>
            </w:tcBorders>
            <w:vAlign w:val="center"/>
          </w:tcPr>
          <w:p w14:paraId="07D5181C"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hideMark/>
          </w:tcPr>
          <w:p w14:paraId="0888EAE1" w14:textId="18A97FBB"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07A77037" w14:textId="444CA44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278</w:t>
            </w:r>
          </w:p>
        </w:tc>
        <w:tc>
          <w:tcPr>
            <w:tcW w:w="0" w:type="auto"/>
            <w:tcBorders>
              <w:top w:val="nil"/>
              <w:left w:val="nil"/>
              <w:bottom w:val="nil"/>
              <w:right w:val="nil"/>
            </w:tcBorders>
            <w:shd w:val="clear" w:color="auto" w:fill="auto"/>
            <w:noWrap/>
            <w:vAlign w:val="center"/>
            <w:hideMark/>
          </w:tcPr>
          <w:p w14:paraId="3D88A37B" w14:textId="15B231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66.53%</w:t>
            </w:r>
          </w:p>
        </w:tc>
        <w:tc>
          <w:tcPr>
            <w:tcW w:w="0" w:type="auto"/>
            <w:tcBorders>
              <w:top w:val="nil"/>
              <w:left w:val="nil"/>
              <w:bottom w:val="nil"/>
              <w:right w:val="nil"/>
            </w:tcBorders>
            <w:shd w:val="clear" w:color="auto" w:fill="auto"/>
            <w:noWrap/>
            <w:vAlign w:val="center"/>
            <w:hideMark/>
          </w:tcPr>
          <w:p w14:paraId="3DF473AF" w14:textId="4AF8F2C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6606DDC8" w14:textId="0E0D06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212</w:t>
            </w:r>
          </w:p>
        </w:tc>
        <w:tc>
          <w:tcPr>
            <w:tcW w:w="0" w:type="auto"/>
            <w:gridSpan w:val="2"/>
            <w:tcBorders>
              <w:top w:val="nil"/>
              <w:left w:val="nil"/>
              <w:bottom w:val="nil"/>
              <w:right w:val="nil"/>
            </w:tcBorders>
            <w:shd w:val="clear" w:color="auto" w:fill="auto"/>
            <w:noWrap/>
            <w:vAlign w:val="center"/>
            <w:hideMark/>
          </w:tcPr>
          <w:p w14:paraId="3077405C" w14:textId="2A3DE0F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66.01%</w:t>
            </w:r>
          </w:p>
        </w:tc>
      </w:tr>
      <w:tr w:rsidR="00215DD1" w14:paraId="0763AF9D" w14:textId="77777777" w:rsidTr="00390048">
        <w:trPr>
          <w:trHeight w:val="278"/>
        </w:trPr>
        <w:tc>
          <w:tcPr>
            <w:tcW w:w="0" w:type="auto"/>
            <w:gridSpan w:val="2"/>
            <w:vMerge/>
            <w:tcBorders>
              <w:left w:val="nil"/>
              <w:right w:val="single" w:sz="4" w:space="0" w:color="auto"/>
            </w:tcBorders>
            <w:vAlign w:val="center"/>
          </w:tcPr>
          <w:p w14:paraId="556E0288" w14:textId="77777777" w:rsidR="00215DD1" w:rsidRDefault="00215DD1" w:rsidP="00215DD1">
            <w:pPr>
              <w:rPr>
                <w:rFonts w:ascii="Arial" w:eastAsia="等线" w:hAnsi="Arial" w:cs="Arial"/>
                <w:b/>
                <w:bCs/>
                <w:color w:val="0F243E"/>
                <w:sz w:val="16"/>
                <w:szCs w:val="16"/>
                <w:lang w:eastAsia="zh-CN"/>
              </w:rPr>
            </w:pPr>
          </w:p>
        </w:tc>
        <w:tc>
          <w:tcPr>
            <w:tcW w:w="0" w:type="auto"/>
            <w:tcBorders>
              <w:top w:val="nil"/>
              <w:left w:val="single" w:sz="4" w:space="0" w:color="auto"/>
              <w:bottom w:val="nil"/>
              <w:right w:val="nil"/>
            </w:tcBorders>
            <w:shd w:val="clear" w:color="auto" w:fill="auto"/>
            <w:noWrap/>
            <w:vAlign w:val="center"/>
            <w:hideMark/>
          </w:tcPr>
          <w:p w14:paraId="40BA68CC" w14:textId="17CCD21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A5320D7" w14:textId="1A2CE9A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71</w:t>
            </w:r>
          </w:p>
        </w:tc>
        <w:tc>
          <w:tcPr>
            <w:tcW w:w="0" w:type="auto"/>
            <w:tcBorders>
              <w:top w:val="nil"/>
              <w:left w:val="nil"/>
              <w:bottom w:val="nil"/>
              <w:right w:val="nil"/>
            </w:tcBorders>
            <w:shd w:val="clear" w:color="auto" w:fill="auto"/>
            <w:noWrap/>
            <w:vAlign w:val="center"/>
            <w:hideMark/>
          </w:tcPr>
          <w:p w14:paraId="721FC3ED" w14:textId="110631B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68.81%</w:t>
            </w:r>
          </w:p>
        </w:tc>
        <w:tc>
          <w:tcPr>
            <w:tcW w:w="0" w:type="auto"/>
            <w:tcBorders>
              <w:top w:val="nil"/>
              <w:left w:val="nil"/>
              <w:bottom w:val="nil"/>
              <w:right w:val="nil"/>
            </w:tcBorders>
            <w:shd w:val="clear" w:color="auto" w:fill="auto"/>
            <w:noWrap/>
            <w:vAlign w:val="center"/>
            <w:hideMark/>
          </w:tcPr>
          <w:p w14:paraId="47AC438C" w14:textId="0E963B03"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36A833CB" w14:textId="7B2B94D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169</w:t>
            </w:r>
          </w:p>
        </w:tc>
        <w:tc>
          <w:tcPr>
            <w:tcW w:w="0" w:type="auto"/>
            <w:gridSpan w:val="2"/>
            <w:tcBorders>
              <w:top w:val="nil"/>
              <w:left w:val="nil"/>
              <w:bottom w:val="nil"/>
              <w:right w:val="nil"/>
            </w:tcBorders>
            <w:shd w:val="clear" w:color="auto" w:fill="auto"/>
            <w:noWrap/>
            <w:vAlign w:val="center"/>
            <w:hideMark/>
          </w:tcPr>
          <w:p w14:paraId="6DD7B5BB" w14:textId="6C73E2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66.64%</w:t>
            </w:r>
          </w:p>
        </w:tc>
      </w:tr>
      <w:tr w:rsidR="00215DD1" w14:paraId="55F0D686" w14:textId="77777777" w:rsidTr="00390048">
        <w:trPr>
          <w:trHeight w:val="278"/>
        </w:trPr>
        <w:tc>
          <w:tcPr>
            <w:tcW w:w="0" w:type="auto"/>
            <w:gridSpan w:val="2"/>
            <w:vMerge/>
            <w:tcBorders>
              <w:left w:val="nil"/>
              <w:right w:val="single" w:sz="4" w:space="0" w:color="auto"/>
            </w:tcBorders>
            <w:vAlign w:val="center"/>
          </w:tcPr>
          <w:p w14:paraId="31B5362B"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hideMark/>
          </w:tcPr>
          <w:p w14:paraId="1654C413" w14:textId="450AED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0" w:type="auto"/>
            <w:tcBorders>
              <w:top w:val="nil"/>
              <w:left w:val="nil"/>
              <w:bottom w:val="nil"/>
              <w:right w:val="nil"/>
            </w:tcBorders>
            <w:shd w:val="clear" w:color="auto" w:fill="auto"/>
            <w:noWrap/>
            <w:vAlign w:val="center"/>
            <w:hideMark/>
          </w:tcPr>
          <w:p w14:paraId="4CF2BC8E" w14:textId="6CDDCF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67</w:t>
            </w:r>
          </w:p>
        </w:tc>
        <w:tc>
          <w:tcPr>
            <w:tcW w:w="0" w:type="auto"/>
            <w:tcBorders>
              <w:top w:val="nil"/>
              <w:left w:val="nil"/>
              <w:bottom w:val="nil"/>
              <w:right w:val="nil"/>
            </w:tcBorders>
            <w:shd w:val="clear" w:color="auto" w:fill="auto"/>
            <w:noWrap/>
            <w:vAlign w:val="center"/>
            <w:hideMark/>
          </w:tcPr>
          <w:p w14:paraId="17388182" w14:textId="2B38628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66.03%</w:t>
            </w:r>
          </w:p>
        </w:tc>
        <w:tc>
          <w:tcPr>
            <w:tcW w:w="0" w:type="auto"/>
            <w:tcBorders>
              <w:top w:val="nil"/>
              <w:left w:val="nil"/>
              <w:bottom w:val="nil"/>
              <w:right w:val="nil"/>
            </w:tcBorders>
            <w:shd w:val="clear" w:color="auto" w:fill="auto"/>
            <w:noWrap/>
            <w:vAlign w:val="center"/>
            <w:hideMark/>
          </w:tcPr>
          <w:p w14:paraId="6DCD1D9C" w14:textId="6BD5415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70F5CB27" w14:textId="67036EB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115</w:t>
            </w:r>
          </w:p>
        </w:tc>
        <w:tc>
          <w:tcPr>
            <w:tcW w:w="0" w:type="auto"/>
            <w:gridSpan w:val="2"/>
            <w:tcBorders>
              <w:top w:val="nil"/>
              <w:left w:val="nil"/>
              <w:bottom w:val="nil"/>
              <w:right w:val="nil"/>
            </w:tcBorders>
            <w:shd w:val="clear" w:color="auto" w:fill="auto"/>
            <w:noWrap/>
            <w:vAlign w:val="center"/>
            <w:hideMark/>
          </w:tcPr>
          <w:p w14:paraId="207F7D26" w14:textId="4CC991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70.71%</w:t>
            </w:r>
          </w:p>
        </w:tc>
      </w:tr>
      <w:tr w:rsidR="00215DD1" w14:paraId="115C08BF" w14:textId="77777777" w:rsidTr="00390048">
        <w:trPr>
          <w:trHeight w:val="278"/>
        </w:trPr>
        <w:tc>
          <w:tcPr>
            <w:tcW w:w="0" w:type="auto"/>
            <w:gridSpan w:val="2"/>
            <w:vMerge/>
            <w:tcBorders>
              <w:left w:val="nil"/>
              <w:bottom w:val="nil"/>
              <w:right w:val="single" w:sz="4" w:space="0" w:color="auto"/>
            </w:tcBorders>
            <w:vAlign w:val="center"/>
          </w:tcPr>
          <w:p w14:paraId="644C14DF" w14:textId="77777777" w:rsidR="00215DD1" w:rsidRDefault="00215DD1" w:rsidP="00215DD1">
            <w:pPr>
              <w:rPr>
                <w:rFonts w:ascii="Arial" w:eastAsia="等线" w:hAnsi="Arial" w:cs="Arial"/>
                <w:b/>
                <w:bCs/>
                <w:color w:val="0F243E"/>
                <w:sz w:val="16"/>
                <w:szCs w:val="16"/>
                <w:lang w:eastAsia="zh-CN"/>
              </w:rPr>
            </w:pPr>
          </w:p>
        </w:tc>
        <w:tc>
          <w:tcPr>
            <w:tcW w:w="0" w:type="auto"/>
            <w:tcBorders>
              <w:top w:val="nil"/>
              <w:left w:val="single" w:sz="4" w:space="0" w:color="auto"/>
              <w:bottom w:val="nil"/>
              <w:right w:val="nil"/>
            </w:tcBorders>
            <w:shd w:val="clear" w:color="auto" w:fill="auto"/>
            <w:noWrap/>
            <w:vAlign w:val="center"/>
            <w:hideMark/>
          </w:tcPr>
          <w:p w14:paraId="1362A39B" w14:textId="6CF3B30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hideMark/>
          </w:tcPr>
          <w:p w14:paraId="4A2B2B61" w14:textId="1C36758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0" w:type="auto"/>
            <w:tcBorders>
              <w:top w:val="nil"/>
              <w:left w:val="nil"/>
              <w:bottom w:val="nil"/>
              <w:right w:val="nil"/>
            </w:tcBorders>
            <w:shd w:val="clear" w:color="auto" w:fill="auto"/>
            <w:noWrap/>
            <w:vAlign w:val="center"/>
            <w:hideMark/>
          </w:tcPr>
          <w:p w14:paraId="752BF94F" w14:textId="2D5B237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61.94%</w:t>
            </w:r>
          </w:p>
        </w:tc>
        <w:tc>
          <w:tcPr>
            <w:tcW w:w="0" w:type="auto"/>
            <w:tcBorders>
              <w:top w:val="nil"/>
              <w:left w:val="nil"/>
              <w:bottom w:val="nil"/>
              <w:right w:val="nil"/>
            </w:tcBorders>
            <w:shd w:val="clear" w:color="auto" w:fill="auto"/>
            <w:noWrap/>
            <w:vAlign w:val="center"/>
            <w:hideMark/>
          </w:tcPr>
          <w:p w14:paraId="33083A12" w14:textId="0A461C2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0" w:type="auto"/>
            <w:tcBorders>
              <w:top w:val="nil"/>
              <w:left w:val="nil"/>
              <w:bottom w:val="nil"/>
              <w:right w:val="nil"/>
            </w:tcBorders>
            <w:shd w:val="clear" w:color="auto" w:fill="auto"/>
            <w:noWrap/>
            <w:vAlign w:val="center"/>
            <w:hideMark/>
          </w:tcPr>
          <w:p w14:paraId="5DA88D71" w14:textId="15A43EF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99</w:t>
            </w:r>
          </w:p>
        </w:tc>
        <w:tc>
          <w:tcPr>
            <w:tcW w:w="0" w:type="auto"/>
            <w:gridSpan w:val="2"/>
            <w:tcBorders>
              <w:top w:val="nil"/>
              <w:left w:val="nil"/>
              <w:bottom w:val="nil"/>
              <w:right w:val="nil"/>
            </w:tcBorders>
            <w:shd w:val="clear" w:color="auto" w:fill="auto"/>
            <w:noWrap/>
            <w:vAlign w:val="center"/>
            <w:hideMark/>
          </w:tcPr>
          <w:p w14:paraId="26471E24" w14:textId="67CB070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69.89%</w:t>
            </w:r>
          </w:p>
        </w:tc>
      </w:tr>
      <w:tr w:rsidR="00215DD1" w14:paraId="0F5DBE9A" w14:textId="77777777" w:rsidTr="00390048">
        <w:trPr>
          <w:trHeight w:val="278"/>
        </w:trPr>
        <w:tc>
          <w:tcPr>
            <w:tcW w:w="0" w:type="auto"/>
            <w:gridSpan w:val="2"/>
            <w:vMerge w:val="restart"/>
            <w:tcBorders>
              <w:top w:val="nil"/>
              <w:left w:val="nil"/>
              <w:right w:val="single" w:sz="4" w:space="0" w:color="auto"/>
            </w:tcBorders>
            <w:vAlign w:val="center"/>
          </w:tcPr>
          <w:p w14:paraId="315450B2" w14:textId="6F7A3EB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灵活配置型</w:t>
            </w:r>
          </w:p>
        </w:tc>
        <w:tc>
          <w:tcPr>
            <w:tcW w:w="0" w:type="auto"/>
            <w:tcBorders>
              <w:top w:val="nil"/>
              <w:left w:val="single" w:sz="4" w:space="0" w:color="auto"/>
              <w:bottom w:val="nil"/>
              <w:right w:val="nil"/>
            </w:tcBorders>
            <w:shd w:val="clear" w:color="auto" w:fill="auto"/>
            <w:noWrap/>
            <w:vAlign w:val="center"/>
            <w:hideMark/>
          </w:tcPr>
          <w:p w14:paraId="12C84DAC" w14:textId="71E0EAA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2958817F" w14:textId="0B32DEA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1220</w:t>
            </w:r>
          </w:p>
        </w:tc>
        <w:tc>
          <w:tcPr>
            <w:tcW w:w="0" w:type="auto"/>
            <w:tcBorders>
              <w:top w:val="nil"/>
              <w:left w:val="nil"/>
              <w:bottom w:val="nil"/>
              <w:right w:val="nil"/>
            </w:tcBorders>
            <w:shd w:val="clear" w:color="auto" w:fill="auto"/>
            <w:noWrap/>
            <w:vAlign w:val="center"/>
            <w:hideMark/>
          </w:tcPr>
          <w:p w14:paraId="436CBFF3" w14:textId="7171918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57.37%</w:t>
            </w:r>
          </w:p>
        </w:tc>
        <w:tc>
          <w:tcPr>
            <w:tcW w:w="0" w:type="auto"/>
            <w:tcBorders>
              <w:top w:val="nil"/>
              <w:left w:val="nil"/>
              <w:bottom w:val="nil"/>
              <w:right w:val="nil"/>
            </w:tcBorders>
            <w:shd w:val="clear" w:color="auto" w:fill="auto"/>
            <w:noWrap/>
            <w:vAlign w:val="center"/>
            <w:hideMark/>
          </w:tcPr>
          <w:p w14:paraId="3E0CACD0" w14:textId="21B7D0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hideMark/>
          </w:tcPr>
          <w:p w14:paraId="074E71BF" w14:textId="3E8333C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261</w:t>
            </w:r>
          </w:p>
        </w:tc>
        <w:tc>
          <w:tcPr>
            <w:tcW w:w="0" w:type="auto"/>
            <w:gridSpan w:val="2"/>
            <w:tcBorders>
              <w:top w:val="nil"/>
              <w:left w:val="nil"/>
              <w:bottom w:val="nil"/>
              <w:right w:val="nil"/>
            </w:tcBorders>
            <w:shd w:val="clear" w:color="auto" w:fill="auto"/>
            <w:noWrap/>
            <w:vAlign w:val="center"/>
            <w:hideMark/>
          </w:tcPr>
          <w:p w14:paraId="676E591E" w14:textId="64F166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62.14%</w:t>
            </w:r>
          </w:p>
        </w:tc>
      </w:tr>
      <w:tr w:rsidR="00215DD1" w14:paraId="21869C7B" w14:textId="77777777" w:rsidTr="00390048">
        <w:trPr>
          <w:trHeight w:val="278"/>
        </w:trPr>
        <w:tc>
          <w:tcPr>
            <w:tcW w:w="0" w:type="auto"/>
            <w:gridSpan w:val="2"/>
            <w:vMerge/>
            <w:tcBorders>
              <w:left w:val="nil"/>
              <w:right w:val="single" w:sz="4" w:space="0" w:color="auto"/>
            </w:tcBorders>
            <w:vAlign w:val="center"/>
          </w:tcPr>
          <w:p w14:paraId="7C36177C"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hideMark/>
          </w:tcPr>
          <w:p w14:paraId="1A65C03C" w14:textId="5FC4CF65"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C8C90AB" w14:textId="0F3D75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131</w:t>
            </w:r>
          </w:p>
        </w:tc>
        <w:tc>
          <w:tcPr>
            <w:tcW w:w="0" w:type="auto"/>
            <w:tcBorders>
              <w:top w:val="nil"/>
              <w:left w:val="nil"/>
              <w:bottom w:val="nil"/>
              <w:right w:val="nil"/>
            </w:tcBorders>
            <w:shd w:val="clear" w:color="auto" w:fill="auto"/>
            <w:noWrap/>
            <w:vAlign w:val="center"/>
            <w:hideMark/>
          </w:tcPr>
          <w:p w14:paraId="4796C5EA" w14:textId="4C4244E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59.78%</w:t>
            </w:r>
          </w:p>
        </w:tc>
        <w:tc>
          <w:tcPr>
            <w:tcW w:w="0" w:type="auto"/>
            <w:tcBorders>
              <w:top w:val="nil"/>
              <w:left w:val="nil"/>
              <w:bottom w:val="nil"/>
              <w:right w:val="nil"/>
            </w:tcBorders>
            <w:shd w:val="clear" w:color="auto" w:fill="auto"/>
            <w:noWrap/>
            <w:vAlign w:val="center"/>
            <w:hideMark/>
          </w:tcPr>
          <w:p w14:paraId="7E337B05" w14:textId="7A9052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180366EE" w14:textId="766B6DC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251</w:t>
            </w:r>
          </w:p>
        </w:tc>
        <w:tc>
          <w:tcPr>
            <w:tcW w:w="0" w:type="auto"/>
            <w:gridSpan w:val="2"/>
            <w:tcBorders>
              <w:top w:val="nil"/>
              <w:left w:val="nil"/>
              <w:bottom w:val="nil"/>
              <w:right w:val="nil"/>
            </w:tcBorders>
            <w:shd w:val="clear" w:color="auto" w:fill="auto"/>
            <w:noWrap/>
            <w:vAlign w:val="center"/>
            <w:hideMark/>
          </w:tcPr>
          <w:p w14:paraId="55907288" w14:textId="671DB27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56.76%</w:t>
            </w:r>
          </w:p>
        </w:tc>
      </w:tr>
      <w:tr w:rsidR="00215DD1" w14:paraId="0F502493" w14:textId="77777777" w:rsidTr="00390048">
        <w:trPr>
          <w:trHeight w:val="278"/>
        </w:trPr>
        <w:tc>
          <w:tcPr>
            <w:tcW w:w="0" w:type="auto"/>
            <w:gridSpan w:val="2"/>
            <w:vMerge/>
            <w:tcBorders>
              <w:left w:val="nil"/>
              <w:right w:val="single" w:sz="4" w:space="0" w:color="auto"/>
            </w:tcBorders>
            <w:vAlign w:val="center"/>
          </w:tcPr>
          <w:p w14:paraId="45EC844E" w14:textId="77777777" w:rsidR="00215DD1" w:rsidRDefault="00215DD1" w:rsidP="00215DD1">
            <w:pPr>
              <w:rPr>
                <w:rFonts w:ascii="Arial" w:eastAsia="等线" w:hAnsi="Arial" w:cs="Arial"/>
                <w:b/>
                <w:bCs/>
                <w:color w:val="0F243E"/>
                <w:sz w:val="16"/>
                <w:szCs w:val="16"/>
                <w:lang w:eastAsia="zh-CN"/>
              </w:rPr>
            </w:pPr>
          </w:p>
        </w:tc>
        <w:tc>
          <w:tcPr>
            <w:tcW w:w="0" w:type="auto"/>
            <w:tcBorders>
              <w:top w:val="nil"/>
              <w:left w:val="single" w:sz="4" w:space="0" w:color="auto"/>
              <w:bottom w:val="nil"/>
              <w:right w:val="nil"/>
            </w:tcBorders>
            <w:shd w:val="clear" w:color="auto" w:fill="auto"/>
            <w:noWrap/>
            <w:vAlign w:val="center"/>
            <w:hideMark/>
          </w:tcPr>
          <w:p w14:paraId="442DE2B1" w14:textId="606F000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2F5E6922" w14:textId="2C950B3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tcBorders>
              <w:top w:val="nil"/>
              <w:left w:val="nil"/>
              <w:bottom w:val="nil"/>
              <w:right w:val="nil"/>
            </w:tcBorders>
            <w:shd w:val="clear" w:color="auto" w:fill="auto"/>
            <w:noWrap/>
            <w:vAlign w:val="center"/>
            <w:hideMark/>
          </w:tcPr>
          <w:p w14:paraId="53F4061B" w14:textId="2FFFB41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60.63%</w:t>
            </w:r>
          </w:p>
        </w:tc>
        <w:tc>
          <w:tcPr>
            <w:tcW w:w="0" w:type="auto"/>
            <w:tcBorders>
              <w:top w:val="nil"/>
              <w:left w:val="nil"/>
              <w:bottom w:val="nil"/>
              <w:right w:val="nil"/>
            </w:tcBorders>
            <w:shd w:val="clear" w:color="auto" w:fill="auto"/>
            <w:noWrap/>
            <w:vAlign w:val="center"/>
            <w:hideMark/>
          </w:tcPr>
          <w:p w14:paraId="539B21F5" w14:textId="19530080"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0172A048" w14:textId="1DC2786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226</w:t>
            </w:r>
          </w:p>
        </w:tc>
        <w:tc>
          <w:tcPr>
            <w:tcW w:w="0" w:type="auto"/>
            <w:gridSpan w:val="2"/>
            <w:tcBorders>
              <w:top w:val="nil"/>
              <w:left w:val="nil"/>
              <w:bottom w:val="nil"/>
              <w:right w:val="nil"/>
            </w:tcBorders>
            <w:shd w:val="clear" w:color="auto" w:fill="auto"/>
            <w:noWrap/>
            <w:vAlign w:val="center"/>
            <w:hideMark/>
          </w:tcPr>
          <w:p w14:paraId="257B8954" w14:textId="711BC8C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59.63%</w:t>
            </w:r>
          </w:p>
        </w:tc>
      </w:tr>
      <w:tr w:rsidR="00215DD1" w14:paraId="72D8C0D2" w14:textId="77777777" w:rsidTr="00390048">
        <w:trPr>
          <w:trHeight w:val="278"/>
        </w:trPr>
        <w:tc>
          <w:tcPr>
            <w:tcW w:w="0" w:type="auto"/>
            <w:gridSpan w:val="2"/>
            <w:vMerge/>
            <w:tcBorders>
              <w:left w:val="nil"/>
              <w:right w:val="single" w:sz="4" w:space="0" w:color="auto"/>
            </w:tcBorders>
            <w:vAlign w:val="center"/>
          </w:tcPr>
          <w:p w14:paraId="17877730"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hideMark/>
          </w:tcPr>
          <w:p w14:paraId="1097DE34" w14:textId="5E62D6E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一年期银行定期存款利率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0" w:type="auto"/>
            <w:tcBorders>
              <w:top w:val="nil"/>
              <w:left w:val="nil"/>
              <w:bottom w:val="nil"/>
              <w:right w:val="nil"/>
            </w:tcBorders>
            <w:shd w:val="clear" w:color="auto" w:fill="auto"/>
            <w:noWrap/>
            <w:vAlign w:val="center"/>
            <w:hideMark/>
          </w:tcPr>
          <w:p w14:paraId="2D3434F7" w14:textId="7479BE7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49</w:t>
            </w:r>
          </w:p>
        </w:tc>
        <w:tc>
          <w:tcPr>
            <w:tcW w:w="0" w:type="auto"/>
            <w:tcBorders>
              <w:top w:val="nil"/>
              <w:left w:val="nil"/>
              <w:bottom w:val="nil"/>
              <w:right w:val="nil"/>
            </w:tcBorders>
            <w:shd w:val="clear" w:color="auto" w:fill="auto"/>
            <w:noWrap/>
            <w:vAlign w:val="center"/>
            <w:hideMark/>
          </w:tcPr>
          <w:p w14:paraId="46E0AF2D" w14:textId="2EA8D7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0" w:type="auto"/>
            <w:tcBorders>
              <w:top w:val="nil"/>
              <w:left w:val="nil"/>
              <w:bottom w:val="nil"/>
              <w:right w:val="nil"/>
            </w:tcBorders>
            <w:shd w:val="clear" w:color="auto" w:fill="auto"/>
            <w:noWrap/>
            <w:vAlign w:val="center"/>
            <w:hideMark/>
          </w:tcPr>
          <w:p w14:paraId="34AD1F76" w14:textId="62D152F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709CC662" w14:textId="45424C8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222</w:t>
            </w:r>
          </w:p>
        </w:tc>
        <w:tc>
          <w:tcPr>
            <w:tcW w:w="0" w:type="auto"/>
            <w:gridSpan w:val="2"/>
            <w:tcBorders>
              <w:top w:val="nil"/>
              <w:left w:val="nil"/>
              <w:bottom w:val="nil"/>
              <w:right w:val="nil"/>
            </w:tcBorders>
            <w:shd w:val="clear" w:color="auto" w:fill="auto"/>
            <w:noWrap/>
            <w:vAlign w:val="center"/>
            <w:hideMark/>
          </w:tcPr>
          <w:p w14:paraId="4973999C" w14:textId="7734FD6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63.55%</w:t>
            </w:r>
          </w:p>
        </w:tc>
      </w:tr>
      <w:tr w:rsidR="00215DD1" w14:paraId="3D4F683A" w14:textId="77777777" w:rsidTr="00390048">
        <w:trPr>
          <w:trHeight w:val="278"/>
        </w:trPr>
        <w:tc>
          <w:tcPr>
            <w:tcW w:w="0" w:type="auto"/>
            <w:gridSpan w:val="2"/>
            <w:vMerge/>
            <w:tcBorders>
              <w:left w:val="nil"/>
              <w:bottom w:val="nil"/>
              <w:right w:val="single" w:sz="4" w:space="0" w:color="auto"/>
            </w:tcBorders>
            <w:vAlign w:val="center"/>
          </w:tcPr>
          <w:p w14:paraId="2A3708A8"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hideMark/>
          </w:tcPr>
          <w:p w14:paraId="006A3F9D" w14:textId="5929CE7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07171F50" w14:textId="1542C7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39</w:t>
            </w:r>
          </w:p>
        </w:tc>
        <w:tc>
          <w:tcPr>
            <w:tcW w:w="0" w:type="auto"/>
            <w:tcBorders>
              <w:top w:val="nil"/>
              <w:left w:val="nil"/>
              <w:bottom w:val="nil"/>
              <w:right w:val="nil"/>
            </w:tcBorders>
            <w:shd w:val="clear" w:color="auto" w:fill="auto"/>
            <w:noWrap/>
            <w:vAlign w:val="center"/>
            <w:hideMark/>
          </w:tcPr>
          <w:p w14:paraId="1D18F929" w14:textId="2E667A0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64.17%</w:t>
            </w:r>
          </w:p>
        </w:tc>
        <w:tc>
          <w:tcPr>
            <w:tcW w:w="0" w:type="auto"/>
            <w:tcBorders>
              <w:top w:val="nil"/>
              <w:left w:val="nil"/>
              <w:bottom w:val="nil"/>
              <w:right w:val="nil"/>
            </w:tcBorders>
            <w:shd w:val="clear" w:color="auto" w:fill="auto"/>
            <w:noWrap/>
            <w:vAlign w:val="center"/>
            <w:hideMark/>
          </w:tcPr>
          <w:p w14:paraId="621B689B" w14:textId="2D918CF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5088E82C" w14:textId="192820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135</w:t>
            </w:r>
          </w:p>
        </w:tc>
        <w:tc>
          <w:tcPr>
            <w:tcW w:w="0" w:type="auto"/>
            <w:gridSpan w:val="2"/>
            <w:tcBorders>
              <w:top w:val="nil"/>
              <w:left w:val="nil"/>
              <w:bottom w:val="nil"/>
              <w:right w:val="nil"/>
            </w:tcBorders>
            <w:shd w:val="clear" w:color="auto" w:fill="auto"/>
            <w:noWrap/>
            <w:vAlign w:val="center"/>
            <w:hideMark/>
          </w:tcPr>
          <w:p w14:paraId="2F3FCAAF" w14:textId="078A7E9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60.19%</w:t>
            </w:r>
          </w:p>
        </w:tc>
      </w:tr>
      <w:tr w:rsidR="00215DD1" w14:paraId="1EA94A21" w14:textId="77777777" w:rsidTr="00390048">
        <w:trPr>
          <w:trHeight w:val="278"/>
        </w:trPr>
        <w:tc>
          <w:tcPr>
            <w:tcW w:w="0" w:type="auto"/>
            <w:gridSpan w:val="2"/>
            <w:vMerge w:val="restart"/>
            <w:tcBorders>
              <w:top w:val="nil"/>
              <w:left w:val="nil"/>
              <w:right w:val="single" w:sz="4" w:space="0" w:color="auto"/>
            </w:tcBorders>
            <w:vAlign w:val="center"/>
          </w:tcPr>
          <w:p w14:paraId="38875C08" w14:textId="43D8B71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普通股票型</w:t>
            </w:r>
          </w:p>
        </w:tc>
        <w:tc>
          <w:tcPr>
            <w:tcW w:w="0" w:type="auto"/>
            <w:tcBorders>
              <w:top w:val="nil"/>
              <w:left w:val="single" w:sz="4" w:space="0" w:color="auto"/>
              <w:bottom w:val="nil"/>
              <w:right w:val="nil"/>
            </w:tcBorders>
            <w:shd w:val="clear" w:color="auto" w:fill="auto"/>
            <w:noWrap/>
            <w:vAlign w:val="center"/>
          </w:tcPr>
          <w:p w14:paraId="3BE26C88" w14:textId="6BF3E5E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86A7E23" w14:textId="06C6FFB9"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163</w:t>
            </w:r>
          </w:p>
        </w:tc>
        <w:tc>
          <w:tcPr>
            <w:tcW w:w="0" w:type="auto"/>
            <w:tcBorders>
              <w:top w:val="nil"/>
              <w:left w:val="nil"/>
              <w:bottom w:val="nil"/>
              <w:right w:val="nil"/>
            </w:tcBorders>
            <w:shd w:val="clear" w:color="auto" w:fill="auto"/>
            <w:noWrap/>
            <w:vAlign w:val="center"/>
          </w:tcPr>
          <w:p w14:paraId="2875F1AA" w14:textId="1B4D0FF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74.77%</w:t>
            </w:r>
          </w:p>
        </w:tc>
        <w:tc>
          <w:tcPr>
            <w:tcW w:w="0" w:type="auto"/>
            <w:tcBorders>
              <w:top w:val="nil"/>
              <w:left w:val="nil"/>
              <w:bottom w:val="nil"/>
              <w:right w:val="nil"/>
            </w:tcBorders>
            <w:shd w:val="clear" w:color="auto" w:fill="auto"/>
            <w:noWrap/>
            <w:vAlign w:val="center"/>
          </w:tcPr>
          <w:p w14:paraId="4FC4BE6E" w14:textId="766AFD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49CA5A3A" w14:textId="672816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gridSpan w:val="2"/>
            <w:tcBorders>
              <w:top w:val="nil"/>
              <w:left w:val="nil"/>
              <w:bottom w:val="nil"/>
              <w:right w:val="nil"/>
            </w:tcBorders>
            <w:shd w:val="clear" w:color="auto" w:fill="auto"/>
            <w:noWrap/>
            <w:vAlign w:val="center"/>
          </w:tcPr>
          <w:p w14:paraId="72F43BDC" w14:textId="07F2AD5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79.33%</w:t>
            </w:r>
          </w:p>
        </w:tc>
      </w:tr>
      <w:tr w:rsidR="00215DD1" w14:paraId="0B4DFB89" w14:textId="77777777" w:rsidTr="00390048">
        <w:trPr>
          <w:trHeight w:val="278"/>
        </w:trPr>
        <w:tc>
          <w:tcPr>
            <w:tcW w:w="0" w:type="auto"/>
            <w:gridSpan w:val="2"/>
            <w:vMerge/>
            <w:tcBorders>
              <w:left w:val="nil"/>
              <w:right w:val="single" w:sz="4" w:space="0" w:color="auto"/>
            </w:tcBorders>
            <w:vAlign w:val="center"/>
          </w:tcPr>
          <w:p w14:paraId="5F8D9A58"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tcPr>
          <w:p w14:paraId="56671150" w14:textId="0194B7D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4B1000C1" w14:textId="415D82E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w:t>
            </w:r>
          </w:p>
        </w:tc>
        <w:tc>
          <w:tcPr>
            <w:tcW w:w="0" w:type="auto"/>
            <w:tcBorders>
              <w:top w:val="nil"/>
              <w:left w:val="nil"/>
              <w:bottom w:val="nil"/>
              <w:right w:val="nil"/>
            </w:tcBorders>
            <w:shd w:val="clear" w:color="auto" w:fill="auto"/>
            <w:noWrap/>
            <w:vAlign w:val="center"/>
          </w:tcPr>
          <w:p w14:paraId="3FF9CC06" w14:textId="3B73C2E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79.39%</w:t>
            </w:r>
          </w:p>
        </w:tc>
        <w:tc>
          <w:tcPr>
            <w:tcW w:w="0" w:type="auto"/>
            <w:tcBorders>
              <w:top w:val="nil"/>
              <w:left w:val="nil"/>
              <w:bottom w:val="nil"/>
              <w:right w:val="nil"/>
            </w:tcBorders>
            <w:shd w:val="clear" w:color="auto" w:fill="auto"/>
            <w:noWrap/>
            <w:vAlign w:val="center"/>
          </w:tcPr>
          <w:p w14:paraId="6D14C8D6" w14:textId="63097EF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51699E98" w14:textId="03F1DCB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48</w:t>
            </w:r>
          </w:p>
        </w:tc>
        <w:tc>
          <w:tcPr>
            <w:tcW w:w="0" w:type="auto"/>
            <w:gridSpan w:val="2"/>
            <w:tcBorders>
              <w:top w:val="nil"/>
              <w:left w:val="nil"/>
              <w:bottom w:val="nil"/>
              <w:right w:val="nil"/>
            </w:tcBorders>
            <w:shd w:val="clear" w:color="auto" w:fill="auto"/>
            <w:noWrap/>
            <w:vAlign w:val="center"/>
          </w:tcPr>
          <w:p w14:paraId="5BF619F0" w14:textId="70AC61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83.00%</w:t>
            </w:r>
          </w:p>
        </w:tc>
      </w:tr>
      <w:tr w:rsidR="00215DD1" w14:paraId="65B2F6CD" w14:textId="77777777" w:rsidTr="00390048">
        <w:trPr>
          <w:trHeight w:val="278"/>
        </w:trPr>
        <w:tc>
          <w:tcPr>
            <w:tcW w:w="0" w:type="auto"/>
            <w:gridSpan w:val="2"/>
            <w:vMerge/>
            <w:tcBorders>
              <w:left w:val="nil"/>
              <w:right w:val="single" w:sz="4" w:space="0" w:color="auto"/>
            </w:tcBorders>
            <w:vAlign w:val="center"/>
          </w:tcPr>
          <w:p w14:paraId="49B76719"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tcPr>
          <w:p w14:paraId="1BFB09FE" w14:textId="7E59DD5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08BB1BEF" w14:textId="588E4C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41</w:t>
            </w:r>
          </w:p>
        </w:tc>
        <w:tc>
          <w:tcPr>
            <w:tcW w:w="0" w:type="auto"/>
            <w:tcBorders>
              <w:top w:val="nil"/>
              <w:left w:val="nil"/>
              <w:bottom w:val="nil"/>
              <w:right w:val="nil"/>
            </w:tcBorders>
            <w:shd w:val="clear" w:color="auto" w:fill="auto"/>
            <w:noWrap/>
            <w:vAlign w:val="center"/>
          </w:tcPr>
          <w:p w14:paraId="0D2B5E51" w14:textId="660A12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0" w:type="auto"/>
            <w:tcBorders>
              <w:top w:val="nil"/>
              <w:left w:val="nil"/>
              <w:bottom w:val="nil"/>
              <w:right w:val="nil"/>
            </w:tcBorders>
            <w:shd w:val="clear" w:color="auto" w:fill="auto"/>
            <w:noWrap/>
            <w:vAlign w:val="center"/>
          </w:tcPr>
          <w:p w14:paraId="53CE0FA2" w14:textId="2B7E4E6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233A9B43" w14:textId="2027ED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45</w:t>
            </w:r>
          </w:p>
        </w:tc>
        <w:tc>
          <w:tcPr>
            <w:tcW w:w="0" w:type="auto"/>
            <w:gridSpan w:val="2"/>
            <w:tcBorders>
              <w:top w:val="nil"/>
              <w:left w:val="nil"/>
              <w:bottom w:val="nil"/>
              <w:right w:val="nil"/>
            </w:tcBorders>
            <w:shd w:val="clear" w:color="auto" w:fill="auto"/>
            <w:noWrap/>
            <w:vAlign w:val="center"/>
          </w:tcPr>
          <w:p w14:paraId="1A6311EA" w14:textId="36D935D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78.95%</w:t>
            </w:r>
          </w:p>
        </w:tc>
      </w:tr>
      <w:tr w:rsidR="00215DD1" w14:paraId="1FD5D66D" w14:textId="77777777" w:rsidTr="00390048">
        <w:trPr>
          <w:trHeight w:val="278"/>
        </w:trPr>
        <w:tc>
          <w:tcPr>
            <w:tcW w:w="0" w:type="auto"/>
            <w:gridSpan w:val="2"/>
            <w:vMerge/>
            <w:tcBorders>
              <w:left w:val="nil"/>
              <w:right w:val="single" w:sz="4" w:space="0" w:color="auto"/>
            </w:tcBorders>
            <w:vAlign w:val="center"/>
          </w:tcPr>
          <w:p w14:paraId="1DB30A8A"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tcPr>
          <w:p w14:paraId="78A81178" w14:textId="2791B80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tcPr>
          <w:p w14:paraId="62B3116B" w14:textId="1C4DC7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0" w:type="auto"/>
            <w:tcBorders>
              <w:top w:val="nil"/>
              <w:left w:val="nil"/>
              <w:bottom w:val="nil"/>
              <w:right w:val="nil"/>
            </w:tcBorders>
            <w:shd w:val="clear" w:color="auto" w:fill="auto"/>
            <w:noWrap/>
            <w:vAlign w:val="center"/>
          </w:tcPr>
          <w:p w14:paraId="0AB01436" w14:textId="6EF4D71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75.28%</w:t>
            </w:r>
          </w:p>
        </w:tc>
        <w:tc>
          <w:tcPr>
            <w:tcW w:w="0" w:type="auto"/>
            <w:tcBorders>
              <w:top w:val="nil"/>
              <w:left w:val="nil"/>
              <w:bottom w:val="nil"/>
              <w:right w:val="nil"/>
            </w:tcBorders>
            <w:shd w:val="clear" w:color="auto" w:fill="auto"/>
            <w:noWrap/>
            <w:vAlign w:val="center"/>
          </w:tcPr>
          <w:p w14:paraId="20040308" w14:textId="41ED162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tcPr>
          <w:p w14:paraId="54F51236" w14:textId="45F4724B"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38</w:t>
            </w:r>
          </w:p>
        </w:tc>
        <w:tc>
          <w:tcPr>
            <w:tcW w:w="0" w:type="auto"/>
            <w:gridSpan w:val="2"/>
            <w:tcBorders>
              <w:top w:val="nil"/>
              <w:left w:val="nil"/>
              <w:bottom w:val="nil"/>
              <w:right w:val="nil"/>
            </w:tcBorders>
            <w:shd w:val="clear" w:color="auto" w:fill="auto"/>
            <w:noWrap/>
            <w:vAlign w:val="center"/>
          </w:tcPr>
          <w:p w14:paraId="58C88652" w14:textId="4DD18F9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80.65%</w:t>
            </w:r>
          </w:p>
        </w:tc>
      </w:tr>
      <w:tr w:rsidR="00215DD1" w14:paraId="5395E5BD" w14:textId="77777777" w:rsidTr="00390048">
        <w:trPr>
          <w:trHeight w:val="278"/>
        </w:trPr>
        <w:tc>
          <w:tcPr>
            <w:tcW w:w="0" w:type="auto"/>
            <w:gridSpan w:val="2"/>
            <w:vMerge/>
            <w:tcBorders>
              <w:left w:val="nil"/>
              <w:bottom w:val="nil"/>
              <w:right w:val="single" w:sz="4" w:space="0" w:color="auto"/>
            </w:tcBorders>
            <w:vAlign w:val="center"/>
          </w:tcPr>
          <w:p w14:paraId="698FD6E2" w14:textId="77777777" w:rsidR="00215DD1" w:rsidRDefault="00215DD1" w:rsidP="00215DD1">
            <w:pPr>
              <w:rPr>
                <w:rFonts w:ascii="Arial" w:eastAsia="等线" w:hAnsi="Arial" w:cs="Arial"/>
                <w:b/>
                <w:bCs/>
                <w:color w:val="0F243E"/>
                <w:sz w:val="16"/>
                <w:szCs w:val="16"/>
                <w:lang w:eastAsia="zh-CN"/>
              </w:rPr>
            </w:pPr>
          </w:p>
        </w:tc>
        <w:tc>
          <w:tcPr>
            <w:tcW w:w="0" w:type="auto"/>
            <w:tcBorders>
              <w:top w:val="nil"/>
              <w:left w:val="single" w:sz="4" w:space="0" w:color="auto"/>
              <w:bottom w:val="nil"/>
              <w:right w:val="nil"/>
            </w:tcBorders>
            <w:shd w:val="clear" w:color="auto" w:fill="auto"/>
            <w:noWrap/>
            <w:vAlign w:val="center"/>
          </w:tcPr>
          <w:p w14:paraId="4E337A49" w14:textId="3F77AD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0" w:type="auto"/>
            <w:tcBorders>
              <w:top w:val="nil"/>
              <w:left w:val="nil"/>
              <w:bottom w:val="nil"/>
              <w:right w:val="nil"/>
            </w:tcBorders>
            <w:shd w:val="clear" w:color="auto" w:fill="auto"/>
            <w:noWrap/>
            <w:vAlign w:val="center"/>
          </w:tcPr>
          <w:p w14:paraId="27E728B9" w14:textId="6D35139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0" w:type="auto"/>
            <w:tcBorders>
              <w:top w:val="nil"/>
              <w:left w:val="nil"/>
              <w:bottom w:val="nil"/>
              <w:right w:val="nil"/>
            </w:tcBorders>
            <w:shd w:val="clear" w:color="auto" w:fill="auto"/>
            <w:noWrap/>
            <w:vAlign w:val="center"/>
          </w:tcPr>
          <w:p w14:paraId="6A1211C1" w14:textId="283CACD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75.88%</w:t>
            </w:r>
          </w:p>
        </w:tc>
        <w:tc>
          <w:tcPr>
            <w:tcW w:w="0" w:type="auto"/>
            <w:tcBorders>
              <w:top w:val="nil"/>
              <w:left w:val="nil"/>
              <w:bottom w:val="nil"/>
              <w:right w:val="nil"/>
            </w:tcBorders>
            <w:shd w:val="clear" w:color="auto" w:fill="auto"/>
            <w:noWrap/>
            <w:vAlign w:val="center"/>
          </w:tcPr>
          <w:p w14:paraId="523FFD11" w14:textId="3ABEB3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0" w:type="auto"/>
            <w:tcBorders>
              <w:top w:val="nil"/>
              <w:left w:val="nil"/>
              <w:bottom w:val="nil"/>
              <w:right w:val="nil"/>
            </w:tcBorders>
            <w:shd w:val="clear" w:color="auto" w:fill="auto"/>
            <w:noWrap/>
            <w:vAlign w:val="center"/>
          </w:tcPr>
          <w:p w14:paraId="7BDC5ADA" w14:textId="7B7FA19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34</w:t>
            </w:r>
          </w:p>
        </w:tc>
        <w:tc>
          <w:tcPr>
            <w:tcW w:w="0" w:type="auto"/>
            <w:gridSpan w:val="2"/>
            <w:tcBorders>
              <w:top w:val="nil"/>
              <w:left w:val="nil"/>
              <w:bottom w:val="nil"/>
              <w:right w:val="nil"/>
            </w:tcBorders>
            <w:shd w:val="clear" w:color="auto" w:fill="auto"/>
            <w:noWrap/>
            <w:vAlign w:val="center"/>
          </w:tcPr>
          <w:p w14:paraId="4F9649B1" w14:textId="6A6663E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81.92%</w:t>
            </w:r>
          </w:p>
        </w:tc>
      </w:tr>
      <w:tr w:rsidR="00215DD1" w14:paraId="1DA1221A" w14:textId="77777777" w:rsidTr="00390048">
        <w:trPr>
          <w:trHeight w:val="278"/>
        </w:trPr>
        <w:tc>
          <w:tcPr>
            <w:tcW w:w="0" w:type="auto"/>
            <w:gridSpan w:val="2"/>
            <w:vMerge w:val="restart"/>
            <w:tcBorders>
              <w:top w:val="nil"/>
              <w:left w:val="nil"/>
              <w:right w:val="single" w:sz="4" w:space="0" w:color="auto"/>
            </w:tcBorders>
            <w:vAlign w:val="center"/>
          </w:tcPr>
          <w:p w14:paraId="389B66B7" w14:textId="40FD077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偏债混合型</w:t>
            </w:r>
          </w:p>
        </w:tc>
        <w:tc>
          <w:tcPr>
            <w:tcW w:w="0" w:type="auto"/>
            <w:tcBorders>
              <w:top w:val="nil"/>
              <w:left w:val="single" w:sz="4" w:space="0" w:color="auto"/>
              <w:bottom w:val="nil"/>
              <w:right w:val="nil"/>
            </w:tcBorders>
            <w:shd w:val="clear" w:color="auto" w:fill="auto"/>
            <w:noWrap/>
            <w:vAlign w:val="center"/>
          </w:tcPr>
          <w:p w14:paraId="3CC05944" w14:textId="4613547D"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3A2D56ED" w14:textId="6E9D22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631</w:t>
            </w:r>
          </w:p>
        </w:tc>
        <w:tc>
          <w:tcPr>
            <w:tcW w:w="0" w:type="auto"/>
            <w:tcBorders>
              <w:top w:val="nil"/>
              <w:left w:val="nil"/>
              <w:bottom w:val="nil"/>
              <w:right w:val="nil"/>
            </w:tcBorders>
            <w:shd w:val="clear" w:color="auto" w:fill="auto"/>
            <w:noWrap/>
            <w:vAlign w:val="center"/>
          </w:tcPr>
          <w:p w14:paraId="786C980A" w14:textId="1D400E0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18.99%</w:t>
            </w:r>
          </w:p>
        </w:tc>
        <w:tc>
          <w:tcPr>
            <w:tcW w:w="0" w:type="auto"/>
            <w:tcBorders>
              <w:top w:val="nil"/>
              <w:left w:val="nil"/>
              <w:bottom w:val="nil"/>
              <w:right w:val="nil"/>
            </w:tcBorders>
            <w:shd w:val="clear" w:color="auto" w:fill="auto"/>
            <w:noWrap/>
            <w:vAlign w:val="center"/>
          </w:tcPr>
          <w:p w14:paraId="79119E95" w14:textId="3D6680C0"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33FDAA26" w14:textId="7514B87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152</w:t>
            </w:r>
          </w:p>
        </w:tc>
        <w:tc>
          <w:tcPr>
            <w:tcW w:w="0" w:type="auto"/>
            <w:gridSpan w:val="2"/>
            <w:tcBorders>
              <w:top w:val="nil"/>
              <w:left w:val="nil"/>
              <w:bottom w:val="nil"/>
              <w:right w:val="nil"/>
            </w:tcBorders>
            <w:shd w:val="clear" w:color="auto" w:fill="auto"/>
            <w:noWrap/>
            <w:vAlign w:val="center"/>
          </w:tcPr>
          <w:p w14:paraId="25753C90" w14:textId="36F4A11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16.46%</w:t>
            </w:r>
          </w:p>
        </w:tc>
      </w:tr>
      <w:tr w:rsidR="00215DD1" w14:paraId="797C5912" w14:textId="77777777" w:rsidTr="00390048">
        <w:trPr>
          <w:trHeight w:val="278"/>
        </w:trPr>
        <w:tc>
          <w:tcPr>
            <w:tcW w:w="0" w:type="auto"/>
            <w:gridSpan w:val="2"/>
            <w:vMerge/>
            <w:tcBorders>
              <w:left w:val="nil"/>
              <w:right w:val="single" w:sz="4" w:space="0" w:color="auto"/>
            </w:tcBorders>
            <w:vAlign w:val="center"/>
          </w:tcPr>
          <w:p w14:paraId="49A6055A"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nil"/>
              <w:right w:val="nil"/>
            </w:tcBorders>
            <w:shd w:val="clear" w:color="auto" w:fill="auto"/>
            <w:noWrap/>
            <w:vAlign w:val="center"/>
          </w:tcPr>
          <w:p w14:paraId="01283999" w14:textId="206622A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F364545" w14:textId="094C90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w:t>
            </w:r>
          </w:p>
        </w:tc>
        <w:tc>
          <w:tcPr>
            <w:tcW w:w="0" w:type="auto"/>
            <w:tcBorders>
              <w:top w:val="nil"/>
              <w:left w:val="nil"/>
              <w:bottom w:val="nil"/>
              <w:right w:val="nil"/>
            </w:tcBorders>
            <w:shd w:val="clear" w:color="auto" w:fill="auto"/>
            <w:noWrap/>
            <w:vAlign w:val="center"/>
          </w:tcPr>
          <w:p w14:paraId="600C6C17" w14:textId="5945CAF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18.91%</w:t>
            </w:r>
          </w:p>
        </w:tc>
        <w:tc>
          <w:tcPr>
            <w:tcW w:w="0" w:type="auto"/>
            <w:tcBorders>
              <w:top w:val="nil"/>
              <w:left w:val="nil"/>
              <w:bottom w:val="nil"/>
              <w:right w:val="nil"/>
            </w:tcBorders>
            <w:shd w:val="clear" w:color="auto" w:fill="auto"/>
            <w:noWrap/>
            <w:vAlign w:val="center"/>
          </w:tcPr>
          <w:p w14:paraId="579B95AE" w14:textId="6587A9DC"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06CA2090" w14:textId="61D5BC4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118</w:t>
            </w:r>
          </w:p>
        </w:tc>
        <w:tc>
          <w:tcPr>
            <w:tcW w:w="0" w:type="auto"/>
            <w:gridSpan w:val="2"/>
            <w:tcBorders>
              <w:top w:val="nil"/>
              <w:left w:val="nil"/>
              <w:bottom w:val="nil"/>
              <w:right w:val="nil"/>
            </w:tcBorders>
            <w:shd w:val="clear" w:color="auto" w:fill="auto"/>
            <w:noWrap/>
            <w:vAlign w:val="center"/>
          </w:tcPr>
          <w:p w14:paraId="134FDA74" w14:textId="5FA4314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20.37%</w:t>
            </w:r>
          </w:p>
        </w:tc>
      </w:tr>
      <w:tr w:rsidR="00215DD1" w14:paraId="613105D7" w14:textId="77777777" w:rsidTr="00390048">
        <w:trPr>
          <w:trHeight w:val="278"/>
        </w:trPr>
        <w:tc>
          <w:tcPr>
            <w:tcW w:w="0" w:type="auto"/>
            <w:gridSpan w:val="2"/>
            <w:vMerge/>
            <w:tcBorders>
              <w:left w:val="nil"/>
              <w:right w:val="single" w:sz="4" w:space="0" w:color="auto"/>
            </w:tcBorders>
            <w:vAlign w:val="center"/>
          </w:tcPr>
          <w:p w14:paraId="32720BF0"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right w:val="nil"/>
            </w:tcBorders>
            <w:shd w:val="clear" w:color="auto" w:fill="auto"/>
            <w:noWrap/>
            <w:vAlign w:val="center"/>
          </w:tcPr>
          <w:p w14:paraId="5C40CE87" w14:textId="208C581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right w:val="nil"/>
            </w:tcBorders>
            <w:shd w:val="clear" w:color="auto" w:fill="auto"/>
            <w:noWrap/>
            <w:vAlign w:val="center"/>
          </w:tcPr>
          <w:p w14:paraId="3D3FF0CD" w14:textId="431CCE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0" w:type="auto"/>
            <w:tcBorders>
              <w:top w:val="nil"/>
              <w:left w:val="nil"/>
              <w:right w:val="nil"/>
            </w:tcBorders>
            <w:shd w:val="clear" w:color="auto" w:fill="auto"/>
            <w:noWrap/>
            <w:vAlign w:val="center"/>
          </w:tcPr>
          <w:p w14:paraId="5905C78E" w14:textId="433C945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22.00%</w:t>
            </w:r>
          </w:p>
        </w:tc>
        <w:tc>
          <w:tcPr>
            <w:tcW w:w="0" w:type="auto"/>
            <w:tcBorders>
              <w:top w:val="nil"/>
              <w:left w:val="nil"/>
              <w:right w:val="nil"/>
            </w:tcBorders>
            <w:shd w:val="clear" w:color="auto" w:fill="auto"/>
            <w:noWrap/>
            <w:vAlign w:val="center"/>
          </w:tcPr>
          <w:p w14:paraId="4DC57FAE" w14:textId="06130FA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0" w:type="auto"/>
            <w:tcBorders>
              <w:top w:val="nil"/>
              <w:left w:val="nil"/>
              <w:bottom w:val="nil"/>
              <w:right w:val="nil"/>
            </w:tcBorders>
            <w:shd w:val="clear" w:color="auto" w:fill="auto"/>
            <w:noWrap/>
            <w:vAlign w:val="center"/>
          </w:tcPr>
          <w:p w14:paraId="2CC02209" w14:textId="3904447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63</w:t>
            </w:r>
          </w:p>
        </w:tc>
        <w:tc>
          <w:tcPr>
            <w:tcW w:w="0" w:type="auto"/>
            <w:gridSpan w:val="2"/>
            <w:tcBorders>
              <w:top w:val="nil"/>
              <w:left w:val="nil"/>
              <w:bottom w:val="nil"/>
              <w:right w:val="nil"/>
            </w:tcBorders>
            <w:shd w:val="clear" w:color="auto" w:fill="auto"/>
            <w:noWrap/>
            <w:vAlign w:val="center"/>
          </w:tcPr>
          <w:p w14:paraId="61E6755B" w14:textId="73C28B59"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16.35%</w:t>
            </w:r>
          </w:p>
        </w:tc>
      </w:tr>
      <w:tr w:rsidR="00215DD1" w14:paraId="1CCDF8D9" w14:textId="77777777" w:rsidTr="00390048">
        <w:trPr>
          <w:trHeight w:val="278"/>
        </w:trPr>
        <w:tc>
          <w:tcPr>
            <w:tcW w:w="0" w:type="auto"/>
            <w:gridSpan w:val="2"/>
            <w:vMerge/>
            <w:tcBorders>
              <w:left w:val="nil"/>
              <w:right w:val="single" w:sz="4" w:space="0" w:color="auto"/>
            </w:tcBorders>
            <w:vAlign w:val="center"/>
          </w:tcPr>
          <w:p w14:paraId="30B9E485" w14:textId="77777777" w:rsidR="00215DD1" w:rsidRDefault="00215DD1" w:rsidP="00215DD1">
            <w:pPr>
              <w:rPr>
                <w:rFonts w:ascii="Arial" w:eastAsia="等线" w:hAnsi="Arial" w:cs="Arial"/>
                <w:b/>
                <w:bCs/>
                <w:color w:val="0F243E"/>
                <w:sz w:val="16"/>
                <w:szCs w:val="16"/>
                <w:lang w:eastAsia="zh-CN"/>
              </w:rPr>
            </w:pPr>
          </w:p>
        </w:tc>
        <w:tc>
          <w:tcPr>
            <w:tcW w:w="0" w:type="auto"/>
            <w:tcBorders>
              <w:top w:val="nil"/>
              <w:left w:val="single" w:sz="4" w:space="0" w:color="auto"/>
              <w:bottom w:val="nil"/>
              <w:right w:val="nil"/>
            </w:tcBorders>
            <w:shd w:val="clear" w:color="auto" w:fill="auto"/>
            <w:noWrap/>
            <w:vAlign w:val="center"/>
          </w:tcPr>
          <w:p w14:paraId="66808CDE" w14:textId="244BD81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中证股票型基金指数收益率</w:t>
            </w:r>
          </w:p>
        </w:tc>
        <w:tc>
          <w:tcPr>
            <w:tcW w:w="0" w:type="auto"/>
            <w:tcBorders>
              <w:top w:val="nil"/>
              <w:left w:val="nil"/>
              <w:bottom w:val="nil"/>
              <w:right w:val="nil"/>
            </w:tcBorders>
            <w:shd w:val="clear" w:color="auto" w:fill="auto"/>
            <w:noWrap/>
            <w:vAlign w:val="center"/>
          </w:tcPr>
          <w:p w14:paraId="6CA91695" w14:textId="0CAE28E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0" w:type="auto"/>
            <w:tcBorders>
              <w:top w:val="nil"/>
              <w:left w:val="nil"/>
              <w:bottom w:val="nil"/>
              <w:right w:val="nil"/>
            </w:tcBorders>
            <w:shd w:val="clear" w:color="auto" w:fill="auto"/>
            <w:noWrap/>
            <w:vAlign w:val="center"/>
          </w:tcPr>
          <w:p w14:paraId="2DD44E96" w14:textId="1063D6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24.00%</w:t>
            </w:r>
          </w:p>
        </w:tc>
        <w:tc>
          <w:tcPr>
            <w:tcW w:w="0" w:type="auto"/>
            <w:tcBorders>
              <w:top w:val="nil"/>
              <w:left w:val="nil"/>
              <w:bottom w:val="nil"/>
              <w:right w:val="nil"/>
            </w:tcBorders>
            <w:shd w:val="clear" w:color="auto" w:fill="auto"/>
            <w:noWrap/>
            <w:vAlign w:val="center"/>
          </w:tcPr>
          <w:p w14:paraId="44D79F18" w14:textId="61166F2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1EFF23F4" w14:textId="0968CF8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54</w:t>
            </w:r>
          </w:p>
        </w:tc>
        <w:tc>
          <w:tcPr>
            <w:tcW w:w="0" w:type="auto"/>
            <w:gridSpan w:val="2"/>
            <w:tcBorders>
              <w:top w:val="nil"/>
              <w:left w:val="nil"/>
              <w:bottom w:val="nil"/>
              <w:right w:val="nil"/>
            </w:tcBorders>
            <w:shd w:val="clear" w:color="auto" w:fill="auto"/>
            <w:noWrap/>
            <w:vAlign w:val="center"/>
          </w:tcPr>
          <w:p w14:paraId="3D12FF03" w14:textId="14EEC4D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20.91%</w:t>
            </w:r>
          </w:p>
        </w:tc>
      </w:tr>
      <w:tr w:rsidR="00215DD1" w14:paraId="5DDB137C" w14:textId="77777777" w:rsidTr="00390048">
        <w:trPr>
          <w:trHeight w:val="278"/>
        </w:trPr>
        <w:tc>
          <w:tcPr>
            <w:tcW w:w="0" w:type="auto"/>
            <w:gridSpan w:val="2"/>
            <w:vMerge/>
            <w:tcBorders>
              <w:left w:val="nil"/>
              <w:right w:val="single" w:sz="4" w:space="0" w:color="auto"/>
            </w:tcBorders>
            <w:vAlign w:val="center"/>
          </w:tcPr>
          <w:p w14:paraId="3C0236FC" w14:textId="77777777" w:rsidR="00215DD1" w:rsidRDefault="00215DD1" w:rsidP="00215DD1">
            <w:pPr>
              <w:rPr>
                <w:rFonts w:ascii="Arial" w:eastAsia="等线" w:hAnsi="Arial" w:cs="Arial"/>
                <w:b/>
                <w:bCs/>
                <w:color w:val="0F243E"/>
                <w:sz w:val="16"/>
                <w:szCs w:val="16"/>
              </w:rPr>
            </w:pPr>
          </w:p>
        </w:tc>
        <w:tc>
          <w:tcPr>
            <w:tcW w:w="0" w:type="auto"/>
            <w:tcBorders>
              <w:top w:val="nil"/>
              <w:left w:val="single" w:sz="4" w:space="0" w:color="auto"/>
              <w:bottom w:val="single" w:sz="4" w:space="0" w:color="auto"/>
              <w:right w:val="nil"/>
            </w:tcBorders>
            <w:shd w:val="clear" w:color="auto" w:fill="auto"/>
            <w:noWrap/>
            <w:vAlign w:val="center"/>
          </w:tcPr>
          <w:p w14:paraId="3C0432FF" w14:textId="34B43119"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0.02</w:t>
            </w:r>
          </w:p>
        </w:tc>
        <w:tc>
          <w:tcPr>
            <w:tcW w:w="0" w:type="auto"/>
            <w:tcBorders>
              <w:top w:val="nil"/>
              <w:left w:val="nil"/>
              <w:bottom w:val="single" w:sz="4" w:space="0" w:color="auto"/>
              <w:right w:val="nil"/>
            </w:tcBorders>
            <w:shd w:val="clear" w:color="auto" w:fill="auto"/>
            <w:noWrap/>
            <w:vAlign w:val="center"/>
          </w:tcPr>
          <w:p w14:paraId="08252520" w14:textId="7FCC497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0" w:type="auto"/>
            <w:tcBorders>
              <w:top w:val="nil"/>
              <w:left w:val="nil"/>
              <w:bottom w:val="single" w:sz="4" w:space="0" w:color="auto"/>
              <w:right w:val="nil"/>
            </w:tcBorders>
            <w:shd w:val="clear" w:color="auto" w:fill="auto"/>
            <w:noWrap/>
            <w:vAlign w:val="center"/>
          </w:tcPr>
          <w:p w14:paraId="140DF0DA" w14:textId="5B2A918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100.00%</w:t>
            </w:r>
          </w:p>
        </w:tc>
        <w:tc>
          <w:tcPr>
            <w:tcW w:w="0" w:type="auto"/>
            <w:tcBorders>
              <w:top w:val="nil"/>
              <w:left w:val="nil"/>
              <w:bottom w:val="single" w:sz="4" w:space="0" w:color="auto"/>
              <w:right w:val="nil"/>
            </w:tcBorders>
            <w:shd w:val="clear" w:color="auto" w:fill="auto"/>
            <w:noWrap/>
            <w:vAlign w:val="center"/>
          </w:tcPr>
          <w:p w14:paraId="75DDA5D2" w14:textId="0B1EA0D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single" w:sz="4" w:space="0" w:color="auto"/>
              <w:right w:val="nil"/>
            </w:tcBorders>
            <w:shd w:val="clear" w:color="auto" w:fill="auto"/>
            <w:noWrap/>
            <w:vAlign w:val="center"/>
          </w:tcPr>
          <w:p w14:paraId="532F6632" w14:textId="2703230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50</w:t>
            </w:r>
          </w:p>
        </w:tc>
        <w:tc>
          <w:tcPr>
            <w:tcW w:w="0" w:type="auto"/>
            <w:gridSpan w:val="2"/>
            <w:tcBorders>
              <w:top w:val="nil"/>
              <w:left w:val="nil"/>
              <w:bottom w:val="single" w:sz="4" w:space="0" w:color="auto"/>
              <w:right w:val="nil"/>
            </w:tcBorders>
            <w:shd w:val="clear" w:color="auto" w:fill="auto"/>
            <w:noWrap/>
            <w:vAlign w:val="center"/>
          </w:tcPr>
          <w:p w14:paraId="5C705E36" w14:textId="3E64C8F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18.46%</w:t>
            </w:r>
          </w:p>
        </w:tc>
      </w:tr>
      <w:tr w:rsidR="00215DD1" w14:paraId="4409C289" w14:textId="77777777" w:rsidTr="00215DD1">
        <w:trPr>
          <w:trHeight w:val="278"/>
        </w:trPr>
        <w:tc>
          <w:tcPr>
            <w:tcW w:w="0" w:type="auto"/>
            <w:gridSpan w:val="6"/>
            <w:tcBorders>
              <w:top w:val="single" w:sz="4" w:space="0" w:color="auto"/>
              <w:left w:val="nil"/>
              <w:right w:val="nil"/>
            </w:tcBorders>
            <w:vAlign w:val="center"/>
          </w:tcPr>
          <w:p w14:paraId="0B4CA50A" w14:textId="33E618F3" w:rsidR="00215DD1" w:rsidRPr="00215DD1" w:rsidRDefault="00215DD1" w:rsidP="00215DD1">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0" w:type="auto"/>
            <w:tcBorders>
              <w:top w:val="single" w:sz="4" w:space="0" w:color="auto"/>
              <w:left w:val="nil"/>
              <w:bottom w:val="nil"/>
              <w:right w:val="nil"/>
            </w:tcBorders>
            <w:shd w:val="clear" w:color="auto" w:fill="auto"/>
            <w:noWrap/>
            <w:vAlign w:val="center"/>
          </w:tcPr>
          <w:p w14:paraId="16642DED" w14:textId="77777777" w:rsidR="00215DD1" w:rsidRDefault="00215DD1" w:rsidP="00215DD1">
            <w:pPr>
              <w:jc w:val="center"/>
              <w:rPr>
                <w:rFonts w:ascii="Arial" w:eastAsia="等线" w:hAnsi="Arial" w:cs="Arial"/>
                <w:color w:val="0F243E"/>
                <w:sz w:val="16"/>
                <w:szCs w:val="16"/>
                <w:lang w:eastAsia="zh-CN"/>
              </w:rPr>
            </w:pPr>
          </w:p>
        </w:tc>
        <w:tc>
          <w:tcPr>
            <w:tcW w:w="0" w:type="auto"/>
            <w:gridSpan w:val="2"/>
            <w:tcBorders>
              <w:top w:val="single" w:sz="4" w:space="0" w:color="auto"/>
              <w:left w:val="nil"/>
              <w:bottom w:val="nil"/>
              <w:right w:val="nil"/>
            </w:tcBorders>
            <w:shd w:val="clear" w:color="auto" w:fill="auto"/>
            <w:noWrap/>
            <w:vAlign w:val="center"/>
          </w:tcPr>
          <w:p w14:paraId="1C42A6E8" w14:textId="77777777" w:rsidR="00215DD1" w:rsidRDefault="00215DD1" w:rsidP="00215DD1">
            <w:pPr>
              <w:jc w:val="center"/>
              <w:rPr>
                <w:rFonts w:ascii="Arial" w:eastAsia="等线" w:hAnsi="Arial" w:cs="Arial"/>
                <w:color w:val="0F243E"/>
                <w:sz w:val="16"/>
                <w:szCs w:val="16"/>
                <w:lang w:eastAsia="zh-CN"/>
              </w:rPr>
            </w:pPr>
          </w:p>
        </w:tc>
      </w:tr>
    </w:tbl>
    <w:p w14:paraId="368C0762" w14:textId="77777777" w:rsidR="00215DD1" w:rsidRPr="00EF2613" w:rsidRDefault="00215DD1" w:rsidP="009307D7">
      <w:pPr>
        <w:pStyle w:val="ae"/>
        <w:spacing w:beforeLines="50" w:before="163" w:afterLines="50" w:after="163" w:line="252" w:lineRule="auto"/>
        <w:ind w:left="3017"/>
        <w:jc w:val="both"/>
        <w:rPr>
          <w:lang w:eastAsia="zh-CN"/>
        </w:rPr>
      </w:pPr>
    </w:p>
    <w:p w14:paraId="4FD2F87D" w14:textId="0510D4C8" w:rsidR="009307D7" w:rsidRDefault="009307D7" w:rsidP="002A05DF">
      <w:pPr>
        <w:pStyle w:val="ae"/>
        <w:spacing w:beforeLines="50" w:before="163" w:afterLines="50" w:after="163" w:line="252" w:lineRule="auto"/>
        <w:ind w:left="3017"/>
        <w:jc w:val="both"/>
        <w:rPr>
          <w:lang w:eastAsia="zh-CN"/>
        </w:rPr>
      </w:pPr>
      <w:r>
        <w:rPr>
          <w:lang w:eastAsia="zh-CN"/>
        </w:rPr>
        <w:br w:type="page"/>
      </w:r>
    </w:p>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268818A" w14:textId="77777777" w:rsidTr="0040539B">
        <w:tc>
          <w:tcPr>
            <w:tcW w:w="5074" w:type="dxa"/>
            <w:tcBorders>
              <w:top w:val="nil"/>
              <w:left w:val="nil"/>
              <w:bottom w:val="single" w:sz="4" w:space="0" w:color="auto"/>
              <w:right w:val="nil"/>
            </w:tcBorders>
            <w:hideMark/>
          </w:tcPr>
          <w:p w14:paraId="0FAB3002" w14:textId="11FCD979" w:rsidR="0040539B" w:rsidRPr="00C72F7D" w:rsidRDefault="0040539B" w:rsidP="0040539B">
            <w:pPr>
              <w:pStyle w:val="af0"/>
              <w:ind w:leftChars="-54" w:left="-130"/>
              <w:rPr>
                <w:lang w:eastAsia="zh-CN"/>
              </w:rPr>
            </w:pPr>
            <w:bookmarkStart w:id="52" w:name="_Toc65799008"/>
            <w:r>
              <w:rPr>
                <w:rFonts w:hint="eastAsia"/>
                <w:lang w:eastAsia="zh-CN"/>
              </w:rPr>
              <w:lastRenderedPageBreak/>
              <w:t>图</w:t>
            </w:r>
            <w:r>
              <w:rPr>
                <w:lang w:eastAsia="zh-CN"/>
              </w:rPr>
              <w:t xml:space="preserve"> </w:t>
            </w:r>
            <w:r>
              <w:fldChar w:fldCharType="begin"/>
            </w:r>
            <w:r w:rsidRPr="00D739B5">
              <w:rPr>
                <w:lang w:eastAsia="zh-CN"/>
              </w:rPr>
              <w:instrText xml:space="preserve"> SEQ </w:instrText>
            </w:r>
            <w:r w:rsidRPr="00D739B5">
              <w:rPr>
                <w:lang w:eastAsia="zh-CN"/>
              </w:rPr>
              <w:instrText>图</w:instrText>
            </w:r>
            <w:r w:rsidRPr="00D739B5">
              <w:rPr>
                <w:lang w:eastAsia="zh-CN"/>
              </w:rPr>
              <w:instrText xml:space="preserve"> \* ARABIC </w:instrText>
            </w:r>
            <w:r>
              <w:fldChar w:fldCharType="separate"/>
            </w:r>
            <w:r w:rsidR="0010512F">
              <w:rPr>
                <w:noProof/>
                <w:lang w:eastAsia="zh-CN"/>
              </w:rPr>
              <w:t>13</w:t>
            </w:r>
            <w:r>
              <w:fldChar w:fldCharType="end"/>
            </w:r>
            <w:r>
              <w:rPr>
                <w:rFonts w:hint="eastAsia"/>
                <w:lang w:eastAsia="zh-CN"/>
              </w:rPr>
              <w:t>：</w:t>
            </w:r>
            <w:r w:rsidR="005038B6">
              <w:rPr>
                <w:rFonts w:hint="eastAsia"/>
                <w:lang w:eastAsia="zh-CN"/>
              </w:rPr>
              <w:t>酒类行业主题</w:t>
            </w:r>
            <w:r w:rsidRPr="0040539B">
              <w:rPr>
                <w:rFonts w:hint="eastAsia"/>
                <w:lang w:eastAsia="zh-CN"/>
              </w:rPr>
              <w:t>基金所选</w:t>
            </w:r>
            <w:r w:rsidR="005038B6">
              <w:rPr>
                <w:rFonts w:hint="eastAsia"/>
                <w:lang w:eastAsia="zh-CN"/>
              </w:rPr>
              <w:t>第一</w:t>
            </w:r>
            <w:r w:rsidRPr="0040539B">
              <w:rPr>
                <w:rFonts w:hint="eastAsia"/>
                <w:lang w:eastAsia="zh-CN"/>
              </w:rPr>
              <w:t>基准对应的基金数目</w:t>
            </w:r>
            <w:bookmarkEnd w:id="52"/>
          </w:p>
        </w:tc>
        <w:tc>
          <w:tcPr>
            <w:tcW w:w="283" w:type="dxa"/>
          </w:tcPr>
          <w:p w14:paraId="355D772C" w14:textId="77777777" w:rsidR="0040539B" w:rsidRPr="00490D55" w:rsidRDefault="0040539B" w:rsidP="0040539B">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5DB1A089" w14:textId="46BEB2AE" w:rsidR="0040539B" w:rsidRPr="00C72F7D" w:rsidRDefault="0040539B" w:rsidP="0040539B">
            <w:pPr>
              <w:pStyle w:val="af0"/>
              <w:ind w:leftChars="-41" w:left="-98"/>
              <w:rPr>
                <w:lang w:eastAsia="zh-CN"/>
              </w:rPr>
            </w:pPr>
            <w:bookmarkStart w:id="53" w:name="_Toc65799009"/>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14</w:t>
            </w:r>
            <w:r>
              <w:fldChar w:fldCharType="end"/>
            </w:r>
            <w:r>
              <w:rPr>
                <w:rFonts w:hint="eastAsia"/>
                <w:lang w:eastAsia="zh-CN"/>
              </w:rPr>
              <w:t>：</w:t>
            </w:r>
            <w:r w:rsidR="005038B6">
              <w:rPr>
                <w:rFonts w:hint="eastAsia"/>
                <w:lang w:eastAsia="zh-CN"/>
              </w:rPr>
              <w:t>酒类行业主题</w:t>
            </w:r>
            <w:r w:rsidR="005038B6" w:rsidRPr="0040539B">
              <w:rPr>
                <w:rFonts w:hint="eastAsia"/>
                <w:lang w:eastAsia="zh-CN"/>
              </w:rPr>
              <w:t>基金所选</w:t>
            </w:r>
            <w:r w:rsidR="005038B6">
              <w:rPr>
                <w:rFonts w:hint="eastAsia"/>
                <w:lang w:eastAsia="zh-CN"/>
              </w:rPr>
              <w:t>第二基准</w:t>
            </w:r>
            <w:r w:rsidRPr="0040539B">
              <w:rPr>
                <w:rFonts w:hint="eastAsia"/>
                <w:lang w:eastAsia="zh-CN"/>
              </w:rPr>
              <w:t>应的基金数目</w:t>
            </w:r>
            <w:bookmarkEnd w:id="53"/>
          </w:p>
        </w:tc>
      </w:tr>
      <w:tr w:rsidR="0040539B" w:rsidRPr="009B1FB9" w14:paraId="422063DB" w14:textId="77777777" w:rsidTr="005038B6">
        <w:trPr>
          <w:trHeight w:hRule="exact" w:val="3005"/>
        </w:trPr>
        <w:tc>
          <w:tcPr>
            <w:tcW w:w="5074" w:type="dxa"/>
            <w:tcBorders>
              <w:top w:val="single" w:sz="4" w:space="0" w:color="auto"/>
              <w:left w:val="nil"/>
              <w:bottom w:val="single" w:sz="4" w:space="0" w:color="auto"/>
              <w:right w:val="nil"/>
            </w:tcBorders>
            <w:vAlign w:val="center"/>
          </w:tcPr>
          <w:p w14:paraId="7E3E2F78" w14:textId="3B6C0FCE" w:rsidR="0040539B" w:rsidRPr="009B1FB9" w:rsidRDefault="005038B6" w:rsidP="0040539B">
            <w:pPr>
              <w:pStyle w:val="ae"/>
              <w:spacing w:after="0"/>
              <w:ind w:leftChars="0" w:left="0"/>
              <w:jc w:val="center"/>
              <w:rPr>
                <w:rFonts w:cs="Arial"/>
                <w:lang w:eastAsia="zh-CN"/>
              </w:rPr>
            </w:pPr>
            <w:r>
              <w:rPr>
                <w:noProof/>
              </w:rPr>
              <w:drawing>
                <wp:inline distT="0" distB="0" distL="0" distR="0" wp14:anchorId="3BA73890" wp14:editId="2E9813E2">
                  <wp:extent cx="3084830" cy="1851025"/>
                  <wp:effectExtent l="0" t="0" r="1270" b="0"/>
                  <wp:docPr id="4" name="图表 4">
                    <a:extLst xmlns:a="http://schemas.openxmlformats.org/drawingml/2006/main">
                      <a:ext uri="{FF2B5EF4-FFF2-40B4-BE49-F238E27FC236}">
                        <a16:creationId xmlns:a16="http://schemas.microsoft.com/office/drawing/2014/main" id="{5707B1A3-A09D-4B95-B1A8-7C6026AB4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tc>
        <w:tc>
          <w:tcPr>
            <w:tcW w:w="283" w:type="dxa"/>
          </w:tcPr>
          <w:p w14:paraId="32B01279" w14:textId="77777777" w:rsidR="0040539B" w:rsidRPr="009B1FB9" w:rsidRDefault="0040539B" w:rsidP="0040539B">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27C16A86" w14:textId="3603F2A1" w:rsidR="0040539B" w:rsidRPr="009B1FB9" w:rsidRDefault="005038B6" w:rsidP="0040539B">
            <w:pPr>
              <w:pStyle w:val="ae"/>
              <w:spacing w:after="0"/>
              <w:ind w:leftChars="0" w:left="0"/>
              <w:jc w:val="both"/>
              <w:rPr>
                <w:rFonts w:cs="Arial"/>
                <w:lang w:eastAsia="zh-CN"/>
              </w:rPr>
            </w:pPr>
            <w:r>
              <w:rPr>
                <w:noProof/>
              </w:rPr>
              <w:drawing>
                <wp:inline distT="0" distB="0" distL="0" distR="0" wp14:anchorId="507FE4A0" wp14:editId="5930C659">
                  <wp:extent cx="3084830" cy="1851025"/>
                  <wp:effectExtent l="0" t="0" r="1270" b="0"/>
                  <wp:docPr id="8" name="图表 8">
                    <a:extLst xmlns:a="http://schemas.openxmlformats.org/drawingml/2006/main">
                      <a:ext uri="{FF2B5EF4-FFF2-40B4-BE49-F238E27FC236}">
                        <a16:creationId xmlns:a16="http://schemas.microsoft.com/office/drawing/2014/main" id="{78DB3468-D6B2-4755-915C-DC794CA47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tc>
      </w:tr>
      <w:tr w:rsidR="0040539B" w:rsidRPr="00C72F7D" w14:paraId="14793C95" w14:textId="77777777" w:rsidTr="0040539B">
        <w:tc>
          <w:tcPr>
            <w:tcW w:w="5074" w:type="dxa"/>
            <w:tcBorders>
              <w:left w:val="nil"/>
              <w:bottom w:val="nil"/>
              <w:right w:val="nil"/>
            </w:tcBorders>
            <w:hideMark/>
          </w:tcPr>
          <w:p w14:paraId="20D67CB9" w14:textId="2F932983" w:rsidR="0040539B" w:rsidRPr="00C72F7D" w:rsidRDefault="0040539B" w:rsidP="0040539B">
            <w:pPr>
              <w:pStyle w:val="af0"/>
              <w:ind w:leftChars="-54" w:left="-130"/>
              <w:rPr>
                <w:lang w:eastAsia="zh-CN"/>
              </w:rPr>
            </w:pPr>
            <w:bookmarkStart w:id="54" w:name="_Toc65799010"/>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15</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4"/>
          </w:p>
        </w:tc>
        <w:tc>
          <w:tcPr>
            <w:tcW w:w="283" w:type="dxa"/>
          </w:tcPr>
          <w:p w14:paraId="5F7B857E" w14:textId="77777777" w:rsidR="0040539B" w:rsidRPr="0040539B" w:rsidRDefault="0040539B" w:rsidP="0040539B">
            <w:pPr>
              <w:pStyle w:val="af0"/>
              <w:ind w:leftChars="-54" w:left="-130"/>
              <w:rPr>
                <w:lang w:eastAsia="zh-CN"/>
              </w:rPr>
            </w:pPr>
          </w:p>
        </w:tc>
        <w:tc>
          <w:tcPr>
            <w:tcW w:w="5074" w:type="dxa"/>
            <w:tcBorders>
              <w:left w:val="nil"/>
              <w:bottom w:val="nil"/>
              <w:right w:val="nil"/>
            </w:tcBorders>
            <w:hideMark/>
          </w:tcPr>
          <w:p w14:paraId="20BD2D22" w14:textId="7288B965" w:rsidR="0040539B" w:rsidRPr="00C72F7D" w:rsidRDefault="0040539B" w:rsidP="0040539B">
            <w:pPr>
              <w:pStyle w:val="af0"/>
              <w:ind w:leftChars="-54" w:left="-130"/>
              <w:rPr>
                <w:lang w:eastAsia="zh-CN"/>
              </w:rPr>
            </w:pPr>
            <w:bookmarkStart w:id="55" w:name="_Toc65799011"/>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16</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5"/>
          </w:p>
        </w:tc>
      </w:tr>
      <w:tr w:rsidR="0040539B" w:rsidRPr="009B1FB9" w14:paraId="2EB75BC0" w14:textId="77777777" w:rsidTr="005038B6">
        <w:trPr>
          <w:trHeight w:val="3005"/>
        </w:trPr>
        <w:tc>
          <w:tcPr>
            <w:tcW w:w="5074" w:type="dxa"/>
            <w:tcBorders>
              <w:top w:val="single" w:sz="4" w:space="0" w:color="auto"/>
              <w:left w:val="nil"/>
              <w:bottom w:val="single" w:sz="4" w:space="0" w:color="auto"/>
              <w:right w:val="nil"/>
            </w:tcBorders>
            <w:hideMark/>
          </w:tcPr>
          <w:p w14:paraId="0A15E1B2" w14:textId="6075C513" w:rsidR="0040539B" w:rsidRPr="0040539B" w:rsidRDefault="005038B6" w:rsidP="0040539B">
            <w:pPr>
              <w:pStyle w:val="aff2"/>
              <w:ind w:leftChars="-54" w:left="-130"/>
            </w:pPr>
            <w:r>
              <w:rPr>
                <w:noProof/>
              </w:rPr>
              <w:drawing>
                <wp:inline distT="0" distB="0" distL="0" distR="0" wp14:anchorId="21165B45" wp14:editId="5DEE167C">
                  <wp:extent cx="3084830" cy="1851025"/>
                  <wp:effectExtent l="0" t="0" r="1270" b="0"/>
                  <wp:docPr id="14" name="图表 14">
                    <a:extLst xmlns:a="http://schemas.openxmlformats.org/drawingml/2006/main">
                      <a:ext uri="{FF2B5EF4-FFF2-40B4-BE49-F238E27FC236}">
                        <a16:creationId xmlns:a16="http://schemas.microsoft.com/office/drawing/2014/main" id="{1C7BEFC8-5858-4A28-9E5E-0AAD5EFA7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inline>
              </w:drawing>
            </w:r>
          </w:p>
        </w:tc>
        <w:tc>
          <w:tcPr>
            <w:tcW w:w="283" w:type="dxa"/>
            <w:tcBorders>
              <w:bottom w:val="single" w:sz="4" w:space="0" w:color="auto"/>
            </w:tcBorders>
          </w:tcPr>
          <w:p w14:paraId="04801AAC"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418BE405" w14:textId="714EFF82" w:rsidR="0040539B" w:rsidRPr="0040539B" w:rsidRDefault="005038B6" w:rsidP="0040539B">
            <w:pPr>
              <w:pStyle w:val="aff2"/>
              <w:ind w:leftChars="-41" w:left="-98"/>
            </w:pPr>
            <w:r>
              <w:rPr>
                <w:noProof/>
              </w:rPr>
              <w:drawing>
                <wp:inline distT="0" distB="0" distL="0" distR="0" wp14:anchorId="7EAD1D60" wp14:editId="16785663">
                  <wp:extent cx="3084830" cy="1851025"/>
                  <wp:effectExtent l="0" t="0" r="1270" b="0"/>
                  <wp:docPr id="19" name="图表 19">
                    <a:extLst xmlns:a="http://schemas.openxmlformats.org/drawingml/2006/main">
                      <a:ext uri="{FF2B5EF4-FFF2-40B4-BE49-F238E27FC236}">
                        <a16:creationId xmlns:a16="http://schemas.microsoft.com/office/drawing/2014/main" id="{E5205157-5ACC-4EB5-B688-813DC84B4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tc>
      </w:tr>
      <w:tr w:rsidR="0040539B" w:rsidRPr="00C72F7D" w14:paraId="7AF64CF1" w14:textId="77777777" w:rsidTr="005038B6">
        <w:tc>
          <w:tcPr>
            <w:tcW w:w="5074" w:type="dxa"/>
            <w:tcBorders>
              <w:left w:val="nil"/>
              <w:bottom w:val="single" w:sz="4" w:space="0" w:color="auto"/>
              <w:right w:val="nil"/>
            </w:tcBorders>
            <w:hideMark/>
          </w:tcPr>
          <w:p w14:paraId="40C12943" w14:textId="3AA3894E" w:rsidR="0040539B" w:rsidRPr="00C72F7D" w:rsidRDefault="0040539B" w:rsidP="0040539B">
            <w:pPr>
              <w:pStyle w:val="af0"/>
              <w:ind w:leftChars="-54" w:left="-130"/>
              <w:rPr>
                <w:lang w:eastAsia="zh-CN"/>
              </w:rPr>
            </w:pPr>
            <w:bookmarkStart w:id="56" w:name="_Toc65799012"/>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17</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6"/>
          </w:p>
        </w:tc>
        <w:tc>
          <w:tcPr>
            <w:tcW w:w="283" w:type="dxa"/>
            <w:tcBorders>
              <w:bottom w:val="single" w:sz="4" w:space="0" w:color="auto"/>
            </w:tcBorders>
          </w:tcPr>
          <w:p w14:paraId="4D58C728"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61DD1EDF" w14:textId="38DC36B5" w:rsidR="0040539B" w:rsidRPr="00C72F7D" w:rsidRDefault="0040539B" w:rsidP="0040539B">
            <w:pPr>
              <w:pStyle w:val="af0"/>
              <w:ind w:leftChars="-54" w:left="-130"/>
              <w:rPr>
                <w:lang w:eastAsia="zh-CN"/>
              </w:rPr>
            </w:pPr>
            <w:bookmarkStart w:id="57" w:name="_Toc65799013"/>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18</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7"/>
          </w:p>
        </w:tc>
      </w:tr>
      <w:tr w:rsidR="0040539B" w:rsidRPr="009B1FB9" w14:paraId="7CF03374" w14:textId="77777777" w:rsidTr="005038B6">
        <w:tc>
          <w:tcPr>
            <w:tcW w:w="5074" w:type="dxa"/>
            <w:tcBorders>
              <w:top w:val="single" w:sz="4" w:space="0" w:color="auto"/>
              <w:left w:val="nil"/>
              <w:bottom w:val="single" w:sz="4" w:space="0" w:color="auto"/>
              <w:right w:val="nil"/>
            </w:tcBorders>
            <w:hideMark/>
          </w:tcPr>
          <w:p w14:paraId="55F2A406" w14:textId="51594652" w:rsidR="0040539B" w:rsidRPr="0040539B" w:rsidRDefault="005038B6" w:rsidP="0040539B">
            <w:pPr>
              <w:pStyle w:val="aff2"/>
              <w:ind w:leftChars="-54" w:left="-130"/>
            </w:pPr>
            <w:r>
              <w:rPr>
                <w:noProof/>
              </w:rPr>
              <w:drawing>
                <wp:inline distT="0" distB="0" distL="0" distR="0" wp14:anchorId="68EBA7F4" wp14:editId="2E1EA1E1">
                  <wp:extent cx="3084830" cy="1851025"/>
                  <wp:effectExtent l="0" t="0" r="1270" b="0"/>
                  <wp:docPr id="24" name="图表 24">
                    <a:extLst xmlns:a="http://schemas.openxmlformats.org/drawingml/2006/main">
                      <a:ext uri="{FF2B5EF4-FFF2-40B4-BE49-F238E27FC236}">
                        <a16:creationId xmlns:a16="http://schemas.microsoft.com/office/drawing/2014/main" id="{0DA148C5-A604-46E6-A5A3-84DEB3824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tc>
        <w:tc>
          <w:tcPr>
            <w:tcW w:w="283" w:type="dxa"/>
            <w:tcBorders>
              <w:top w:val="single" w:sz="4" w:space="0" w:color="auto"/>
              <w:bottom w:val="single" w:sz="4" w:space="0" w:color="auto"/>
            </w:tcBorders>
          </w:tcPr>
          <w:p w14:paraId="588B585D"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74C9CDFC" w14:textId="4960FB61" w:rsidR="0040539B" w:rsidRPr="0040539B" w:rsidRDefault="005038B6" w:rsidP="0040539B">
            <w:pPr>
              <w:pStyle w:val="aff2"/>
              <w:ind w:leftChars="-41" w:left="-98"/>
            </w:pPr>
            <w:r>
              <w:rPr>
                <w:noProof/>
              </w:rPr>
              <w:drawing>
                <wp:inline distT="0" distB="0" distL="0" distR="0" wp14:anchorId="2898966D" wp14:editId="0DCC7771">
                  <wp:extent cx="3084830" cy="1851025"/>
                  <wp:effectExtent l="0" t="0" r="1270" b="0"/>
                  <wp:docPr id="66" name="图表 66">
                    <a:extLst xmlns:a="http://schemas.openxmlformats.org/drawingml/2006/main">
                      <a:ext uri="{FF2B5EF4-FFF2-40B4-BE49-F238E27FC236}">
                        <a16:creationId xmlns:a16="http://schemas.microsoft.com/office/drawing/2014/main" id="{66012790-197C-4039-950A-904F324C8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tc>
      </w:tr>
    </w:tbl>
    <w:p w14:paraId="44163913" w14:textId="5FC84661" w:rsidR="005F15F9" w:rsidRDefault="005F15F9">
      <w:r>
        <w:br w:type="page"/>
      </w:r>
    </w:p>
    <w:p w14:paraId="2140ED41"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70ECEAA" w14:textId="77777777" w:rsidTr="0040539B">
        <w:tc>
          <w:tcPr>
            <w:tcW w:w="5074" w:type="dxa"/>
            <w:tcBorders>
              <w:left w:val="nil"/>
              <w:bottom w:val="single" w:sz="4" w:space="0" w:color="auto"/>
              <w:right w:val="nil"/>
            </w:tcBorders>
            <w:hideMark/>
          </w:tcPr>
          <w:p w14:paraId="2FB34DF5" w14:textId="55692C5E" w:rsidR="0040539B" w:rsidRPr="00C72F7D" w:rsidRDefault="0040539B" w:rsidP="0040539B">
            <w:pPr>
              <w:pStyle w:val="af0"/>
              <w:ind w:leftChars="-54" w:left="-130"/>
              <w:rPr>
                <w:lang w:eastAsia="zh-CN"/>
              </w:rPr>
            </w:pPr>
            <w:bookmarkStart w:id="58" w:name="_Toc65799014"/>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10512F">
              <w:rPr>
                <w:noProof/>
                <w:lang w:eastAsia="zh-CN"/>
              </w:rPr>
              <w:t>19</w:t>
            </w:r>
            <w:r>
              <w:rPr>
                <w:lang w:eastAsia="zh-CN"/>
              </w:rPr>
              <w:fldChar w:fldCharType="end"/>
            </w:r>
            <w:r>
              <w:rPr>
                <w:rFonts w:hint="eastAsia"/>
                <w:lang w:eastAsia="zh-CN"/>
              </w:rPr>
              <w:t>：</w:t>
            </w:r>
            <w:r w:rsidR="005038B6">
              <w:rPr>
                <w:rFonts w:hint="eastAsia"/>
                <w:lang w:eastAsia="zh-CN"/>
              </w:rPr>
              <w:t>半导体行业主题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8"/>
          </w:p>
        </w:tc>
        <w:tc>
          <w:tcPr>
            <w:tcW w:w="283" w:type="dxa"/>
            <w:tcBorders>
              <w:bottom w:val="single" w:sz="4" w:space="0" w:color="auto"/>
            </w:tcBorders>
          </w:tcPr>
          <w:p w14:paraId="0CC275D7"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1B2F77AC" w14:textId="444660D5" w:rsidR="0040539B" w:rsidRPr="00C72F7D" w:rsidRDefault="0040539B" w:rsidP="0040539B">
            <w:pPr>
              <w:pStyle w:val="af0"/>
              <w:ind w:leftChars="-54" w:left="-130"/>
              <w:rPr>
                <w:lang w:eastAsia="zh-CN"/>
              </w:rPr>
            </w:pPr>
            <w:bookmarkStart w:id="59" w:name="_Toc65799015"/>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20</w:t>
            </w:r>
            <w:r>
              <w:rPr>
                <w:lang w:eastAsia="zh-CN"/>
              </w:rPr>
              <w:fldChar w:fldCharType="end"/>
            </w:r>
            <w:r>
              <w:rPr>
                <w:rFonts w:hint="eastAsia"/>
                <w:lang w:eastAsia="zh-CN"/>
              </w:rPr>
              <w:t>：</w:t>
            </w:r>
            <w:r w:rsidR="005F15F9">
              <w:rPr>
                <w:rFonts w:hint="eastAsia"/>
                <w:lang w:eastAsia="zh-CN"/>
              </w:rPr>
              <w:t>半导体行业主题</w:t>
            </w:r>
            <w:r w:rsidR="005F15F9" w:rsidRPr="0040539B">
              <w:rPr>
                <w:rFonts w:hint="eastAsia"/>
                <w:lang w:eastAsia="zh-CN"/>
              </w:rPr>
              <w:t>基金所选</w:t>
            </w:r>
            <w:r w:rsidR="005F15F9">
              <w:rPr>
                <w:rFonts w:hint="eastAsia"/>
                <w:lang w:eastAsia="zh-CN"/>
              </w:rPr>
              <w:t>第二</w:t>
            </w:r>
            <w:r w:rsidR="005F15F9" w:rsidRPr="0040539B">
              <w:rPr>
                <w:rFonts w:hint="eastAsia"/>
                <w:lang w:eastAsia="zh-CN"/>
              </w:rPr>
              <w:t>基准对应的基金数目</w:t>
            </w:r>
            <w:bookmarkEnd w:id="59"/>
          </w:p>
        </w:tc>
      </w:tr>
      <w:tr w:rsidR="0040539B" w:rsidRPr="009B1FB9" w14:paraId="59659519" w14:textId="77777777" w:rsidTr="005F15F9">
        <w:tc>
          <w:tcPr>
            <w:tcW w:w="5074" w:type="dxa"/>
            <w:tcBorders>
              <w:top w:val="single" w:sz="4" w:space="0" w:color="auto"/>
              <w:left w:val="nil"/>
              <w:bottom w:val="nil"/>
              <w:right w:val="nil"/>
            </w:tcBorders>
            <w:hideMark/>
          </w:tcPr>
          <w:p w14:paraId="5E1B06AE" w14:textId="363B6840" w:rsidR="0040539B" w:rsidRPr="0040539B" w:rsidRDefault="005038B6" w:rsidP="0040539B">
            <w:pPr>
              <w:pStyle w:val="aff2"/>
              <w:ind w:leftChars="-54" w:left="-130"/>
            </w:pPr>
            <w:r>
              <w:rPr>
                <w:noProof/>
              </w:rPr>
              <w:drawing>
                <wp:inline distT="0" distB="0" distL="0" distR="0" wp14:anchorId="201B22B0" wp14:editId="07C50FC5">
                  <wp:extent cx="3084830" cy="1851025"/>
                  <wp:effectExtent l="0" t="0" r="1270" b="0"/>
                  <wp:docPr id="83" name="图表 83">
                    <a:extLst xmlns:a="http://schemas.openxmlformats.org/drawingml/2006/main">
                      <a:ext uri="{FF2B5EF4-FFF2-40B4-BE49-F238E27FC236}">
                        <a16:creationId xmlns:a16="http://schemas.microsoft.com/office/drawing/2014/main" id="{D95D4FF6-6011-434C-9FA6-B47EBEF6C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tc>
        <w:tc>
          <w:tcPr>
            <w:tcW w:w="283" w:type="dxa"/>
            <w:tcBorders>
              <w:top w:val="single" w:sz="4" w:space="0" w:color="auto"/>
            </w:tcBorders>
          </w:tcPr>
          <w:p w14:paraId="4DDC2085"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0D869F5" w14:textId="63A8FBC5" w:rsidR="0040539B" w:rsidRPr="0040539B" w:rsidRDefault="005F15F9" w:rsidP="0040539B">
            <w:pPr>
              <w:pStyle w:val="aff2"/>
              <w:ind w:leftChars="-41" w:left="-98"/>
            </w:pPr>
            <w:r>
              <w:rPr>
                <w:noProof/>
              </w:rPr>
              <w:drawing>
                <wp:inline distT="0" distB="0" distL="0" distR="0" wp14:anchorId="64CFADCC" wp14:editId="1B7A50C5">
                  <wp:extent cx="3084830" cy="1851025"/>
                  <wp:effectExtent l="0" t="0" r="1270" b="0"/>
                  <wp:docPr id="86" name="图表 86">
                    <a:extLst xmlns:a="http://schemas.openxmlformats.org/drawingml/2006/main">
                      <a:ext uri="{FF2B5EF4-FFF2-40B4-BE49-F238E27FC236}">
                        <a16:creationId xmlns:a16="http://schemas.microsoft.com/office/drawing/2014/main" id="{EBC01055-FF64-48B1-8598-17B09D96B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tc>
      </w:tr>
      <w:tr w:rsidR="0040539B" w:rsidRPr="00C66411" w14:paraId="1EF807CB" w14:textId="77777777" w:rsidTr="0040539B">
        <w:tc>
          <w:tcPr>
            <w:tcW w:w="5074" w:type="dxa"/>
            <w:tcBorders>
              <w:top w:val="single" w:sz="4" w:space="0" w:color="auto"/>
              <w:left w:val="nil"/>
              <w:bottom w:val="nil"/>
              <w:right w:val="nil"/>
            </w:tcBorders>
            <w:hideMark/>
          </w:tcPr>
          <w:p w14:paraId="2915C9A8" w14:textId="77777777" w:rsidR="0040539B" w:rsidRPr="00C66411" w:rsidRDefault="0040539B" w:rsidP="0040539B">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43E6093F" w14:textId="77777777" w:rsidR="0040539B" w:rsidRPr="00490D55"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6AFDA035" w14:textId="77777777" w:rsidR="0040539B" w:rsidRPr="00C66411" w:rsidRDefault="0040539B" w:rsidP="0040539B">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656C7E6E" w14:textId="77777777" w:rsidR="0040539B" w:rsidRPr="0040539B" w:rsidRDefault="0040539B"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64B406AC" w14:textId="77777777" w:rsidTr="00D01B9E">
        <w:tc>
          <w:tcPr>
            <w:tcW w:w="5074" w:type="dxa"/>
            <w:tcBorders>
              <w:left w:val="nil"/>
              <w:bottom w:val="single" w:sz="4" w:space="0" w:color="auto"/>
              <w:right w:val="nil"/>
            </w:tcBorders>
            <w:hideMark/>
          </w:tcPr>
          <w:p w14:paraId="406FE311" w14:textId="09ED4455" w:rsidR="005F15F9" w:rsidRPr="00C72F7D" w:rsidRDefault="005F15F9" w:rsidP="00D01B9E">
            <w:pPr>
              <w:pStyle w:val="af0"/>
              <w:ind w:leftChars="-54" w:left="-130"/>
              <w:rPr>
                <w:lang w:eastAsia="zh-CN"/>
              </w:rPr>
            </w:pPr>
            <w:bookmarkStart w:id="60" w:name="_Toc65799016"/>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21</w:t>
            </w:r>
            <w:r>
              <w:rPr>
                <w:lang w:eastAsia="zh-CN"/>
              </w:rPr>
              <w:fldChar w:fldCharType="end"/>
            </w:r>
            <w:r>
              <w:rPr>
                <w:rFonts w:hint="eastAsia"/>
                <w:lang w:eastAsia="zh-CN"/>
              </w:rPr>
              <w:t>：生物科技行业主题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60"/>
          </w:p>
        </w:tc>
        <w:tc>
          <w:tcPr>
            <w:tcW w:w="283" w:type="dxa"/>
            <w:tcBorders>
              <w:bottom w:val="single" w:sz="4" w:space="0" w:color="auto"/>
            </w:tcBorders>
          </w:tcPr>
          <w:p w14:paraId="1F66E15D"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48E06CA0" w14:textId="216EBF8A" w:rsidR="005F15F9" w:rsidRPr="00C72F7D" w:rsidRDefault="005F15F9" w:rsidP="00D01B9E">
            <w:pPr>
              <w:pStyle w:val="af0"/>
              <w:ind w:leftChars="-54" w:left="-130"/>
              <w:rPr>
                <w:lang w:eastAsia="zh-CN"/>
              </w:rPr>
            </w:pPr>
            <w:bookmarkStart w:id="61" w:name="_Toc65799017"/>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22</w:t>
            </w:r>
            <w:r>
              <w:rPr>
                <w:lang w:eastAsia="zh-CN"/>
              </w:rPr>
              <w:fldChar w:fldCharType="end"/>
            </w:r>
            <w:r>
              <w:rPr>
                <w:rFonts w:hint="eastAsia"/>
                <w:lang w:eastAsia="zh-CN"/>
              </w:rPr>
              <w:t>：电工电网行业主题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61"/>
          </w:p>
        </w:tc>
      </w:tr>
      <w:tr w:rsidR="005F15F9" w:rsidRPr="009B1FB9" w14:paraId="36396698" w14:textId="77777777" w:rsidTr="005F15F9">
        <w:tc>
          <w:tcPr>
            <w:tcW w:w="5074" w:type="dxa"/>
            <w:tcBorders>
              <w:top w:val="single" w:sz="4" w:space="0" w:color="auto"/>
              <w:left w:val="nil"/>
              <w:bottom w:val="single" w:sz="4" w:space="0" w:color="auto"/>
              <w:right w:val="nil"/>
            </w:tcBorders>
            <w:hideMark/>
          </w:tcPr>
          <w:p w14:paraId="6970D870" w14:textId="58CEE865" w:rsidR="005F15F9" w:rsidRPr="0040539B" w:rsidRDefault="005F15F9" w:rsidP="00D01B9E">
            <w:pPr>
              <w:pStyle w:val="aff2"/>
              <w:ind w:leftChars="-54" w:left="-130"/>
            </w:pPr>
            <w:r>
              <w:rPr>
                <w:noProof/>
              </w:rPr>
              <w:drawing>
                <wp:inline distT="0" distB="0" distL="0" distR="0" wp14:anchorId="14B64116" wp14:editId="78C4F1B6">
                  <wp:extent cx="3084830" cy="1851025"/>
                  <wp:effectExtent l="0" t="0" r="1270" b="0"/>
                  <wp:docPr id="100" name="图表 100">
                    <a:extLst xmlns:a="http://schemas.openxmlformats.org/drawingml/2006/main">
                      <a:ext uri="{FF2B5EF4-FFF2-40B4-BE49-F238E27FC236}">
                        <a16:creationId xmlns:a16="http://schemas.microsoft.com/office/drawing/2014/main" id="{84388D9C-75FE-4B7B-AA43-4EF520B6C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tc>
        <w:tc>
          <w:tcPr>
            <w:tcW w:w="283" w:type="dxa"/>
            <w:tcBorders>
              <w:top w:val="single" w:sz="4" w:space="0" w:color="auto"/>
              <w:bottom w:val="single" w:sz="4" w:space="0" w:color="auto"/>
            </w:tcBorders>
          </w:tcPr>
          <w:p w14:paraId="292C265E"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1DC8AA49" w14:textId="13991E5E" w:rsidR="005F15F9" w:rsidRPr="0040539B" w:rsidRDefault="005F15F9" w:rsidP="00D01B9E">
            <w:pPr>
              <w:pStyle w:val="aff2"/>
              <w:ind w:leftChars="-41" w:left="-98"/>
            </w:pPr>
            <w:r>
              <w:rPr>
                <w:noProof/>
              </w:rPr>
              <w:drawing>
                <wp:inline distT="0" distB="0" distL="0" distR="0" wp14:anchorId="742EBB63" wp14:editId="32F1621A">
                  <wp:extent cx="3084830" cy="1851025"/>
                  <wp:effectExtent l="0" t="0" r="1270" b="0"/>
                  <wp:docPr id="101" name="图表 101">
                    <a:extLst xmlns:a="http://schemas.openxmlformats.org/drawingml/2006/main">
                      <a:ext uri="{FF2B5EF4-FFF2-40B4-BE49-F238E27FC236}">
                        <a16:creationId xmlns:a16="http://schemas.microsoft.com/office/drawing/2014/main" id="{65BD5548-B945-4432-8A06-7286A017D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tc>
      </w:tr>
    </w:tbl>
    <w:p w14:paraId="5321B846" w14:textId="77777777" w:rsidR="005F15F9" w:rsidRDefault="005F15F9" w:rsidP="005F15F9"/>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0CEABD55" w14:textId="77777777" w:rsidTr="00D01B9E">
        <w:tc>
          <w:tcPr>
            <w:tcW w:w="5074" w:type="dxa"/>
            <w:tcBorders>
              <w:left w:val="nil"/>
              <w:bottom w:val="single" w:sz="4" w:space="0" w:color="auto"/>
              <w:right w:val="nil"/>
            </w:tcBorders>
            <w:hideMark/>
          </w:tcPr>
          <w:p w14:paraId="4FA73437" w14:textId="6CA0A271" w:rsidR="005F15F9" w:rsidRPr="00C72F7D" w:rsidRDefault="005F15F9" w:rsidP="00D01B9E">
            <w:pPr>
              <w:pStyle w:val="af0"/>
              <w:ind w:leftChars="-54" w:left="-130"/>
              <w:rPr>
                <w:lang w:eastAsia="zh-CN"/>
              </w:rPr>
            </w:pPr>
            <w:bookmarkStart w:id="62" w:name="_Toc65799018"/>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10512F">
              <w:rPr>
                <w:noProof/>
                <w:lang w:eastAsia="zh-CN"/>
              </w:rPr>
              <w:t>23</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62"/>
          </w:p>
        </w:tc>
        <w:tc>
          <w:tcPr>
            <w:tcW w:w="283" w:type="dxa"/>
            <w:tcBorders>
              <w:bottom w:val="single" w:sz="4" w:space="0" w:color="auto"/>
            </w:tcBorders>
          </w:tcPr>
          <w:p w14:paraId="5C8AF334"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59A0E7D5" w14:textId="1B179910" w:rsidR="005F15F9" w:rsidRPr="00C72F7D" w:rsidRDefault="005F15F9" w:rsidP="00D01B9E">
            <w:pPr>
              <w:pStyle w:val="af0"/>
              <w:ind w:leftChars="-54" w:left="-130"/>
              <w:rPr>
                <w:lang w:eastAsia="zh-CN"/>
              </w:rPr>
            </w:pPr>
            <w:bookmarkStart w:id="63" w:name="_Toc65799019"/>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24</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63"/>
          </w:p>
        </w:tc>
      </w:tr>
      <w:tr w:rsidR="005F15F9" w:rsidRPr="009B1FB9" w14:paraId="03C7EDFF" w14:textId="77777777" w:rsidTr="005F15F9">
        <w:tc>
          <w:tcPr>
            <w:tcW w:w="5074" w:type="dxa"/>
            <w:tcBorders>
              <w:top w:val="single" w:sz="4" w:space="0" w:color="auto"/>
              <w:left w:val="nil"/>
              <w:bottom w:val="nil"/>
              <w:right w:val="nil"/>
            </w:tcBorders>
            <w:hideMark/>
          </w:tcPr>
          <w:p w14:paraId="246E2F63" w14:textId="52A4211E" w:rsidR="005F15F9" w:rsidRPr="0040539B" w:rsidRDefault="005F15F9" w:rsidP="00D01B9E">
            <w:pPr>
              <w:pStyle w:val="aff2"/>
              <w:ind w:leftChars="-54" w:left="-130"/>
            </w:pPr>
            <w:r>
              <w:rPr>
                <w:noProof/>
              </w:rPr>
              <w:drawing>
                <wp:inline distT="0" distB="0" distL="0" distR="0" wp14:anchorId="7D976AB7" wp14:editId="59A26725">
                  <wp:extent cx="3084830" cy="1851025"/>
                  <wp:effectExtent l="0" t="0" r="1270" b="0"/>
                  <wp:docPr id="102" name="图表 102">
                    <a:extLst xmlns:a="http://schemas.openxmlformats.org/drawingml/2006/main">
                      <a:ext uri="{FF2B5EF4-FFF2-40B4-BE49-F238E27FC236}">
                        <a16:creationId xmlns:a16="http://schemas.microsoft.com/office/drawing/2014/main" id="{FC86EA96-C03F-4A33-BB8D-BD0418A9F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tc>
        <w:tc>
          <w:tcPr>
            <w:tcW w:w="283" w:type="dxa"/>
            <w:tcBorders>
              <w:top w:val="single" w:sz="4" w:space="0" w:color="auto"/>
            </w:tcBorders>
          </w:tcPr>
          <w:p w14:paraId="321CA3B6"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0FC1402E" w14:textId="58BFD81C" w:rsidR="005F15F9" w:rsidRPr="0040539B" w:rsidRDefault="005F15F9" w:rsidP="00D01B9E">
            <w:pPr>
              <w:pStyle w:val="aff2"/>
              <w:ind w:leftChars="-41" w:left="-98"/>
            </w:pPr>
            <w:r>
              <w:rPr>
                <w:noProof/>
              </w:rPr>
              <w:drawing>
                <wp:inline distT="0" distB="0" distL="0" distR="0" wp14:anchorId="52D29F22" wp14:editId="2A0AE616">
                  <wp:extent cx="3084830" cy="1851025"/>
                  <wp:effectExtent l="0" t="0" r="1270" b="0"/>
                  <wp:docPr id="103" name="图表 103">
                    <a:extLst xmlns:a="http://schemas.openxmlformats.org/drawingml/2006/main">
                      <a:ext uri="{FF2B5EF4-FFF2-40B4-BE49-F238E27FC236}">
                        <a16:creationId xmlns:a16="http://schemas.microsoft.com/office/drawing/2014/main" id="{172B9DDE-E57A-4656-B7AB-E37031066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tc>
      </w:tr>
      <w:tr w:rsidR="005F15F9" w:rsidRPr="00C66411" w14:paraId="454BEE57" w14:textId="77777777" w:rsidTr="00D01B9E">
        <w:tc>
          <w:tcPr>
            <w:tcW w:w="5074" w:type="dxa"/>
            <w:tcBorders>
              <w:top w:val="single" w:sz="4" w:space="0" w:color="auto"/>
              <w:left w:val="nil"/>
              <w:bottom w:val="nil"/>
              <w:right w:val="nil"/>
            </w:tcBorders>
            <w:hideMark/>
          </w:tcPr>
          <w:p w14:paraId="2801F57A" w14:textId="77777777" w:rsidR="005F15F9" w:rsidRPr="00C66411" w:rsidRDefault="005F15F9"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6E3318BE" w14:textId="77777777" w:rsidR="005F15F9" w:rsidRPr="00490D55"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39491F8B" w14:textId="77777777" w:rsidR="005F15F9" w:rsidRPr="00C66411" w:rsidRDefault="005F15F9"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2CAA2B23" w14:textId="08498C29" w:rsidR="00694637" w:rsidRPr="005F15F9"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0892BA4B" w14:textId="79D0D153" w:rsidR="0013476E" w:rsidRDefault="0013476E"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5AFB471A" w14:textId="74E3844A" w:rsidR="00390048" w:rsidRDefault="00390048"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5756EE89" w14:textId="77777777" w:rsidR="00390048" w:rsidRDefault="00390048"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949" w:type="dxa"/>
        <w:tblInd w:w="108" w:type="dxa"/>
        <w:tblLayout w:type="fixed"/>
        <w:tblLook w:val="04A0" w:firstRow="1" w:lastRow="0" w:firstColumn="1" w:lastColumn="0" w:noHBand="0" w:noVBand="1"/>
      </w:tblPr>
      <w:tblGrid>
        <w:gridCol w:w="142"/>
        <w:gridCol w:w="2693"/>
        <w:gridCol w:w="1135"/>
        <w:gridCol w:w="1476"/>
        <w:gridCol w:w="2918"/>
        <w:gridCol w:w="1109"/>
        <w:gridCol w:w="1026"/>
        <w:gridCol w:w="450"/>
      </w:tblGrid>
      <w:tr w:rsidR="00694637" w:rsidRPr="00941673" w14:paraId="17A909C2" w14:textId="77777777" w:rsidTr="00F92342">
        <w:trPr>
          <w:gridBefore w:val="1"/>
          <w:gridAfter w:val="1"/>
          <w:wBefore w:w="142" w:type="dxa"/>
          <w:wAfter w:w="450" w:type="dxa"/>
          <w:trHeight w:val="227"/>
        </w:trPr>
        <w:tc>
          <w:tcPr>
            <w:tcW w:w="10357" w:type="dxa"/>
            <w:gridSpan w:val="6"/>
            <w:tcBorders>
              <w:top w:val="nil"/>
              <w:left w:val="nil"/>
              <w:bottom w:val="single" w:sz="4" w:space="0" w:color="auto"/>
              <w:right w:val="nil"/>
            </w:tcBorders>
            <w:shd w:val="clear" w:color="auto" w:fill="auto"/>
            <w:hideMark/>
          </w:tcPr>
          <w:p w14:paraId="01DD08D8" w14:textId="23F9E0C3" w:rsidR="00694637" w:rsidRPr="00941673" w:rsidRDefault="00694637" w:rsidP="0040539B">
            <w:pPr>
              <w:pStyle w:val="af"/>
              <w:rPr>
                <w:lang w:eastAsia="zh-CN"/>
              </w:rPr>
            </w:pPr>
            <w:bookmarkStart w:id="64" w:name="_Toc508371579"/>
            <w:bookmarkStart w:id="65" w:name="_Toc514402530"/>
            <w:bookmarkStart w:id="66" w:name="_Toc516512871"/>
            <w:bookmarkStart w:id="67" w:name="_Toc518314367"/>
            <w:bookmarkStart w:id="68" w:name="_Toc528757879"/>
            <w:bookmarkStart w:id="69" w:name="_Toc528778819"/>
            <w:bookmarkStart w:id="70" w:name="_Toc34809104"/>
            <w:bookmarkStart w:id="71" w:name="_Toc65799025"/>
            <w:r w:rsidRPr="00941673">
              <w:rPr>
                <w:rFonts w:hint="eastAsia"/>
                <w:lang w:eastAsia="zh-CN"/>
              </w:rPr>
              <w:lastRenderedPageBreak/>
              <w:t>表</w:t>
            </w:r>
            <w:r w:rsidRPr="00941673">
              <w:rPr>
                <w:rFonts w:hint="eastAsia"/>
                <w:lang w:eastAsia="zh-CN"/>
              </w:rPr>
              <w:t xml:space="preserve"> </w:t>
            </w:r>
            <w:r w:rsidRPr="00941673">
              <w:fldChar w:fldCharType="begin"/>
            </w:r>
            <w:r w:rsidRPr="00EF2613">
              <w:rPr>
                <w:lang w:eastAsia="zh-CN"/>
              </w:rPr>
              <w:instrText xml:space="preserve"> </w:instrText>
            </w:r>
            <w:r w:rsidRPr="00EF2613">
              <w:rPr>
                <w:rFonts w:hint="eastAsia"/>
                <w:lang w:eastAsia="zh-CN"/>
              </w:rPr>
              <w:instrText xml:space="preserve">SEQ </w:instrText>
            </w:r>
            <w:r w:rsidRPr="00EF2613">
              <w:rPr>
                <w:rFonts w:hint="eastAsia"/>
                <w:lang w:eastAsia="zh-CN"/>
              </w:rPr>
              <w:instrText>表</w:instrText>
            </w:r>
            <w:r w:rsidRPr="00EF2613">
              <w:rPr>
                <w:rFonts w:hint="eastAsia"/>
                <w:lang w:eastAsia="zh-CN"/>
              </w:rPr>
              <w:instrText xml:space="preserve"> \* ARABIC</w:instrText>
            </w:r>
            <w:r w:rsidRPr="00EF2613">
              <w:rPr>
                <w:lang w:eastAsia="zh-CN"/>
              </w:rPr>
              <w:instrText xml:space="preserve"> </w:instrText>
            </w:r>
            <w:r w:rsidRPr="00941673">
              <w:fldChar w:fldCharType="separate"/>
            </w:r>
            <w:r w:rsidR="0010512F">
              <w:rPr>
                <w:noProof/>
                <w:lang w:eastAsia="zh-CN"/>
              </w:rPr>
              <w:t>6</w:t>
            </w:r>
            <w:r w:rsidRPr="00941673">
              <w:fldChar w:fldCharType="end"/>
            </w:r>
            <w:r w:rsidRPr="00941673">
              <w:rPr>
                <w:rFonts w:hint="eastAsia"/>
                <w:lang w:eastAsia="zh-CN"/>
              </w:rPr>
              <w:t>：</w:t>
            </w:r>
            <w:bookmarkEnd w:id="64"/>
            <w:bookmarkEnd w:id="65"/>
            <w:bookmarkEnd w:id="66"/>
            <w:bookmarkEnd w:id="67"/>
            <w:bookmarkEnd w:id="68"/>
            <w:bookmarkEnd w:id="69"/>
            <w:bookmarkEnd w:id="70"/>
            <w:r>
              <w:rPr>
                <w:rFonts w:hint="eastAsia"/>
                <w:lang w:eastAsia="zh-CN"/>
              </w:rPr>
              <w:t>行业主题基金业绩评价基准选择情况统计</w:t>
            </w:r>
            <w:bookmarkEnd w:id="71"/>
          </w:p>
        </w:tc>
      </w:tr>
      <w:tr w:rsidR="00F92342" w14:paraId="69097E55"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743FE000" w14:textId="77777777" w:rsidR="00F92342" w:rsidRDefault="00F92342">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rPr>
              <w:t>酒类行业股指基准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8158A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A3229C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2179727D"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酒类行业债指基准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4B29EBE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24C6D4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5569E44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C406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D3764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240</w:t>
            </w:r>
          </w:p>
        </w:tc>
        <w:tc>
          <w:tcPr>
            <w:tcW w:w="1476" w:type="dxa"/>
            <w:tcBorders>
              <w:top w:val="single" w:sz="4" w:space="0" w:color="auto"/>
              <w:left w:val="nil"/>
              <w:bottom w:val="nil"/>
              <w:right w:val="nil"/>
            </w:tcBorders>
            <w:shd w:val="clear" w:color="auto" w:fill="auto"/>
            <w:noWrap/>
            <w:vAlign w:val="center"/>
            <w:hideMark/>
          </w:tcPr>
          <w:p w14:paraId="1120D56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62.93%</w:t>
            </w:r>
          </w:p>
        </w:tc>
        <w:tc>
          <w:tcPr>
            <w:tcW w:w="2918" w:type="dxa"/>
            <w:tcBorders>
              <w:top w:val="single" w:sz="4" w:space="0" w:color="auto"/>
              <w:left w:val="nil"/>
              <w:bottom w:val="nil"/>
              <w:right w:val="nil"/>
            </w:tcBorders>
            <w:shd w:val="clear" w:color="auto" w:fill="auto"/>
            <w:noWrap/>
            <w:vAlign w:val="center"/>
            <w:hideMark/>
          </w:tcPr>
          <w:p w14:paraId="33A74DA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345A97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w:t>
            </w:r>
          </w:p>
        </w:tc>
        <w:tc>
          <w:tcPr>
            <w:tcW w:w="1476" w:type="dxa"/>
            <w:gridSpan w:val="2"/>
            <w:tcBorders>
              <w:top w:val="single" w:sz="4" w:space="0" w:color="auto"/>
              <w:left w:val="nil"/>
              <w:bottom w:val="nil"/>
              <w:right w:val="nil"/>
            </w:tcBorders>
            <w:shd w:val="clear" w:color="auto" w:fill="auto"/>
            <w:noWrap/>
            <w:vAlign w:val="center"/>
            <w:hideMark/>
          </w:tcPr>
          <w:p w14:paraId="1272B3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344B0A7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A67088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DBE03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w:t>
            </w:r>
          </w:p>
        </w:tc>
        <w:tc>
          <w:tcPr>
            <w:tcW w:w="1476" w:type="dxa"/>
            <w:tcBorders>
              <w:top w:val="nil"/>
              <w:left w:val="nil"/>
              <w:bottom w:val="nil"/>
              <w:right w:val="nil"/>
            </w:tcBorders>
            <w:shd w:val="clear" w:color="auto" w:fill="auto"/>
            <w:noWrap/>
            <w:vAlign w:val="center"/>
            <w:hideMark/>
          </w:tcPr>
          <w:p w14:paraId="3DA289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64.61%</w:t>
            </w:r>
          </w:p>
        </w:tc>
        <w:tc>
          <w:tcPr>
            <w:tcW w:w="2918" w:type="dxa"/>
            <w:tcBorders>
              <w:top w:val="nil"/>
              <w:left w:val="nil"/>
              <w:bottom w:val="nil"/>
              <w:right w:val="nil"/>
            </w:tcBorders>
            <w:shd w:val="clear" w:color="auto" w:fill="auto"/>
            <w:noWrap/>
            <w:vAlign w:val="center"/>
            <w:hideMark/>
          </w:tcPr>
          <w:p w14:paraId="1F8C9DD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709109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44</w:t>
            </w:r>
          </w:p>
        </w:tc>
        <w:tc>
          <w:tcPr>
            <w:tcW w:w="1476" w:type="dxa"/>
            <w:gridSpan w:val="2"/>
            <w:tcBorders>
              <w:top w:val="nil"/>
              <w:left w:val="nil"/>
              <w:bottom w:val="nil"/>
              <w:right w:val="nil"/>
            </w:tcBorders>
            <w:shd w:val="clear" w:color="auto" w:fill="auto"/>
            <w:noWrap/>
            <w:vAlign w:val="center"/>
            <w:hideMark/>
          </w:tcPr>
          <w:p w14:paraId="07326B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33.30%</w:t>
            </w:r>
          </w:p>
        </w:tc>
      </w:tr>
      <w:tr w:rsidR="00F92342" w14:paraId="17AEE24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DDD587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1135" w:type="dxa"/>
            <w:tcBorders>
              <w:top w:val="nil"/>
              <w:left w:val="nil"/>
              <w:bottom w:val="nil"/>
              <w:right w:val="nil"/>
            </w:tcBorders>
            <w:shd w:val="clear" w:color="auto" w:fill="auto"/>
            <w:noWrap/>
            <w:vAlign w:val="center"/>
            <w:hideMark/>
          </w:tcPr>
          <w:p w14:paraId="6F9884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w:t>
            </w:r>
          </w:p>
        </w:tc>
        <w:tc>
          <w:tcPr>
            <w:tcW w:w="1476" w:type="dxa"/>
            <w:tcBorders>
              <w:top w:val="nil"/>
              <w:left w:val="nil"/>
              <w:bottom w:val="nil"/>
              <w:right w:val="nil"/>
            </w:tcBorders>
            <w:shd w:val="clear" w:color="auto" w:fill="auto"/>
            <w:noWrap/>
            <w:vAlign w:val="center"/>
            <w:hideMark/>
          </w:tcPr>
          <w:p w14:paraId="491C71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69.23%</w:t>
            </w:r>
          </w:p>
        </w:tc>
        <w:tc>
          <w:tcPr>
            <w:tcW w:w="2918" w:type="dxa"/>
            <w:tcBorders>
              <w:top w:val="nil"/>
              <w:left w:val="nil"/>
              <w:bottom w:val="nil"/>
              <w:right w:val="nil"/>
            </w:tcBorders>
            <w:shd w:val="clear" w:color="auto" w:fill="auto"/>
            <w:noWrap/>
            <w:vAlign w:val="center"/>
            <w:hideMark/>
          </w:tcPr>
          <w:p w14:paraId="632EE50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91505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43</w:t>
            </w:r>
          </w:p>
        </w:tc>
        <w:tc>
          <w:tcPr>
            <w:tcW w:w="1476" w:type="dxa"/>
            <w:gridSpan w:val="2"/>
            <w:tcBorders>
              <w:top w:val="nil"/>
              <w:left w:val="nil"/>
              <w:bottom w:val="nil"/>
              <w:right w:val="nil"/>
            </w:tcBorders>
            <w:shd w:val="clear" w:color="auto" w:fill="auto"/>
            <w:noWrap/>
            <w:vAlign w:val="center"/>
            <w:hideMark/>
          </w:tcPr>
          <w:p w14:paraId="56911A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29.19%</w:t>
            </w:r>
          </w:p>
        </w:tc>
      </w:tr>
      <w:tr w:rsidR="00F92342" w14:paraId="2CF8B4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B2C414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BD0CEB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19</w:t>
            </w:r>
          </w:p>
        </w:tc>
        <w:tc>
          <w:tcPr>
            <w:tcW w:w="1476" w:type="dxa"/>
            <w:tcBorders>
              <w:top w:val="nil"/>
              <w:left w:val="nil"/>
              <w:bottom w:val="nil"/>
              <w:right w:val="nil"/>
            </w:tcBorders>
            <w:shd w:val="clear" w:color="auto" w:fill="auto"/>
            <w:noWrap/>
            <w:vAlign w:val="center"/>
            <w:hideMark/>
          </w:tcPr>
          <w:p w14:paraId="7497AD8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81.21%</w:t>
            </w:r>
          </w:p>
        </w:tc>
        <w:tc>
          <w:tcPr>
            <w:tcW w:w="2918" w:type="dxa"/>
            <w:tcBorders>
              <w:top w:val="nil"/>
              <w:left w:val="nil"/>
              <w:bottom w:val="nil"/>
              <w:right w:val="nil"/>
            </w:tcBorders>
            <w:shd w:val="clear" w:color="auto" w:fill="auto"/>
            <w:noWrap/>
            <w:vAlign w:val="center"/>
            <w:hideMark/>
          </w:tcPr>
          <w:p w14:paraId="79E90C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7C9DF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528E023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30.32%</w:t>
            </w:r>
          </w:p>
        </w:tc>
      </w:tr>
      <w:tr w:rsidR="00F92342" w14:paraId="646D8CC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C392F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中证主要消费指数收益率</w:t>
            </w:r>
          </w:p>
        </w:tc>
        <w:tc>
          <w:tcPr>
            <w:tcW w:w="1135" w:type="dxa"/>
            <w:tcBorders>
              <w:top w:val="nil"/>
              <w:left w:val="nil"/>
              <w:bottom w:val="nil"/>
              <w:right w:val="nil"/>
            </w:tcBorders>
            <w:shd w:val="clear" w:color="auto" w:fill="auto"/>
            <w:noWrap/>
            <w:vAlign w:val="center"/>
            <w:hideMark/>
          </w:tcPr>
          <w:p w14:paraId="18DAD1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1DAB0A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2918" w:type="dxa"/>
            <w:tcBorders>
              <w:top w:val="nil"/>
              <w:left w:val="nil"/>
              <w:bottom w:val="nil"/>
              <w:right w:val="nil"/>
            </w:tcBorders>
            <w:shd w:val="clear" w:color="auto" w:fill="auto"/>
            <w:noWrap/>
            <w:vAlign w:val="center"/>
            <w:hideMark/>
          </w:tcPr>
          <w:p w14:paraId="45C5827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52ACD1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160BF97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0279E52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9BEFD5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中证服务业指数收益率</w:t>
            </w:r>
          </w:p>
        </w:tc>
        <w:tc>
          <w:tcPr>
            <w:tcW w:w="1135" w:type="dxa"/>
            <w:tcBorders>
              <w:top w:val="nil"/>
              <w:left w:val="nil"/>
              <w:bottom w:val="nil"/>
              <w:right w:val="nil"/>
            </w:tcBorders>
            <w:shd w:val="clear" w:color="auto" w:fill="auto"/>
            <w:noWrap/>
            <w:vAlign w:val="center"/>
            <w:hideMark/>
          </w:tcPr>
          <w:p w14:paraId="0F0907C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687B76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66.67%</w:t>
            </w:r>
          </w:p>
        </w:tc>
        <w:tc>
          <w:tcPr>
            <w:tcW w:w="2918" w:type="dxa"/>
            <w:tcBorders>
              <w:top w:val="nil"/>
              <w:left w:val="nil"/>
              <w:bottom w:val="nil"/>
              <w:right w:val="nil"/>
            </w:tcBorders>
            <w:shd w:val="clear" w:color="auto" w:fill="auto"/>
            <w:noWrap/>
            <w:vAlign w:val="center"/>
            <w:hideMark/>
          </w:tcPr>
          <w:p w14:paraId="6380716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518AE5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w:t>
            </w:r>
          </w:p>
        </w:tc>
        <w:tc>
          <w:tcPr>
            <w:tcW w:w="1476" w:type="dxa"/>
            <w:gridSpan w:val="2"/>
            <w:tcBorders>
              <w:top w:val="nil"/>
              <w:left w:val="nil"/>
              <w:bottom w:val="nil"/>
              <w:right w:val="nil"/>
            </w:tcBorders>
            <w:shd w:val="clear" w:color="auto" w:fill="auto"/>
            <w:noWrap/>
            <w:vAlign w:val="center"/>
            <w:hideMark/>
          </w:tcPr>
          <w:p w14:paraId="5895B6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37.50%</w:t>
            </w:r>
          </w:p>
        </w:tc>
      </w:tr>
      <w:tr w:rsidR="00F92342" w14:paraId="1D91EE7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849E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6B18FD9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38C64BD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nil"/>
              <w:right w:val="nil"/>
            </w:tcBorders>
            <w:shd w:val="clear" w:color="auto" w:fill="auto"/>
            <w:noWrap/>
            <w:vAlign w:val="center"/>
            <w:hideMark/>
          </w:tcPr>
          <w:p w14:paraId="2A57A4C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7F588EC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036A3C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33.82%</w:t>
            </w:r>
          </w:p>
        </w:tc>
      </w:tr>
      <w:tr w:rsidR="00F92342" w14:paraId="7D55675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2755C3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中证食品饮料指数收益率</w:t>
            </w:r>
          </w:p>
        </w:tc>
        <w:tc>
          <w:tcPr>
            <w:tcW w:w="1135" w:type="dxa"/>
            <w:tcBorders>
              <w:top w:val="nil"/>
              <w:left w:val="nil"/>
              <w:bottom w:val="nil"/>
              <w:right w:val="nil"/>
            </w:tcBorders>
            <w:shd w:val="clear" w:color="auto" w:fill="auto"/>
            <w:noWrap/>
            <w:vAlign w:val="center"/>
            <w:hideMark/>
          </w:tcPr>
          <w:p w14:paraId="6B5E6F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0F8FD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92.50%</w:t>
            </w:r>
          </w:p>
        </w:tc>
        <w:tc>
          <w:tcPr>
            <w:tcW w:w="2918" w:type="dxa"/>
            <w:tcBorders>
              <w:top w:val="nil"/>
              <w:left w:val="nil"/>
              <w:bottom w:val="nil"/>
              <w:right w:val="nil"/>
            </w:tcBorders>
            <w:shd w:val="clear" w:color="auto" w:fill="auto"/>
            <w:noWrap/>
            <w:vAlign w:val="center"/>
            <w:hideMark/>
          </w:tcPr>
          <w:p w14:paraId="0B142C6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nil"/>
              <w:right w:val="nil"/>
            </w:tcBorders>
            <w:shd w:val="clear" w:color="auto" w:fill="auto"/>
            <w:noWrap/>
            <w:vAlign w:val="center"/>
            <w:hideMark/>
          </w:tcPr>
          <w:p w14:paraId="1FF8AC4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16</w:t>
            </w:r>
          </w:p>
        </w:tc>
        <w:tc>
          <w:tcPr>
            <w:tcW w:w="1476" w:type="dxa"/>
            <w:gridSpan w:val="2"/>
            <w:tcBorders>
              <w:top w:val="nil"/>
              <w:left w:val="nil"/>
              <w:bottom w:val="nil"/>
              <w:right w:val="nil"/>
            </w:tcBorders>
            <w:shd w:val="clear" w:color="auto" w:fill="auto"/>
            <w:noWrap/>
            <w:vAlign w:val="center"/>
            <w:hideMark/>
          </w:tcPr>
          <w:p w14:paraId="21F634D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26.88%</w:t>
            </w:r>
          </w:p>
        </w:tc>
      </w:tr>
      <w:tr w:rsidR="00F92342" w14:paraId="2109446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06AECB1"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1072C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B30C75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195BE9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62B535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nil"/>
              <w:left w:val="nil"/>
              <w:bottom w:val="nil"/>
              <w:right w:val="nil"/>
            </w:tcBorders>
            <w:shd w:val="clear" w:color="auto" w:fill="auto"/>
            <w:noWrap/>
            <w:vAlign w:val="center"/>
            <w:hideMark/>
          </w:tcPr>
          <w:p w14:paraId="7729FE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32.33%</w:t>
            </w:r>
          </w:p>
        </w:tc>
      </w:tr>
      <w:tr w:rsidR="00F92342" w14:paraId="0C17015A"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7B9178C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申银万国消费品指数</w:t>
            </w:r>
          </w:p>
        </w:tc>
        <w:tc>
          <w:tcPr>
            <w:tcW w:w="1135" w:type="dxa"/>
            <w:tcBorders>
              <w:top w:val="nil"/>
              <w:left w:val="nil"/>
              <w:bottom w:val="single" w:sz="4" w:space="0" w:color="auto"/>
              <w:right w:val="nil"/>
            </w:tcBorders>
            <w:shd w:val="clear" w:color="auto" w:fill="auto"/>
            <w:noWrap/>
            <w:vAlign w:val="center"/>
            <w:hideMark/>
          </w:tcPr>
          <w:p w14:paraId="16D383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4B60D1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5C44972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4E670E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single" w:sz="4" w:space="0" w:color="auto"/>
              <w:right w:val="nil"/>
            </w:tcBorders>
            <w:shd w:val="clear" w:color="auto" w:fill="auto"/>
            <w:noWrap/>
            <w:vAlign w:val="center"/>
            <w:hideMark/>
          </w:tcPr>
          <w:p w14:paraId="62B670E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1AD7E70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99B9795"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电子元器件行业股指基准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111330AF"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3F5F3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2234E9A5"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电子元器件行业债指基准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2F433E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4D784AB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74DDE36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67C63A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AB872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157</w:t>
            </w:r>
          </w:p>
        </w:tc>
        <w:tc>
          <w:tcPr>
            <w:tcW w:w="1476" w:type="dxa"/>
            <w:tcBorders>
              <w:top w:val="single" w:sz="4" w:space="0" w:color="auto"/>
              <w:left w:val="nil"/>
              <w:bottom w:val="nil"/>
              <w:right w:val="nil"/>
            </w:tcBorders>
            <w:shd w:val="clear" w:color="auto" w:fill="auto"/>
            <w:noWrap/>
            <w:vAlign w:val="center"/>
            <w:hideMark/>
          </w:tcPr>
          <w:p w14:paraId="512069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63.47%</w:t>
            </w:r>
          </w:p>
        </w:tc>
        <w:tc>
          <w:tcPr>
            <w:tcW w:w="2918" w:type="dxa"/>
            <w:tcBorders>
              <w:top w:val="single" w:sz="4" w:space="0" w:color="auto"/>
              <w:left w:val="nil"/>
              <w:bottom w:val="nil"/>
              <w:right w:val="nil"/>
            </w:tcBorders>
            <w:shd w:val="clear" w:color="auto" w:fill="auto"/>
            <w:noWrap/>
            <w:vAlign w:val="center"/>
            <w:hideMark/>
          </w:tcPr>
          <w:p w14:paraId="637249B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3283A5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single" w:sz="4" w:space="0" w:color="auto"/>
              <w:left w:val="nil"/>
              <w:bottom w:val="nil"/>
              <w:right w:val="nil"/>
            </w:tcBorders>
            <w:shd w:val="clear" w:color="auto" w:fill="auto"/>
            <w:noWrap/>
            <w:vAlign w:val="center"/>
            <w:hideMark/>
          </w:tcPr>
          <w:p w14:paraId="7F7CE15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32.24%</w:t>
            </w:r>
          </w:p>
        </w:tc>
      </w:tr>
      <w:tr w:rsidR="00F92342" w14:paraId="3A7B4071"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F6AD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0425A9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nil"/>
              <w:left w:val="nil"/>
              <w:bottom w:val="nil"/>
              <w:right w:val="nil"/>
            </w:tcBorders>
            <w:shd w:val="clear" w:color="auto" w:fill="auto"/>
            <w:noWrap/>
            <w:vAlign w:val="center"/>
            <w:hideMark/>
          </w:tcPr>
          <w:p w14:paraId="4C99CC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68.65%</w:t>
            </w:r>
          </w:p>
        </w:tc>
        <w:tc>
          <w:tcPr>
            <w:tcW w:w="2918" w:type="dxa"/>
            <w:tcBorders>
              <w:top w:val="nil"/>
              <w:left w:val="nil"/>
              <w:bottom w:val="nil"/>
              <w:right w:val="nil"/>
            </w:tcBorders>
            <w:shd w:val="clear" w:color="auto" w:fill="auto"/>
            <w:noWrap/>
            <w:vAlign w:val="center"/>
            <w:hideMark/>
          </w:tcPr>
          <w:p w14:paraId="4357DF9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1D2A6E5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nil"/>
              <w:left w:val="nil"/>
              <w:bottom w:val="nil"/>
              <w:right w:val="nil"/>
            </w:tcBorders>
            <w:shd w:val="clear" w:color="auto" w:fill="auto"/>
            <w:noWrap/>
            <w:vAlign w:val="center"/>
            <w:hideMark/>
          </w:tcPr>
          <w:p w14:paraId="7FD8C7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31.38%</w:t>
            </w:r>
          </w:p>
        </w:tc>
      </w:tr>
      <w:tr w:rsidR="00F92342" w14:paraId="4106ABC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640B7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A17A0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tcBorders>
              <w:top w:val="nil"/>
              <w:left w:val="nil"/>
              <w:bottom w:val="nil"/>
              <w:right w:val="nil"/>
            </w:tcBorders>
            <w:shd w:val="clear" w:color="auto" w:fill="auto"/>
            <w:noWrap/>
            <w:vAlign w:val="center"/>
            <w:hideMark/>
          </w:tcPr>
          <w:p w14:paraId="4765EC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62.61%</w:t>
            </w:r>
          </w:p>
        </w:tc>
        <w:tc>
          <w:tcPr>
            <w:tcW w:w="2918" w:type="dxa"/>
            <w:tcBorders>
              <w:top w:val="nil"/>
              <w:left w:val="nil"/>
              <w:bottom w:val="nil"/>
              <w:right w:val="nil"/>
            </w:tcBorders>
            <w:shd w:val="clear" w:color="auto" w:fill="auto"/>
            <w:noWrap/>
            <w:vAlign w:val="center"/>
            <w:hideMark/>
          </w:tcPr>
          <w:p w14:paraId="2C222EF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366FE76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7E0C82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36.45%</w:t>
            </w:r>
          </w:p>
        </w:tc>
      </w:tr>
      <w:tr w:rsidR="00F92342" w14:paraId="398656C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7F83B9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91220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57819E0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74.50%</w:t>
            </w:r>
          </w:p>
        </w:tc>
        <w:tc>
          <w:tcPr>
            <w:tcW w:w="2918" w:type="dxa"/>
            <w:tcBorders>
              <w:top w:val="nil"/>
              <w:left w:val="nil"/>
              <w:bottom w:val="nil"/>
              <w:right w:val="nil"/>
            </w:tcBorders>
            <w:shd w:val="clear" w:color="auto" w:fill="auto"/>
            <w:noWrap/>
            <w:vAlign w:val="center"/>
            <w:hideMark/>
          </w:tcPr>
          <w:p w14:paraId="22997EC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5A0EC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gridSpan w:val="2"/>
            <w:tcBorders>
              <w:top w:val="nil"/>
              <w:left w:val="nil"/>
              <w:bottom w:val="nil"/>
              <w:right w:val="nil"/>
            </w:tcBorders>
            <w:shd w:val="clear" w:color="auto" w:fill="auto"/>
            <w:noWrap/>
            <w:vAlign w:val="center"/>
            <w:hideMark/>
          </w:tcPr>
          <w:p w14:paraId="399C3AB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29.57%</w:t>
            </w:r>
          </w:p>
        </w:tc>
      </w:tr>
      <w:tr w:rsidR="00F92342" w14:paraId="45B4805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1BBDC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中证人工智能主题指数收益率</w:t>
            </w:r>
          </w:p>
        </w:tc>
        <w:tc>
          <w:tcPr>
            <w:tcW w:w="1135" w:type="dxa"/>
            <w:tcBorders>
              <w:top w:val="nil"/>
              <w:left w:val="nil"/>
              <w:bottom w:val="nil"/>
              <w:right w:val="nil"/>
            </w:tcBorders>
            <w:shd w:val="clear" w:color="auto" w:fill="auto"/>
            <w:noWrap/>
            <w:vAlign w:val="center"/>
            <w:hideMark/>
          </w:tcPr>
          <w:p w14:paraId="4EFE23F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06B5F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58.00%</w:t>
            </w:r>
          </w:p>
        </w:tc>
        <w:tc>
          <w:tcPr>
            <w:tcW w:w="2918" w:type="dxa"/>
            <w:tcBorders>
              <w:top w:val="nil"/>
              <w:left w:val="nil"/>
              <w:bottom w:val="nil"/>
              <w:right w:val="nil"/>
            </w:tcBorders>
            <w:shd w:val="clear" w:color="auto" w:fill="auto"/>
            <w:noWrap/>
            <w:vAlign w:val="center"/>
            <w:hideMark/>
          </w:tcPr>
          <w:p w14:paraId="0DA648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F3CE91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18</w:t>
            </w:r>
          </w:p>
        </w:tc>
        <w:tc>
          <w:tcPr>
            <w:tcW w:w="1476" w:type="dxa"/>
            <w:gridSpan w:val="2"/>
            <w:tcBorders>
              <w:top w:val="nil"/>
              <w:left w:val="nil"/>
              <w:bottom w:val="nil"/>
              <w:right w:val="nil"/>
            </w:tcBorders>
            <w:shd w:val="clear" w:color="auto" w:fill="auto"/>
            <w:noWrap/>
            <w:vAlign w:val="center"/>
            <w:hideMark/>
          </w:tcPr>
          <w:p w14:paraId="1EC6A4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33.33%</w:t>
            </w:r>
          </w:p>
        </w:tc>
      </w:tr>
      <w:tr w:rsidR="00F92342" w14:paraId="43FFBC7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8AD2C5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68A6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tcBorders>
              <w:top w:val="nil"/>
              <w:left w:val="nil"/>
              <w:bottom w:val="nil"/>
              <w:right w:val="nil"/>
            </w:tcBorders>
            <w:shd w:val="clear" w:color="auto" w:fill="auto"/>
            <w:noWrap/>
            <w:vAlign w:val="center"/>
            <w:hideMark/>
          </w:tcPr>
          <w:p w14:paraId="6612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61.43%</w:t>
            </w:r>
          </w:p>
        </w:tc>
        <w:tc>
          <w:tcPr>
            <w:tcW w:w="2918" w:type="dxa"/>
            <w:tcBorders>
              <w:top w:val="nil"/>
              <w:left w:val="nil"/>
              <w:bottom w:val="nil"/>
              <w:right w:val="nil"/>
            </w:tcBorders>
            <w:shd w:val="clear" w:color="auto" w:fill="auto"/>
            <w:noWrap/>
            <w:vAlign w:val="center"/>
            <w:hideMark/>
          </w:tcPr>
          <w:p w14:paraId="78662C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02C3D90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w:t>
            </w:r>
          </w:p>
        </w:tc>
        <w:tc>
          <w:tcPr>
            <w:tcW w:w="1476" w:type="dxa"/>
            <w:gridSpan w:val="2"/>
            <w:tcBorders>
              <w:top w:val="nil"/>
              <w:left w:val="nil"/>
              <w:bottom w:val="nil"/>
              <w:right w:val="nil"/>
            </w:tcBorders>
            <w:shd w:val="clear" w:color="auto" w:fill="auto"/>
            <w:noWrap/>
            <w:vAlign w:val="center"/>
            <w:hideMark/>
          </w:tcPr>
          <w:p w14:paraId="2E6A6DB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35.00%</w:t>
            </w:r>
          </w:p>
        </w:tc>
      </w:tr>
      <w:tr w:rsidR="00F92342" w14:paraId="7141234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4EE919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中证全指指数收益率</w:t>
            </w:r>
          </w:p>
        </w:tc>
        <w:tc>
          <w:tcPr>
            <w:tcW w:w="1135" w:type="dxa"/>
            <w:tcBorders>
              <w:top w:val="nil"/>
              <w:left w:val="nil"/>
              <w:bottom w:val="nil"/>
              <w:right w:val="nil"/>
            </w:tcBorders>
            <w:shd w:val="clear" w:color="auto" w:fill="auto"/>
            <w:noWrap/>
            <w:vAlign w:val="center"/>
            <w:hideMark/>
          </w:tcPr>
          <w:p w14:paraId="0F548F6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A0DF6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50.00%</w:t>
            </w:r>
          </w:p>
        </w:tc>
        <w:tc>
          <w:tcPr>
            <w:tcW w:w="2918" w:type="dxa"/>
            <w:tcBorders>
              <w:top w:val="nil"/>
              <w:left w:val="nil"/>
              <w:bottom w:val="nil"/>
              <w:right w:val="nil"/>
            </w:tcBorders>
            <w:shd w:val="clear" w:color="auto" w:fill="auto"/>
            <w:noWrap/>
            <w:vAlign w:val="center"/>
            <w:hideMark/>
          </w:tcPr>
          <w:p w14:paraId="44B09A4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61CAA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4CDAB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5.95%</w:t>
            </w:r>
          </w:p>
        </w:tc>
      </w:tr>
      <w:tr w:rsidR="00F92342" w14:paraId="1BA6CC2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AF45E65"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中证信息技术指数收益率</w:t>
            </w:r>
          </w:p>
        </w:tc>
        <w:tc>
          <w:tcPr>
            <w:tcW w:w="1135" w:type="dxa"/>
            <w:tcBorders>
              <w:top w:val="nil"/>
              <w:left w:val="nil"/>
              <w:bottom w:val="nil"/>
              <w:right w:val="nil"/>
            </w:tcBorders>
            <w:shd w:val="clear" w:color="auto" w:fill="auto"/>
            <w:noWrap/>
            <w:vAlign w:val="center"/>
            <w:hideMark/>
          </w:tcPr>
          <w:p w14:paraId="3BD63AA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249523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0880225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36B1737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A66C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33.00%</w:t>
            </w:r>
          </w:p>
        </w:tc>
      </w:tr>
      <w:tr w:rsidR="00F92342" w14:paraId="3046A3A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8F2DC2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中证全指信息技术指数收益率</w:t>
            </w:r>
          </w:p>
        </w:tc>
        <w:tc>
          <w:tcPr>
            <w:tcW w:w="1135" w:type="dxa"/>
            <w:tcBorders>
              <w:top w:val="nil"/>
              <w:left w:val="nil"/>
              <w:bottom w:val="nil"/>
              <w:right w:val="nil"/>
            </w:tcBorders>
            <w:shd w:val="clear" w:color="auto" w:fill="auto"/>
            <w:noWrap/>
            <w:vAlign w:val="center"/>
            <w:hideMark/>
          </w:tcPr>
          <w:p w14:paraId="47F53B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609F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2918" w:type="dxa"/>
            <w:tcBorders>
              <w:top w:val="nil"/>
              <w:left w:val="nil"/>
              <w:bottom w:val="nil"/>
              <w:right w:val="nil"/>
            </w:tcBorders>
            <w:shd w:val="clear" w:color="auto" w:fill="auto"/>
            <w:noWrap/>
            <w:vAlign w:val="center"/>
            <w:hideMark/>
          </w:tcPr>
          <w:p w14:paraId="66DA07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55704D1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498A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31.00%</w:t>
            </w:r>
          </w:p>
        </w:tc>
      </w:tr>
      <w:tr w:rsidR="00F92342" w14:paraId="29C3F17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005C0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中证军工指数收益率</w:t>
            </w:r>
          </w:p>
        </w:tc>
        <w:tc>
          <w:tcPr>
            <w:tcW w:w="1135" w:type="dxa"/>
            <w:tcBorders>
              <w:top w:val="nil"/>
              <w:left w:val="nil"/>
              <w:bottom w:val="nil"/>
              <w:right w:val="nil"/>
            </w:tcBorders>
            <w:shd w:val="clear" w:color="auto" w:fill="auto"/>
            <w:noWrap/>
            <w:vAlign w:val="center"/>
            <w:hideMark/>
          </w:tcPr>
          <w:p w14:paraId="25D7AB7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5DDA118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11DE65D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1BF4E8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1D8C48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26.11%</w:t>
            </w:r>
          </w:p>
        </w:tc>
      </w:tr>
      <w:tr w:rsidR="00F92342" w14:paraId="0CD6B37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D142B7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700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69D453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single" w:sz="4" w:space="0" w:color="auto"/>
              <w:right w:val="nil"/>
            </w:tcBorders>
            <w:shd w:val="clear" w:color="auto" w:fill="auto"/>
            <w:noWrap/>
            <w:vAlign w:val="center"/>
            <w:hideMark/>
          </w:tcPr>
          <w:p w14:paraId="118191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single" w:sz="4" w:space="0" w:color="auto"/>
              <w:right w:val="nil"/>
            </w:tcBorders>
            <w:shd w:val="clear" w:color="auto" w:fill="auto"/>
            <w:noWrap/>
            <w:vAlign w:val="center"/>
            <w:hideMark/>
          </w:tcPr>
          <w:p w14:paraId="32BE6FC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single" w:sz="4" w:space="0" w:color="auto"/>
              <w:right w:val="nil"/>
            </w:tcBorders>
            <w:shd w:val="clear" w:color="auto" w:fill="auto"/>
            <w:noWrap/>
            <w:vAlign w:val="center"/>
            <w:hideMark/>
          </w:tcPr>
          <w:p w14:paraId="4ED37F5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single" w:sz="4" w:space="0" w:color="auto"/>
              <w:right w:val="nil"/>
            </w:tcBorders>
            <w:shd w:val="clear" w:color="auto" w:fill="auto"/>
            <w:noWrap/>
            <w:vAlign w:val="center"/>
            <w:hideMark/>
          </w:tcPr>
          <w:p w14:paraId="22C8CF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27.86%</w:t>
            </w:r>
          </w:p>
        </w:tc>
      </w:tr>
      <w:tr w:rsidR="00F92342" w14:paraId="7EA2B9B3"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23B0D233"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电工电网行业股指基准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7CB7C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8A44C67"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1213DAD8"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电工电网行业债指基准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1EBF58A1"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DB7C8E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29A8F39"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43BB174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7B79571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w:t>
            </w:r>
          </w:p>
        </w:tc>
        <w:tc>
          <w:tcPr>
            <w:tcW w:w="1476" w:type="dxa"/>
            <w:tcBorders>
              <w:top w:val="single" w:sz="4" w:space="0" w:color="auto"/>
              <w:left w:val="nil"/>
              <w:bottom w:val="nil"/>
              <w:right w:val="nil"/>
            </w:tcBorders>
            <w:shd w:val="clear" w:color="auto" w:fill="auto"/>
            <w:noWrap/>
            <w:vAlign w:val="center"/>
            <w:hideMark/>
          </w:tcPr>
          <w:p w14:paraId="790FB63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170.16%</w:t>
            </w:r>
          </w:p>
        </w:tc>
        <w:tc>
          <w:tcPr>
            <w:tcW w:w="2918" w:type="dxa"/>
            <w:tcBorders>
              <w:top w:val="single" w:sz="4" w:space="0" w:color="auto"/>
              <w:left w:val="nil"/>
              <w:bottom w:val="nil"/>
              <w:right w:val="nil"/>
            </w:tcBorders>
            <w:shd w:val="clear" w:color="auto" w:fill="auto"/>
            <w:noWrap/>
            <w:vAlign w:val="center"/>
            <w:hideMark/>
          </w:tcPr>
          <w:p w14:paraId="6ACE75A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0D849C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w:t>
            </w:r>
          </w:p>
        </w:tc>
        <w:tc>
          <w:tcPr>
            <w:tcW w:w="1476" w:type="dxa"/>
            <w:gridSpan w:val="2"/>
            <w:tcBorders>
              <w:top w:val="single" w:sz="4" w:space="0" w:color="auto"/>
              <w:left w:val="nil"/>
              <w:bottom w:val="nil"/>
              <w:right w:val="nil"/>
            </w:tcBorders>
            <w:shd w:val="clear" w:color="auto" w:fill="auto"/>
            <w:noWrap/>
            <w:vAlign w:val="center"/>
            <w:hideMark/>
          </w:tcPr>
          <w:p w14:paraId="3382238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25.69%</w:t>
            </w:r>
          </w:p>
        </w:tc>
      </w:tr>
      <w:tr w:rsidR="00F92342" w14:paraId="2E1A9F7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E753D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创业板指数收益率</w:t>
            </w:r>
          </w:p>
        </w:tc>
        <w:tc>
          <w:tcPr>
            <w:tcW w:w="1135" w:type="dxa"/>
            <w:tcBorders>
              <w:top w:val="nil"/>
              <w:left w:val="nil"/>
              <w:bottom w:val="nil"/>
              <w:right w:val="nil"/>
            </w:tcBorders>
            <w:shd w:val="clear" w:color="auto" w:fill="auto"/>
            <w:noWrap/>
            <w:vAlign w:val="center"/>
            <w:hideMark/>
          </w:tcPr>
          <w:p w14:paraId="12C9D44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40</w:t>
            </w:r>
          </w:p>
        </w:tc>
        <w:tc>
          <w:tcPr>
            <w:tcW w:w="1476" w:type="dxa"/>
            <w:tcBorders>
              <w:top w:val="nil"/>
              <w:left w:val="nil"/>
              <w:bottom w:val="nil"/>
              <w:right w:val="nil"/>
            </w:tcBorders>
            <w:shd w:val="clear" w:color="auto" w:fill="auto"/>
            <w:noWrap/>
            <w:vAlign w:val="center"/>
            <w:hideMark/>
          </w:tcPr>
          <w:p w14:paraId="63E187A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71.25%</w:t>
            </w:r>
          </w:p>
        </w:tc>
        <w:tc>
          <w:tcPr>
            <w:tcW w:w="2918" w:type="dxa"/>
            <w:tcBorders>
              <w:top w:val="nil"/>
              <w:left w:val="nil"/>
              <w:bottom w:val="nil"/>
              <w:right w:val="nil"/>
            </w:tcBorders>
            <w:shd w:val="clear" w:color="auto" w:fill="auto"/>
            <w:noWrap/>
            <w:vAlign w:val="center"/>
            <w:hideMark/>
          </w:tcPr>
          <w:p w14:paraId="5E1CEB2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1677065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w:t>
            </w:r>
          </w:p>
        </w:tc>
        <w:tc>
          <w:tcPr>
            <w:tcW w:w="1476" w:type="dxa"/>
            <w:gridSpan w:val="2"/>
            <w:tcBorders>
              <w:top w:val="nil"/>
              <w:left w:val="nil"/>
              <w:bottom w:val="nil"/>
              <w:right w:val="nil"/>
            </w:tcBorders>
            <w:shd w:val="clear" w:color="auto" w:fill="auto"/>
            <w:noWrap/>
            <w:vAlign w:val="center"/>
            <w:hideMark/>
          </w:tcPr>
          <w:p w14:paraId="6F3A63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28D9F7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64D89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中证新能源汽车指数收益率</w:t>
            </w:r>
          </w:p>
        </w:tc>
        <w:tc>
          <w:tcPr>
            <w:tcW w:w="1135" w:type="dxa"/>
            <w:tcBorders>
              <w:top w:val="nil"/>
              <w:left w:val="nil"/>
              <w:bottom w:val="nil"/>
              <w:right w:val="nil"/>
            </w:tcBorders>
            <w:shd w:val="clear" w:color="auto" w:fill="auto"/>
            <w:noWrap/>
            <w:vAlign w:val="center"/>
            <w:hideMark/>
          </w:tcPr>
          <w:p w14:paraId="0DD53D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tcBorders>
              <w:top w:val="nil"/>
              <w:left w:val="nil"/>
              <w:bottom w:val="nil"/>
              <w:right w:val="nil"/>
            </w:tcBorders>
            <w:shd w:val="clear" w:color="auto" w:fill="auto"/>
            <w:noWrap/>
            <w:vAlign w:val="center"/>
            <w:hideMark/>
          </w:tcPr>
          <w:p w14:paraId="489D416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66.25%</w:t>
            </w:r>
          </w:p>
        </w:tc>
        <w:tc>
          <w:tcPr>
            <w:tcW w:w="2918" w:type="dxa"/>
            <w:tcBorders>
              <w:top w:val="nil"/>
              <w:left w:val="nil"/>
              <w:bottom w:val="nil"/>
              <w:right w:val="nil"/>
            </w:tcBorders>
            <w:shd w:val="clear" w:color="auto" w:fill="auto"/>
            <w:noWrap/>
            <w:vAlign w:val="center"/>
            <w:hideMark/>
          </w:tcPr>
          <w:p w14:paraId="53E41B5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0F98E2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0D04F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31.43%</w:t>
            </w:r>
          </w:p>
        </w:tc>
      </w:tr>
      <w:tr w:rsidR="00F92342" w14:paraId="46FAA9D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2AE56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EB080F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3450023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7C72795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EA695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67CD386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5.59%</w:t>
            </w:r>
          </w:p>
        </w:tc>
      </w:tr>
      <w:tr w:rsidR="00F92342" w14:paraId="3CB0358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20A0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7B566F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3E052D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79.17%</w:t>
            </w:r>
          </w:p>
        </w:tc>
        <w:tc>
          <w:tcPr>
            <w:tcW w:w="2918" w:type="dxa"/>
            <w:tcBorders>
              <w:top w:val="nil"/>
              <w:left w:val="nil"/>
              <w:bottom w:val="nil"/>
              <w:right w:val="nil"/>
            </w:tcBorders>
            <w:shd w:val="clear" w:color="auto" w:fill="auto"/>
            <w:noWrap/>
            <w:vAlign w:val="center"/>
            <w:hideMark/>
          </w:tcPr>
          <w:p w14:paraId="67BD179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5C3E6D9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620032F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34.00%</w:t>
            </w:r>
          </w:p>
        </w:tc>
      </w:tr>
      <w:tr w:rsidR="00F92342" w14:paraId="2E6365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F014E6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02AD77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06997D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4979F017"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FC733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0DBE1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26.25%</w:t>
            </w:r>
          </w:p>
        </w:tc>
      </w:tr>
      <w:tr w:rsidR="00F92342" w14:paraId="01FE8E8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339F8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中证环保产业指数收益率</w:t>
            </w:r>
          </w:p>
        </w:tc>
        <w:tc>
          <w:tcPr>
            <w:tcW w:w="1135" w:type="dxa"/>
            <w:tcBorders>
              <w:top w:val="nil"/>
              <w:left w:val="nil"/>
              <w:bottom w:val="nil"/>
              <w:right w:val="nil"/>
            </w:tcBorders>
            <w:shd w:val="clear" w:color="auto" w:fill="auto"/>
            <w:noWrap/>
            <w:vAlign w:val="center"/>
            <w:hideMark/>
          </w:tcPr>
          <w:p w14:paraId="757C17F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4AF7C3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82.00%</w:t>
            </w:r>
          </w:p>
        </w:tc>
        <w:tc>
          <w:tcPr>
            <w:tcW w:w="2918" w:type="dxa"/>
            <w:tcBorders>
              <w:top w:val="nil"/>
              <w:left w:val="nil"/>
              <w:bottom w:val="nil"/>
              <w:right w:val="nil"/>
            </w:tcBorders>
            <w:shd w:val="clear" w:color="auto" w:fill="auto"/>
            <w:noWrap/>
            <w:vAlign w:val="center"/>
            <w:hideMark/>
          </w:tcPr>
          <w:p w14:paraId="4B3C8FE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6D69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0D0132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28.75%</w:t>
            </w:r>
          </w:p>
        </w:tc>
      </w:tr>
      <w:tr w:rsidR="00F92342" w14:paraId="1C68F30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DAE389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中证新能源汽车产业指数收益率</w:t>
            </w:r>
          </w:p>
        </w:tc>
        <w:tc>
          <w:tcPr>
            <w:tcW w:w="1135" w:type="dxa"/>
            <w:tcBorders>
              <w:top w:val="nil"/>
              <w:left w:val="nil"/>
              <w:bottom w:val="nil"/>
              <w:right w:val="nil"/>
            </w:tcBorders>
            <w:shd w:val="clear" w:color="auto" w:fill="auto"/>
            <w:noWrap/>
            <w:vAlign w:val="center"/>
            <w:hideMark/>
          </w:tcPr>
          <w:p w14:paraId="3FBED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4ADE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2E35D51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23CC5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5081BE2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27.14%</w:t>
            </w:r>
          </w:p>
        </w:tc>
      </w:tr>
      <w:tr w:rsidR="00F92342" w14:paraId="572C1A0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141107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3822724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1C874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52.50%</w:t>
            </w:r>
          </w:p>
        </w:tc>
        <w:tc>
          <w:tcPr>
            <w:tcW w:w="2918" w:type="dxa"/>
            <w:tcBorders>
              <w:top w:val="nil"/>
              <w:left w:val="nil"/>
              <w:bottom w:val="nil"/>
              <w:right w:val="nil"/>
            </w:tcBorders>
            <w:shd w:val="clear" w:color="auto" w:fill="auto"/>
            <w:noWrap/>
            <w:vAlign w:val="center"/>
            <w:hideMark/>
          </w:tcPr>
          <w:p w14:paraId="0C32509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恒生指数收益率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使用估值汇率折算</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014985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C8D6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21D21B4D"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1EE49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中证内地低碳经济主题指数收益率</w:t>
            </w:r>
          </w:p>
        </w:tc>
        <w:tc>
          <w:tcPr>
            <w:tcW w:w="1135" w:type="dxa"/>
            <w:tcBorders>
              <w:top w:val="nil"/>
              <w:left w:val="nil"/>
              <w:bottom w:val="single" w:sz="4" w:space="0" w:color="auto"/>
              <w:right w:val="nil"/>
            </w:tcBorders>
            <w:shd w:val="clear" w:color="auto" w:fill="auto"/>
            <w:noWrap/>
            <w:vAlign w:val="center"/>
            <w:hideMark/>
          </w:tcPr>
          <w:p w14:paraId="3D844C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178797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47BFA85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1EA8CE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single" w:sz="4" w:space="0" w:color="auto"/>
              <w:right w:val="nil"/>
            </w:tcBorders>
            <w:shd w:val="clear" w:color="auto" w:fill="auto"/>
            <w:noWrap/>
            <w:vAlign w:val="center"/>
            <w:hideMark/>
          </w:tcPr>
          <w:p w14:paraId="4D03B20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4A359AF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146E2182"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半导体行业股指基准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6008251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384757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7B9A5AD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半导体行业债指基准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B9B244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39CB602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44D345B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05865F1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0EFB47D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w:t>
            </w:r>
          </w:p>
        </w:tc>
        <w:tc>
          <w:tcPr>
            <w:tcW w:w="1476" w:type="dxa"/>
            <w:tcBorders>
              <w:top w:val="single" w:sz="4" w:space="0" w:color="auto"/>
              <w:left w:val="nil"/>
              <w:bottom w:val="nil"/>
              <w:right w:val="nil"/>
            </w:tcBorders>
            <w:shd w:val="clear" w:color="auto" w:fill="auto"/>
            <w:noWrap/>
            <w:vAlign w:val="center"/>
            <w:hideMark/>
          </w:tcPr>
          <w:p w14:paraId="58FF72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64.19%</w:t>
            </w:r>
          </w:p>
        </w:tc>
        <w:tc>
          <w:tcPr>
            <w:tcW w:w="2918" w:type="dxa"/>
            <w:tcBorders>
              <w:top w:val="single" w:sz="4" w:space="0" w:color="auto"/>
              <w:left w:val="nil"/>
              <w:bottom w:val="nil"/>
              <w:right w:val="nil"/>
            </w:tcBorders>
            <w:shd w:val="clear" w:color="auto" w:fill="auto"/>
            <w:noWrap/>
            <w:vAlign w:val="center"/>
            <w:hideMark/>
          </w:tcPr>
          <w:p w14:paraId="5ADD191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6F18BE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w:t>
            </w:r>
          </w:p>
        </w:tc>
        <w:tc>
          <w:tcPr>
            <w:tcW w:w="1476" w:type="dxa"/>
            <w:gridSpan w:val="2"/>
            <w:tcBorders>
              <w:top w:val="single" w:sz="4" w:space="0" w:color="auto"/>
              <w:left w:val="nil"/>
              <w:bottom w:val="nil"/>
              <w:right w:val="nil"/>
            </w:tcBorders>
            <w:shd w:val="clear" w:color="auto" w:fill="auto"/>
            <w:noWrap/>
            <w:vAlign w:val="center"/>
            <w:hideMark/>
          </w:tcPr>
          <w:p w14:paraId="233F0C9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32.19%</w:t>
            </w:r>
          </w:p>
        </w:tc>
      </w:tr>
      <w:tr w:rsidR="00F92342" w14:paraId="79DC9F6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8273CA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44F8A9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tcBorders>
              <w:top w:val="nil"/>
              <w:left w:val="nil"/>
              <w:bottom w:val="nil"/>
              <w:right w:val="nil"/>
            </w:tcBorders>
            <w:shd w:val="clear" w:color="auto" w:fill="auto"/>
            <w:noWrap/>
            <w:vAlign w:val="center"/>
            <w:hideMark/>
          </w:tcPr>
          <w:p w14:paraId="4A84C9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69.55%</w:t>
            </w:r>
          </w:p>
        </w:tc>
        <w:tc>
          <w:tcPr>
            <w:tcW w:w="2918" w:type="dxa"/>
            <w:tcBorders>
              <w:top w:val="nil"/>
              <w:left w:val="nil"/>
              <w:bottom w:val="nil"/>
              <w:right w:val="nil"/>
            </w:tcBorders>
            <w:shd w:val="clear" w:color="auto" w:fill="auto"/>
            <w:noWrap/>
            <w:vAlign w:val="center"/>
            <w:hideMark/>
          </w:tcPr>
          <w:p w14:paraId="6338DCB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7792D0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1476" w:type="dxa"/>
            <w:gridSpan w:val="2"/>
            <w:tcBorders>
              <w:top w:val="nil"/>
              <w:left w:val="nil"/>
              <w:bottom w:val="nil"/>
              <w:right w:val="nil"/>
            </w:tcBorders>
            <w:shd w:val="clear" w:color="auto" w:fill="auto"/>
            <w:noWrap/>
            <w:vAlign w:val="center"/>
            <w:hideMark/>
          </w:tcPr>
          <w:p w14:paraId="1EC154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28.70%</w:t>
            </w:r>
          </w:p>
        </w:tc>
      </w:tr>
      <w:tr w:rsidR="00F92342" w14:paraId="70F14BA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FDC8DA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6B3352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AEEFF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64.00%</w:t>
            </w:r>
          </w:p>
        </w:tc>
        <w:tc>
          <w:tcPr>
            <w:tcW w:w="2918" w:type="dxa"/>
            <w:tcBorders>
              <w:top w:val="nil"/>
              <w:left w:val="nil"/>
              <w:bottom w:val="nil"/>
              <w:right w:val="nil"/>
            </w:tcBorders>
            <w:shd w:val="clear" w:color="auto" w:fill="auto"/>
            <w:noWrap/>
            <w:vAlign w:val="center"/>
            <w:hideMark/>
          </w:tcPr>
          <w:p w14:paraId="2DD0EB0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42D424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F9BA4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41.19%</w:t>
            </w:r>
          </w:p>
        </w:tc>
      </w:tr>
      <w:tr w:rsidR="00F92342" w14:paraId="737B4506"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3F04A1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lastRenderedPageBreak/>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456468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5CDC15C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67.00%</w:t>
            </w:r>
          </w:p>
        </w:tc>
        <w:tc>
          <w:tcPr>
            <w:tcW w:w="2918" w:type="dxa"/>
            <w:tcBorders>
              <w:top w:val="nil"/>
              <w:left w:val="nil"/>
              <w:bottom w:val="nil"/>
              <w:right w:val="nil"/>
            </w:tcBorders>
            <w:shd w:val="clear" w:color="auto" w:fill="auto"/>
            <w:noWrap/>
            <w:vAlign w:val="center"/>
            <w:hideMark/>
          </w:tcPr>
          <w:p w14:paraId="023CA61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BBBE9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22FA32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184783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B13E8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5G</w:t>
            </w:r>
            <w:r>
              <w:rPr>
                <w:rFonts w:ascii="Arial" w:eastAsia="等线" w:hAnsi="Arial" w:cs="Arial"/>
                <w:b/>
                <w:bCs/>
                <w:color w:val="0F243E"/>
                <w:sz w:val="16"/>
                <w:szCs w:val="16"/>
                <w:lang w:eastAsia="zh-CN"/>
              </w:rPr>
              <w:t>通信主题指数收益率</w:t>
            </w:r>
          </w:p>
        </w:tc>
        <w:tc>
          <w:tcPr>
            <w:tcW w:w="1135" w:type="dxa"/>
            <w:tcBorders>
              <w:top w:val="nil"/>
              <w:left w:val="nil"/>
              <w:bottom w:val="nil"/>
              <w:right w:val="nil"/>
            </w:tcBorders>
            <w:shd w:val="clear" w:color="auto" w:fill="auto"/>
            <w:noWrap/>
            <w:vAlign w:val="center"/>
            <w:hideMark/>
          </w:tcPr>
          <w:p w14:paraId="25CFF5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619661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076EBC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E3C98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5B024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0CF5356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20424E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国证半导体芯片指数收益率</w:t>
            </w:r>
          </w:p>
        </w:tc>
        <w:tc>
          <w:tcPr>
            <w:tcW w:w="1135" w:type="dxa"/>
            <w:tcBorders>
              <w:top w:val="nil"/>
              <w:left w:val="nil"/>
              <w:bottom w:val="nil"/>
              <w:right w:val="nil"/>
            </w:tcBorders>
            <w:shd w:val="clear" w:color="auto" w:fill="auto"/>
            <w:noWrap/>
            <w:vAlign w:val="center"/>
            <w:hideMark/>
          </w:tcPr>
          <w:p w14:paraId="44088CB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0BC17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c>
          <w:tcPr>
            <w:tcW w:w="2918" w:type="dxa"/>
            <w:tcBorders>
              <w:top w:val="nil"/>
              <w:left w:val="nil"/>
              <w:bottom w:val="nil"/>
              <w:right w:val="nil"/>
            </w:tcBorders>
            <w:shd w:val="clear" w:color="auto" w:fill="auto"/>
            <w:noWrap/>
            <w:vAlign w:val="center"/>
            <w:hideMark/>
          </w:tcPr>
          <w:p w14:paraId="3909E2C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09" w:type="dxa"/>
            <w:tcBorders>
              <w:top w:val="nil"/>
              <w:left w:val="nil"/>
              <w:bottom w:val="nil"/>
              <w:right w:val="nil"/>
            </w:tcBorders>
            <w:shd w:val="clear" w:color="auto" w:fill="auto"/>
            <w:noWrap/>
            <w:vAlign w:val="center"/>
            <w:hideMark/>
          </w:tcPr>
          <w:p w14:paraId="4B4D990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AF46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42.00%</w:t>
            </w:r>
          </w:p>
        </w:tc>
      </w:tr>
      <w:tr w:rsidR="00F92342" w14:paraId="77E82D3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0E104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54932A3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CC66EB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nil"/>
              <w:left w:val="nil"/>
              <w:bottom w:val="nil"/>
              <w:right w:val="nil"/>
            </w:tcBorders>
            <w:shd w:val="clear" w:color="auto" w:fill="auto"/>
            <w:noWrap/>
            <w:vAlign w:val="center"/>
            <w:hideMark/>
          </w:tcPr>
          <w:p w14:paraId="539174C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中债总全价指数收益率</w:t>
            </w:r>
          </w:p>
        </w:tc>
        <w:tc>
          <w:tcPr>
            <w:tcW w:w="1109" w:type="dxa"/>
            <w:tcBorders>
              <w:top w:val="nil"/>
              <w:left w:val="nil"/>
              <w:bottom w:val="nil"/>
              <w:right w:val="nil"/>
            </w:tcBorders>
            <w:shd w:val="clear" w:color="auto" w:fill="auto"/>
            <w:noWrap/>
            <w:vAlign w:val="center"/>
            <w:hideMark/>
          </w:tcPr>
          <w:p w14:paraId="0E3A1F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66E4F0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08B3690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1C34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中证高端装备制造指数收益率</w:t>
            </w:r>
          </w:p>
        </w:tc>
        <w:tc>
          <w:tcPr>
            <w:tcW w:w="1135" w:type="dxa"/>
            <w:tcBorders>
              <w:top w:val="nil"/>
              <w:left w:val="nil"/>
              <w:bottom w:val="nil"/>
              <w:right w:val="nil"/>
            </w:tcBorders>
            <w:shd w:val="clear" w:color="auto" w:fill="auto"/>
            <w:noWrap/>
            <w:vAlign w:val="center"/>
            <w:hideMark/>
          </w:tcPr>
          <w:p w14:paraId="5204091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FDCB0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86.25%</w:t>
            </w:r>
          </w:p>
        </w:tc>
        <w:tc>
          <w:tcPr>
            <w:tcW w:w="2918" w:type="dxa"/>
            <w:tcBorders>
              <w:top w:val="nil"/>
              <w:left w:val="nil"/>
              <w:bottom w:val="nil"/>
              <w:right w:val="nil"/>
            </w:tcBorders>
            <w:shd w:val="clear" w:color="auto" w:fill="auto"/>
            <w:noWrap/>
            <w:vAlign w:val="center"/>
            <w:hideMark/>
          </w:tcPr>
          <w:p w14:paraId="507C9FE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580F74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3F3529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25.00%</w:t>
            </w:r>
          </w:p>
        </w:tc>
      </w:tr>
      <w:tr w:rsidR="00F92342" w14:paraId="5D69FB4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5D02D8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中华交易服务半导体芯片行业指数收益率</w:t>
            </w:r>
          </w:p>
        </w:tc>
        <w:tc>
          <w:tcPr>
            <w:tcW w:w="1135" w:type="dxa"/>
            <w:tcBorders>
              <w:top w:val="nil"/>
              <w:left w:val="nil"/>
              <w:bottom w:val="nil"/>
              <w:right w:val="nil"/>
            </w:tcBorders>
            <w:shd w:val="clear" w:color="auto" w:fill="auto"/>
            <w:noWrap/>
            <w:vAlign w:val="center"/>
            <w:hideMark/>
          </w:tcPr>
          <w:p w14:paraId="7E6F1F3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080D109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8415C1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同业存款利率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7E77FC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0F98E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10.00%</w:t>
            </w:r>
          </w:p>
        </w:tc>
      </w:tr>
      <w:tr w:rsidR="00F92342" w14:paraId="219158C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45D9F4C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中证工业</w:t>
            </w:r>
            <w:r>
              <w:rPr>
                <w:rFonts w:ascii="Arial" w:eastAsia="等线" w:hAnsi="Arial" w:cs="Arial"/>
                <w:b/>
                <w:bCs/>
                <w:color w:val="0F243E"/>
                <w:sz w:val="16"/>
                <w:szCs w:val="16"/>
              </w:rPr>
              <w:t>4.0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5590B7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2BEF06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68.33%</w:t>
            </w:r>
          </w:p>
        </w:tc>
        <w:tc>
          <w:tcPr>
            <w:tcW w:w="2918" w:type="dxa"/>
            <w:tcBorders>
              <w:top w:val="nil"/>
              <w:left w:val="nil"/>
              <w:bottom w:val="single" w:sz="4" w:space="0" w:color="auto"/>
              <w:right w:val="nil"/>
            </w:tcBorders>
            <w:shd w:val="clear" w:color="auto" w:fill="auto"/>
            <w:noWrap/>
            <w:vAlign w:val="center"/>
            <w:hideMark/>
          </w:tcPr>
          <w:p w14:paraId="0BE3DE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中债总财富指数收益率</w:t>
            </w:r>
          </w:p>
        </w:tc>
        <w:tc>
          <w:tcPr>
            <w:tcW w:w="1109" w:type="dxa"/>
            <w:tcBorders>
              <w:top w:val="nil"/>
              <w:left w:val="nil"/>
              <w:bottom w:val="single" w:sz="4" w:space="0" w:color="auto"/>
              <w:right w:val="nil"/>
            </w:tcBorders>
            <w:shd w:val="clear" w:color="auto" w:fill="auto"/>
            <w:noWrap/>
            <w:vAlign w:val="center"/>
            <w:hideMark/>
          </w:tcPr>
          <w:p w14:paraId="3FC995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single" w:sz="4" w:space="0" w:color="auto"/>
              <w:right w:val="nil"/>
            </w:tcBorders>
            <w:shd w:val="clear" w:color="auto" w:fill="auto"/>
            <w:noWrap/>
            <w:vAlign w:val="center"/>
            <w:hideMark/>
          </w:tcPr>
          <w:p w14:paraId="33716DE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46.67%</w:t>
            </w:r>
          </w:p>
        </w:tc>
      </w:tr>
      <w:tr w:rsidR="00F92342" w14:paraId="4DC41D1A"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008D1A4"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生物科技行业股指基准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4D5F759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22FFD9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6620B032"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生物科技行业债指基准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0F14514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97F9000"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938AB23"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779D44C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1135" w:type="dxa"/>
            <w:tcBorders>
              <w:top w:val="single" w:sz="4" w:space="0" w:color="auto"/>
              <w:left w:val="nil"/>
              <w:bottom w:val="nil"/>
              <w:right w:val="nil"/>
            </w:tcBorders>
            <w:shd w:val="clear" w:color="auto" w:fill="auto"/>
            <w:noWrap/>
            <w:vAlign w:val="center"/>
            <w:hideMark/>
          </w:tcPr>
          <w:p w14:paraId="6763D04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w:t>
            </w:r>
          </w:p>
        </w:tc>
        <w:tc>
          <w:tcPr>
            <w:tcW w:w="1476" w:type="dxa"/>
            <w:tcBorders>
              <w:top w:val="single" w:sz="4" w:space="0" w:color="auto"/>
              <w:left w:val="nil"/>
              <w:bottom w:val="nil"/>
              <w:right w:val="nil"/>
            </w:tcBorders>
            <w:shd w:val="clear" w:color="auto" w:fill="auto"/>
            <w:noWrap/>
            <w:vAlign w:val="center"/>
            <w:hideMark/>
          </w:tcPr>
          <w:p w14:paraId="7B39C2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single" w:sz="4" w:space="0" w:color="auto"/>
              <w:left w:val="nil"/>
              <w:bottom w:val="nil"/>
              <w:right w:val="nil"/>
            </w:tcBorders>
            <w:shd w:val="clear" w:color="auto" w:fill="auto"/>
            <w:noWrap/>
            <w:vAlign w:val="center"/>
            <w:hideMark/>
          </w:tcPr>
          <w:p w14:paraId="71E3D35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4C3090F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single" w:sz="4" w:space="0" w:color="auto"/>
              <w:left w:val="nil"/>
              <w:bottom w:val="nil"/>
              <w:right w:val="nil"/>
            </w:tcBorders>
            <w:shd w:val="clear" w:color="auto" w:fill="auto"/>
            <w:noWrap/>
            <w:vAlign w:val="center"/>
            <w:hideMark/>
          </w:tcPr>
          <w:p w14:paraId="7E37440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r>
      <w:tr w:rsidR="00F92342" w14:paraId="323854E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0A30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67EE20A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1476" w:type="dxa"/>
            <w:tcBorders>
              <w:top w:val="nil"/>
              <w:left w:val="nil"/>
              <w:bottom w:val="nil"/>
              <w:right w:val="nil"/>
            </w:tcBorders>
            <w:shd w:val="clear" w:color="auto" w:fill="auto"/>
            <w:noWrap/>
            <w:vAlign w:val="center"/>
            <w:hideMark/>
          </w:tcPr>
          <w:p w14:paraId="35684C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66.91%</w:t>
            </w:r>
          </w:p>
        </w:tc>
        <w:tc>
          <w:tcPr>
            <w:tcW w:w="2918" w:type="dxa"/>
            <w:tcBorders>
              <w:top w:val="nil"/>
              <w:left w:val="nil"/>
              <w:bottom w:val="nil"/>
              <w:right w:val="nil"/>
            </w:tcBorders>
            <w:shd w:val="clear" w:color="auto" w:fill="auto"/>
            <w:noWrap/>
            <w:vAlign w:val="center"/>
            <w:hideMark/>
          </w:tcPr>
          <w:p w14:paraId="7D38EDA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0C01DBF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E6134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314.29%</w:t>
            </w:r>
          </w:p>
        </w:tc>
      </w:tr>
      <w:tr w:rsidR="00F92342" w14:paraId="6B648BC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1DA5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中证全指医药卫生指数收益率</w:t>
            </w:r>
          </w:p>
        </w:tc>
        <w:tc>
          <w:tcPr>
            <w:tcW w:w="1135" w:type="dxa"/>
            <w:tcBorders>
              <w:top w:val="nil"/>
              <w:left w:val="nil"/>
              <w:bottom w:val="nil"/>
              <w:right w:val="nil"/>
            </w:tcBorders>
            <w:shd w:val="clear" w:color="auto" w:fill="auto"/>
            <w:noWrap/>
            <w:vAlign w:val="center"/>
            <w:hideMark/>
          </w:tcPr>
          <w:p w14:paraId="2A5528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00548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05BE8BF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A0D5F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6E165FC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77C6FFE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B5397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申万医药生物行业指数收益率</w:t>
            </w:r>
          </w:p>
        </w:tc>
        <w:tc>
          <w:tcPr>
            <w:tcW w:w="1135" w:type="dxa"/>
            <w:tcBorders>
              <w:top w:val="nil"/>
              <w:left w:val="nil"/>
              <w:bottom w:val="nil"/>
              <w:right w:val="nil"/>
            </w:tcBorders>
            <w:shd w:val="clear" w:color="auto" w:fill="auto"/>
            <w:noWrap/>
            <w:vAlign w:val="center"/>
            <w:hideMark/>
          </w:tcPr>
          <w:p w14:paraId="20D5CED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456E0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290F31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46DCF7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5FD0C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21.25%</w:t>
            </w:r>
          </w:p>
        </w:tc>
      </w:tr>
      <w:tr w:rsidR="00F92342" w14:paraId="0159D86F"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53A6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中证细分医药产业主题指数收益率</w:t>
            </w:r>
          </w:p>
        </w:tc>
        <w:tc>
          <w:tcPr>
            <w:tcW w:w="1135" w:type="dxa"/>
            <w:tcBorders>
              <w:top w:val="nil"/>
              <w:left w:val="nil"/>
              <w:bottom w:val="nil"/>
              <w:right w:val="nil"/>
            </w:tcBorders>
            <w:shd w:val="clear" w:color="auto" w:fill="auto"/>
            <w:noWrap/>
            <w:vAlign w:val="center"/>
            <w:hideMark/>
          </w:tcPr>
          <w:p w14:paraId="2C2BDE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A0A868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0D820F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E76875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1432F1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8B6C9A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ED0D2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中证生物医药指数收益率</w:t>
            </w:r>
          </w:p>
        </w:tc>
        <w:tc>
          <w:tcPr>
            <w:tcW w:w="1135" w:type="dxa"/>
            <w:tcBorders>
              <w:top w:val="nil"/>
              <w:left w:val="nil"/>
              <w:bottom w:val="nil"/>
              <w:right w:val="nil"/>
            </w:tcBorders>
            <w:shd w:val="clear" w:color="auto" w:fill="auto"/>
            <w:noWrap/>
            <w:vAlign w:val="center"/>
            <w:hideMark/>
          </w:tcPr>
          <w:p w14:paraId="5C263B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41B72C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2B36814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09AA1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3ECF7B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21.11%</w:t>
            </w:r>
          </w:p>
        </w:tc>
      </w:tr>
      <w:tr w:rsidR="00F92342" w14:paraId="05E35F9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763730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D4169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17D15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66AB162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4C7E2B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F6878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6050675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D76B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中证精准医疗主题指数收益率</w:t>
            </w:r>
          </w:p>
        </w:tc>
        <w:tc>
          <w:tcPr>
            <w:tcW w:w="1135" w:type="dxa"/>
            <w:tcBorders>
              <w:top w:val="nil"/>
              <w:left w:val="nil"/>
              <w:bottom w:val="nil"/>
              <w:right w:val="nil"/>
            </w:tcBorders>
            <w:shd w:val="clear" w:color="auto" w:fill="auto"/>
            <w:noWrap/>
            <w:vAlign w:val="center"/>
            <w:hideMark/>
          </w:tcPr>
          <w:p w14:paraId="29314A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6309A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043937CA"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21DE44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FCB2B7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537BA45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799B4C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中证生物科技主题指数收益率</w:t>
            </w:r>
          </w:p>
        </w:tc>
        <w:tc>
          <w:tcPr>
            <w:tcW w:w="1135" w:type="dxa"/>
            <w:tcBorders>
              <w:top w:val="nil"/>
              <w:left w:val="nil"/>
              <w:bottom w:val="nil"/>
              <w:right w:val="nil"/>
            </w:tcBorders>
            <w:shd w:val="clear" w:color="auto" w:fill="auto"/>
            <w:noWrap/>
            <w:vAlign w:val="center"/>
            <w:hideMark/>
          </w:tcPr>
          <w:p w14:paraId="2EB9CC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28E455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5A9EC8C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中债总指数</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收益率</w:t>
            </w:r>
          </w:p>
        </w:tc>
        <w:tc>
          <w:tcPr>
            <w:tcW w:w="1109" w:type="dxa"/>
            <w:tcBorders>
              <w:top w:val="nil"/>
              <w:left w:val="nil"/>
              <w:bottom w:val="nil"/>
              <w:right w:val="nil"/>
            </w:tcBorders>
            <w:shd w:val="clear" w:color="auto" w:fill="auto"/>
            <w:noWrap/>
            <w:vAlign w:val="center"/>
            <w:hideMark/>
          </w:tcPr>
          <w:p w14:paraId="188A69D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10A4E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1804B32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95D7F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中证医药指数收益率</w:t>
            </w:r>
          </w:p>
        </w:tc>
        <w:tc>
          <w:tcPr>
            <w:tcW w:w="1135" w:type="dxa"/>
            <w:tcBorders>
              <w:top w:val="nil"/>
              <w:left w:val="nil"/>
              <w:bottom w:val="nil"/>
              <w:right w:val="nil"/>
            </w:tcBorders>
            <w:shd w:val="clear" w:color="auto" w:fill="auto"/>
            <w:noWrap/>
            <w:vAlign w:val="center"/>
            <w:hideMark/>
          </w:tcPr>
          <w:p w14:paraId="22F979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57C863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82.50%</w:t>
            </w:r>
          </w:p>
        </w:tc>
        <w:tc>
          <w:tcPr>
            <w:tcW w:w="2918" w:type="dxa"/>
            <w:tcBorders>
              <w:top w:val="nil"/>
              <w:left w:val="nil"/>
              <w:bottom w:val="nil"/>
              <w:right w:val="nil"/>
            </w:tcBorders>
            <w:shd w:val="clear" w:color="auto" w:fill="auto"/>
            <w:noWrap/>
            <w:vAlign w:val="center"/>
            <w:hideMark/>
          </w:tcPr>
          <w:p w14:paraId="3DA79BF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6217E7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A0E0C8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1B6A6C37"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0759938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医药卫生指数收益率</w:t>
            </w:r>
          </w:p>
        </w:tc>
        <w:tc>
          <w:tcPr>
            <w:tcW w:w="1135" w:type="dxa"/>
            <w:tcBorders>
              <w:top w:val="nil"/>
              <w:left w:val="nil"/>
              <w:bottom w:val="single" w:sz="4" w:space="0" w:color="auto"/>
              <w:right w:val="nil"/>
            </w:tcBorders>
            <w:shd w:val="clear" w:color="auto" w:fill="auto"/>
            <w:noWrap/>
            <w:vAlign w:val="center"/>
            <w:hideMark/>
          </w:tcPr>
          <w:p w14:paraId="127E1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single" w:sz="4" w:space="0" w:color="auto"/>
              <w:right w:val="nil"/>
            </w:tcBorders>
            <w:shd w:val="clear" w:color="auto" w:fill="auto"/>
            <w:noWrap/>
            <w:vAlign w:val="center"/>
            <w:hideMark/>
          </w:tcPr>
          <w:p w14:paraId="09D4781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single" w:sz="4" w:space="0" w:color="auto"/>
              <w:right w:val="nil"/>
            </w:tcBorders>
            <w:shd w:val="clear" w:color="auto" w:fill="auto"/>
            <w:noWrap/>
            <w:vAlign w:val="center"/>
            <w:hideMark/>
          </w:tcPr>
          <w:p w14:paraId="3710C34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single" w:sz="4" w:space="0" w:color="auto"/>
              <w:right w:val="nil"/>
            </w:tcBorders>
            <w:shd w:val="clear" w:color="auto" w:fill="auto"/>
            <w:noWrap/>
            <w:vAlign w:val="center"/>
            <w:hideMark/>
          </w:tcPr>
          <w:p w14:paraId="191F82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gridSpan w:val="2"/>
            <w:tcBorders>
              <w:top w:val="nil"/>
              <w:left w:val="nil"/>
              <w:bottom w:val="single" w:sz="4" w:space="0" w:color="auto"/>
              <w:right w:val="nil"/>
            </w:tcBorders>
            <w:shd w:val="clear" w:color="auto" w:fill="auto"/>
            <w:noWrap/>
            <w:vAlign w:val="center"/>
            <w:hideMark/>
          </w:tcPr>
          <w:p w14:paraId="68EB06A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1F9164A1"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5CC63B04"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银行行业股指基准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3BD2FBC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117CF3"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41F33B9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银行行业债指基准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2B41C40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5094464"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6D565D7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7CE461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2F638C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single" w:sz="4" w:space="0" w:color="auto"/>
              <w:left w:val="nil"/>
              <w:bottom w:val="nil"/>
              <w:right w:val="nil"/>
            </w:tcBorders>
            <w:shd w:val="clear" w:color="auto" w:fill="auto"/>
            <w:noWrap/>
            <w:vAlign w:val="center"/>
            <w:hideMark/>
          </w:tcPr>
          <w:p w14:paraId="190E90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63.65%</w:t>
            </w:r>
          </w:p>
        </w:tc>
        <w:tc>
          <w:tcPr>
            <w:tcW w:w="2918" w:type="dxa"/>
            <w:tcBorders>
              <w:top w:val="single" w:sz="4" w:space="0" w:color="auto"/>
              <w:left w:val="nil"/>
              <w:bottom w:val="nil"/>
              <w:right w:val="nil"/>
            </w:tcBorders>
            <w:shd w:val="clear" w:color="auto" w:fill="auto"/>
            <w:noWrap/>
            <w:vAlign w:val="center"/>
            <w:hideMark/>
          </w:tcPr>
          <w:p w14:paraId="5ED7ECE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1CA982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single" w:sz="4" w:space="0" w:color="auto"/>
              <w:left w:val="nil"/>
              <w:bottom w:val="nil"/>
              <w:right w:val="nil"/>
            </w:tcBorders>
            <w:shd w:val="clear" w:color="auto" w:fill="auto"/>
            <w:noWrap/>
            <w:vAlign w:val="center"/>
            <w:hideMark/>
          </w:tcPr>
          <w:p w14:paraId="2E0769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32.27%</w:t>
            </w:r>
          </w:p>
        </w:tc>
      </w:tr>
      <w:tr w:rsidR="00F92342" w14:paraId="7F1A45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4C38C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中证银行指数收益率</w:t>
            </w:r>
          </w:p>
        </w:tc>
        <w:tc>
          <w:tcPr>
            <w:tcW w:w="1135" w:type="dxa"/>
            <w:tcBorders>
              <w:top w:val="nil"/>
              <w:left w:val="nil"/>
              <w:bottom w:val="nil"/>
              <w:right w:val="nil"/>
            </w:tcBorders>
            <w:shd w:val="clear" w:color="auto" w:fill="auto"/>
            <w:noWrap/>
            <w:vAlign w:val="center"/>
            <w:hideMark/>
          </w:tcPr>
          <w:p w14:paraId="782A29A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tcBorders>
              <w:top w:val="nil"/>
              <w:left w:val="nil"/>
              <w:bottom w:val="nil"/>
              <w:right w:val="nil"/>
            </w:tcBorders>
            <w:shd w:val="clear" w:color="auto" w:fill="auto"/>
            <w:noWrap/>
            <w:vAlign w:val="center"/>
            <w:hideMark/>
          </w:tcPr>
          <w:p w14:paraId="048C57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72.38%</w:t>
            </w:r>
          </w:p>
        </w:tc>
        <w:tc>
          <w:tcPr>
            <w:tcW w:w="2918" w:type="dxa"/>
            <w:tcBorders>
              <w:top w:val="nil"/>
              <w:left w:val="nil"/>
              <w:bottom w:val="nil"/>
              <w:right w:val="nil"/>
            </w:tcBorders>
            <w:shd w:val="clear" w:color="auto" w:fill="auto"/>
            <w:noWrap/>
            <w:vAlign w:val="center"/>
            <w:hideMark/>
          </w:tcPr>
          <w:p w14:paraId="16F7BC8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90910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2BD40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2E73B5C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DF0FBE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0FCD45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4E69E3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70.63%</w:t>
            </w:r>
          </w:p>
        </w:tc>
        <w:tc>
          <w:tcPr>
            <w:tcW w:w="2918" w:type="dxa"/>
            <w:tcBorders>
              <w:top w:val="nil"/>
              <w:left w:val="nil"/>
              <w:bottom w:val="nil"/>
              <w:right w:val="nil"/>
            </w:tcBorders>
            <w:shd w:val="clear" w:color="auto" w:fill="auto"/>
            <w:noWrap/>
            <w:vAlign w:val="center"/>
            <w:hideMark/>
          </w:tcPr>
          <w:p w14:paraId="4F4A32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6C8888A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4CF001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26.43%</w:t>
            </w:r>
          </w:p>
        </w:tc>
      </w:tr>
      <w:tr w:rsidR="00F92342" w14:paraId="538E202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122EF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35" w:type="dxa"/>
            <w:tcBorders>
              <w:top w:val="nil"/>
              <w:left w:val="nil"/>
              <w:bottom w:val="nil"/>
              <w:right w:val="nil"/>
            </w:tcBorders>
            <w:shd w:val="clear" w:color="auto" w:fill="auto"/>
            <w:noWrap/>
            <w:vAlign w:val="center"/>
            <w:hideMark/>
          </w:tcPr>
          <w:p w14:paraId="5CA0D4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210369B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83.33%</w:t>
            </w:r>
          </w:p>
        </w:tc>
        <w:tc>
          <w:tcPr>
            <w:tcW w:w="2918" w:type="dxa"/>
            <w:tcBorders>
              <w:top w:val="nil"/>
              <w:left w:val="nil"/>
              <w:bottom w:val="nil"/>
              <w:right w:val="nil"/>
            </w:tcBorders>
            <w:shd w:val="clear" w:color="auto" w:fill="auto"/>
            <w:noWrap/>
            <w:vAlign w:val="center"/>
            <w:hideMark/>
          </w:tcPr>
          <w:p w14:paraId="1AFB69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3A177D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nil"/>
              <w:left w:val="nil"/>
              <w:bottom w:val="nil"/>
              <w:right w:val="nil"/>
            </w:tcBorders>
            <w:shd w:val="clear" w:color="auto" w:fill="auto"/>
            <w:noWrap/>
            <w:vAlign w:val="center"/>
            <w:hideMark/>
          </w:tcPr>
          <w:p w14:paraId="322514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5B4E31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E7417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35" w:type="dxa"/>
            <w:tcBorders>
              <w:top w:val="nil"/>
              <w:left w:val="nil"/>
              <w:bottom w:val="nil"/>
              <w:right w:val="nil"/>
            </w:tcBorders>
            <w:shd w:val="clear" w:color="auto" w:fill="auto"/>
            <w:noWrap/>
            <w:vAlign w:val="center"/>
            <w:hideMark/>
          </w:tcPr>
          <w:p w14:paraId="16AD4D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18E202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1474C6A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5EF67F0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174723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22F3941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1C7F1D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4E964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60F5A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46203ED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中债国债总指数</w:t>
            </w:r>
            <w:r>
              <w:rPr>
                <w:rFonts w:ascii="Arial" w:eastAsia="等线" w:hAnsi="Arial" w:cs="Arial"/>
                <w:b/>
                <w:bCs/>
                <w:color w:val="0F243E"/>
                <w:sz w:val="16"/>
                <w:szCs w:val="16"/>
              </w:rPr>
              <w:t>(</w:t>
            </w:r>
            <w:r>
              <w:rPr>
                <w:rFonts w:ascii="Arial" w:eastAsia="等线" w:hAnsi="Arial" w:cs="Arial"/>
                <w:b/>
                <w:bCs/>
                <w:color w:val="0F243E"/>
                <w:sz w:val="16"/>
                <w:szCs w:val="16"/>
              </w:rPr>
              <w:t>全价</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5E17AA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4D070F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13.00%</w:t>
            </w:r>
          </w:p>
        </w:tc>
      </w:tr>
      <w:tr w:rsidR="00F92342" w14:paraId="1B79CDE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585D6D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红利低波动指数收益率</w:t>
            </w:r>
          </w:p>
        </w:tc>
        <w:tc>
          <w:tcPr>
            <w:tcW w:w="1135" w:type="dxa"/>
            <w:tcBorders>
              <w:top w:val="nil"/>
              <w:left w:val="nil"/>
              <w:bottom w:val="nil"/>
              <w:right w:val="nil"/>
            </w:tcBorders>
            <w:shd w:val="clear" w:color="auto" w:fill="auto"/>
            <w:noWrap/>
            <w:vAlign w:val="center"/>
            <w:hideMark/>
          </w:tcPr>
          <w:p w14:paraId="2A8F68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5ABBBA5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6EE905F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金融机构人民币活期存款基准利率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7C974E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3AFD48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EEDE89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ADD2F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央视财经</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026D482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357631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126518B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w:t>
            </w:r>
            <w:r>
              <w:rPr>
                <w:rFonts w:ascii="Arial" w:eastAsia="等线" w:hAnsi="Arial" w:cs="Arial"/>
                <w:b/>
                <w:bCs/>
                <w:color w:val="0F243E"/>
                <w:sz w:val="16"/>
                <w:szCs w:val="16"/>
              </w:rPr>
              <w:t>(</w:t>
            </w:r>
            <w:r>
              <w:rPr>
                <w:rFonts w:ascii="Arial" w:eastAsia="等线" w:hAnsi="Arial" w:cs="Arial"/>
                <w:b/>
                <w:bCs/>
                <w:color w:val="0F243E"/>
                <w:sz w:val="16"/>
                <w:szCs w:val="16"/>
              </w:rPr>
              <w:t>财富</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4B717B3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B900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45.00%</w:t>
            </w:r>
          </w:p>
        </w:tc>
      </w:tr>
      <w:tr w:rsidR="00F92342" w14:paraId="00466AC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80100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中证锐联基本面</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977AD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F5740A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4157EFF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银行同业存款利率</w:t>
            </w:r>
          </w:p>
        </w:tc>
        <w:tc>
          <w:tcPr>
            <w:tcW w:w="1109" w:type="dxa"/>
            <w:tcBorders>
              <w:top w:val="nil"/>
              <w:left w:val="nil"/>
              <w:bottom w:val="nil"/>
              <w:right w:val="nil"/>
            </w:tcBorders>
            <w:shd w:val="clear" w:color="auto" w:fill="auto"/>
            <w:noWrap/>
            <w:vAlign w:val="center"/>
            <w:hideMark/>
          </w:tcPr>
          <w:p w14:paraId="659D40B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C803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4DC8914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79FFB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中证浙江凤凰行动</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B5429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16DB7F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47.50%</w:t>
            </w:r>
          </w:p>
        </w:tc>
        <w:tc>
          <w:tcPr>
            <w:tcW w:w="2918" w:type="dxa"/>
            <w:tcBorders>
              <w:top w:val="nil"/>
              <w:left w:val="nil"/>
              <w:bottom w:val="nil"/>
              <w:right w:val="nil"/>
            </w:tcBorders>
            <w:shd w:val="clear" w:color="auto" w:fill="auto"/>
            <w:noWrap/>
            <w:vAlign w:val="center"/>
            <w:hideMark/>
          </w:tcPr>
          <w:p w14:paraId="7DAD27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76C38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5AE60E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26.67%</w:t>
            </w:r>
          </w:p>
        </w:tc>
      </w:tr>
      <w:tr w:rsidR="00694637" w:rsidRPr="008512B4" w14:paraId="5203B29B" w14:textId="77777777" w:rsidTr="00F92342">
        <w:trPr>
          <w:gridBefore w:val="1"/>
          <w:gridAfter w:val="1"/>
          <w:wBefore w:w="142" w:type="dxa"/>
          <w:wAfter w:w="450" w:type="dxa"/>
          <w:trHeight w:val="288"/>
        </w:trPr>
        <w:tc>
          <w:tcPr>
            <w:tcW w:w="10357" w:type="dxa"/>
            <w:gridSpan w:val="6"/>
            <w:tcBorders>
              <w:top w:val="single" w:sz="2" w:space="0" w:color="000000"/>
              <w:left w:val="nil"/>
              <w:bottom w:val="nil"/>
              <w:right w:val="nil"/>
            </w:tcBorders>
            <w:shd w:val="clear" w:color="auto" w:fill="auto"/>
            <w:noWrap/>
            <w:vAlign w:val="center"/>
          </w:tcPr>
          <w:p w14:paraId="36E388CB" w14:textId="2FA48453" w:rsidR="00694637" w:rsidRPr="008512B4" w:rsidRDefault="00694637" w:rsidP="0040539B">
            <w:pPr>
              <w:pStyle w:val="aff2"/>
              <w:ind w:leftChars="-45" w:left="-108"/>
            </w:pPr>
            <w:r w:rsidRPr="008512B4">
              <w:rPr>
                <w:rFonts w:hint="eastAsia"/>
              </w:rPr>
              <w:t>数据来源：</w:t>
            </w:r>
            <w:r>
              <w:t>W</w:t>
            </w:r>
            <w:r>
              <w:rPr>
                <w:rFonts w:hint="eastAsia"/>
              </w:rPr>
              <w:t>ind</w:t>
            </w:r>
            <w:r w:rsidRPr="008512B4">
              <w:rPr>
                <w:rFonts w:hint="eastAsia"/>
              </w:rPr>
              <w:t>、广发证券发展研究中心</w:t>
            </w:r>
          </w:p>
        </w:tc>
      </w:tr>
    </w:tbl>
    <w:p w14:paraId="4725E5A3" w14:textId="6D945FCA" w:rsidR="00742EE3" w:rsidRPr="009B1FB9" w:rsidRDefault="009A63B1" w:rsidP="00742EE3">
      <w:pPr>
        <w:pStyle w:val="1"/>
        <w:spacing w:before="326"/>
        <w:rPr>
          <w:lang w:eastAsia="zh-CN"/>
        </w:rPr>
      </w:pPr>
      <w:bookmarkStart w:id="72" w:name="_Toc34803851"/>
      <w:bookmarkStart w:id="73" w:name="_Toc65798993"/>
      <w:r>
        <w:rPr>
          <w:rFonts w:hint="eastAsia"/>
          <w:lang w:eastAsia="zh-CN"/>
        </w:rPr>
        <w:t>四、风险提示</w:t>
      </w:r>
      <w:bookmarkEnd w:id="72"/>
      <w:bookmarkEnd w:id="73"/>
    </w:p>
    <w:p w14:paraId="2A043DAA" w14:textId="77777777" w:rsidR="00176693" w:rsidRPr="004610DE" w:rsidRDefault="00176693" w:rsidP="00176693">
      <w:pPr>
        <w:pStyle w:val="ae"/>
        <w:ind w:left="3017" w:firstLineChars="200" w:firstLine="420"/>
        <w:rPr>
          <w:lang w:eastAsia="zh-CN"/>
        </w:rPr>
      </w:pPr>
      <w:r w:rsidRPr="00671FFE">
        <w:rPr>
          <w:rFonts w:hint="eastAsia"/>
          <w:lang w:eastAsia="zh-CN"/>
        </w:rPr>
        <w:t>本文所做的数据测算完全基于过去数据的推演，市场未来环境可能发生变化。投资者制定投资策略时，必须结合市场环境和自身投资理念。同时，模型在极端市场环境中有失效风险。本专题策略推荐个股，仅从量化角度筛选，不代表广发证券发展研究中心行业分析师观点</w:t>
      </w:r>
      <w:r>
        <w:rPr>
          <w:rFonts w:hint="eastAsia"/>
          <w:lang w:eastAsia="zh-CN"/>
        </w:rPr>
        <w:t>。</w:t>
      </w:r>
    </w:p>
    <w:p w14:paraId="17C96145" w14:textId="5807458E" w:rsidR="00742EE3" w:rsidRPr="00176693" w:rsidRDefault="00742EE3" w:rsidP="00176693">
      <w:pPr>
        <w:autoSpaceDE w:val="0"/>
        <w:autoSpaceDN w:val="0"/>
        <w:adjustRightInd w:val="0"/>
        <w:spacing w:after="100"/>
        <w:ind w:leftChars="1257" w:left="3017" w:firstLineChars="1" w:firstLine="2"/>
        <w:jc w:val="both"/>
        <w:rPr>
          <w:rFonts w:eastAsia="楷体_GB2312"/>
          <w:kern w:val="0"/>
          <w:sz w:val="21"/>
          <w:szCs w:val="21"/>
          <w:lang w:eastAsia="zh-CN"/>
        </w:rPr>
        <w:sectPr w:rsidR="00742EE3" w:rsidRPr="00176693" w:rsidSect="00742EE3">
          <w:pgSz w:w="11906" w:h="16838" w:code="9"/>
          <w:pgMar w:top="1134" w:right="641" w:bottom="720" w:left="635" w:header="794" w:footer="737" w:gutter="0"/>
          <w:cols w:space="142"/>
          <w:docGrid w:type="lines" w:linePitch="326"/>
        </w:sectPr>
      </w:pPr>
    </w:p>
    <w:p w14:paraId="23A54A64" w14:textId="2CF01C47" w:rsidR="00355F3A" w:rsidRDefault="00355F3A" w:rsidP="00742EE3">
      <w:pPr>
        <w:rPr>
          <w:rFonts w:eastAsia="楷体_GB2312"/>
          <w:b/>
          <w:color w:val="1F497D" w:themeColor="text2"/>
          <w:lang w:eastAsia="zh-CN"/>
        </w:rPr>
      </w:pPr>
      <w:r>
        <w:rPr>
          <w:rFonts w:eastAsia="楷体_GB2312"/>
          <w:b/>
          <w:color w:val="1F497D" w:themeColor="text2"/>
          <w:lang w:eastAsia="zh-CN"/>
        </w:rPr>
        <w:br w:type="page"/>
      </w:r>
    </w:p>
    <w:tbl>
      <w:tblPr>
        <w:tblW w:w="0" w:type="auto"/>
        <w:tblLook w:val="04A0" w:firstRow="1" w:lastRow="0" w:firstColumn="1" w:lastColumn="0" w:noHBand="0" w:noVBand="1"/>
      </w:tblPr>
      <w:tblGrid>
        <w:gridCol w:w="991"/>
        <w:gridCol w:w="234"/>
        <w:gridCol w:w="9405"/>
      </w:tblGrid>
      <w:tr w:rsidR="005D487C" w:rsidRPr="009814E7" w14:paraId="68913321" w14:textId="77777777" w:rsidTr="00B9063D">
        <w:trPr>
          <w:trHeight w:hRule="exact" w:val="23"/>
        </w:trPr>
        <w:tc>
          <w:tcPr>
            <w:tcW w:w="10846" w:type="dxa"/>
            <w:gridSpan w:val="3"/>
          </w:tcPr>
          <w:p w14:paraId="74CC9C32" w14:textId="26705EBC" w:rsidR="005D487C" w:rsidRPr="00E500F5" w:rsidRDefault="00742EE3" w:rsidP="00B9063D">
            <w:pPr>
              <w:jc w:val="both"/>
              <w:rPr>
                <w:rFonts w:eastAsia="楷体_GB2312"/>
                <w:bCs/>
                <w:color w:val="FFFFFF" w:themeColor="background1"/>
                <w:sz w:val="13"/>
                <w:szCs w:val="13"/>
                <w:lang w:eastAsia="zh-CN"/>
              </w:rPr>
            </w:pPr>
            <w:r>
              <w:rPr>
                <w:lang w:eastAsia="zh-CN"/>
              </w:rPr>
              <w:lastRenderedPageBreak/>
              <w:br w:type="page"/>
            </w:r>
            <w:bookmarkStart w:id="74" w:name="end_tag"/>
            <w:bookmarkEnd w:id="0"/>
            <w:r w:rsidR="005D487C" w:rsidRPr="00E500F5">
              <w:rPr>
                <w:rFonts w:eastAsia="楷体_GB2312"/>
                <w:bCs/>
                <w:color w:val="FFFFFF" w:themeColor="background1"/>
                <w:sz w:val="13"/>
                <w:szCs w:val="13"/>
                <w:lang w:eastAsia="zh-CN"/>
              </w:rPr>
              <w:t>[</w:t>
            </w:r>
            <w:proofErr w:type="spellStart"/>
            <w:r w:rsidR="005D487C" w:rsidRPr="00E500F5">
              <w:rPr>
                <w:rFonts w:eastAsia="楷体_GB2312"/>
                <w:bCs/>
                <w:color w:val="FFFFFF" w:themeColor="background1"/>
                <w:sz w:val="13"/>
                <w:szCs w:val="13"/>
                <w:lang w:eastAsia="zh-CN"/>
              </w:rPr>
              <w:t>Table_ResearchTeam</w:t>
            </w:r>
            <w:proofErr w:type="spellEnd"/>
            <w:r w:rsidR="005D487C" w:rsidRPr="00E500F5">
              <w:rPr>
                <w:rFonts w:eastAsia="楷体_GB2312"/>
                <w:bCs/>
                <w:color w:val="FFFFFF" w:themeColor="background1"/>
                <w:sz w:val="13"/>
                <w:szCs w:val="13"/>
                <w:lang w:eastAsia="zh-CN"/>
              </w:rPr>
              <w:t>]</w:t>
            </w:r>
          </w:p>
        </w:tc>
      </w:tr>
      <w:tr w:rsidR="00540879" w:rsidRPr="003F4A47" w14:paraId="74669BE2" w14:textId="77777777" w:rsidTr="00B9063D">
        <w:tc>
          <w:tcPr>
            <w:tcW w:w="10846" w:type="dxa"/>
            <w:gridSpan w:val="3"/>
            <w:tcBorders>
              <w:bottom w:val="single" w:sz="12" w:space="0" w:color="1F497D" w:themeColor="text2"/>
            </w:tcBorders>
            <w:tcMar>
              <w:left w:w="108" w:type="dxa"/>
            </w:tcMar>
          </w:tcPr>
          <w:p w14:paraId="25637AB1" w14:textId="77777777" w:rsidR="00540879" w:rsidRPr="006737BC" w:rsidRDefault="00540879" w:rsidP="00B9063D">
            <w:pPr>
              <w:jc w:val="both"/>
              <w:rPr>
                <w:rFonts w:ascii="Arial" w:eastAsia="楷体_GB2312" w:hAnsi="Arial"/>
                <w:b/>
                <w:color w:val="1F497D"/>
                <w:lang w:eastAsia="zh-CN"/>
              </w:rPr>
            </w:pPr>
            <w:r>
              <w:rPr>
                <w:rFonts w:ascii="Arial" w:eastAsia="楷体_GB2312" w:hAnsi="Arial" w:hint="eastAsia"/>
                <w:b/>
                <w:color w:val="1F497D"/>
                <w:lang w:eastAsia="zh-CN"/>
              </w:rPr>
              <w:t>广发金融工程研究小组</w:t>
            </w:r>
          </w:p>
        </w:tc>
      </w:tr>
      <w:tr w:rsidR="00540879" w:rsidRPr="003F4A47" w14:paraId="6E04C763" w14:textId="77777777" w:rsidTr="00355F3A">
        <w:tc>
          <w:tcPr>
            <w:tcW w:w="1005" w:type="dxa"/>
            <w:tcBorders>
              <w:top w:val="single" w:sz="12" w:space="0" w:color="1F497D" w:themeColor="text2"/>
            </w:tcBorders>
          </w:tcPr>
          <w:p w14:paraId="1F772729" w14:textId="77777777" w:rsidR="005D487C" w:rsidRPr="00057C76" w:rsidRDefault="00540879" w:rsidP="00B9063D">
            <w:pPr>
              <w:pStyle w:val="afe"/>
            </w:pPr>
            <w:r>
              <w:rPr>
                <w:rFonts w:hint="eastAsia"/>
              </w:rPr>
              <w:t>罗</w:t>
            </w:r>
            <w:r>
              <w:rPr>
                <w:rFonts w:hint="eastAsia"/>
              </w:rPr>
              <w:t xml:space="preserve">  </w:t>
            </w:r>
            <w:r>
              <w:rPr>
                <w:rFonts w:hint="eastAsia"/>
              </w:rPr>
              <w:t>军</w:t>
            </w:r>
          </w:p>
        </w:tc>
        <w:tc>
          <w:tcPr>
            <w:tcW w:w="218" w:type="dxa"/>
            <w:tcBorders>
              <w:top w:val="single" w:sz="12" w:space="0" w:color="1F497D" w:themeColor="text2"/>
            </w:tcBorders>
            <w:noWrap/>
            <w:tcMar>
              <w:left w:w="0" w:type="dxa"/>
              <w:right w:w="0" w:type="dxa"/>
            </w:tcMar>
          </w:tcPr>
          <w:p w14:paraId="392625B0" w14:textId="77777777" w:rsidR="005D487C"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tcBorders>
              <w:top w:val="single" w:sz="12" w:space="0" w:color="1F497D" w:themeColor="text2"/>
            </w:tcBorders>
            <w:tcMar>
              <w:left w:w="0" w:type="dxa"/>
            </w:tcMar>
          </w:tcPr>
          <w:p w14:paraId="0780A9F5" w14:textId="77777777" w:rsidR="005D487C" w:rsidRPr="00057C76" w:rsidRDefault="00540879" w:rsidP="00057C76">
            <w:pPr>
              <w:rPr>
                <w:rStyle w:val="af5"/>
                <w:lang w:eastAsia="zh-CN"/>
              </w:rPr>
            </w:pPr>
            <w:r>
              <w:rPr>
                <w:rStyle w:val="af5"/>
                <w:rFonts w:hint="eastAsia"/>
                <w:lang w:eastAsia="zh-CN"/>
              </w:rPr>
              <w:t>首席分析师，华南理工大学硕士，从业</w:t>
            </w:r>
            <w:r>
              <w:rPr>
                <w:rStyle w:val="af5"/>
                <w:rFonts w:hint="eastAsia"/>
                <w:lang w:eastAsia="zh-CN"/>
              </w:rPr>
              <w:t>14</w:t>
            </w:r>
            <w:r>
              <w:rPr>
                <w:rStyle w:val="af5"/>
                <w:rFonts w:hint="eastAsia"/>
                <w:lang w:eastAsia="zh-CN"/>
              </w:rPr>
              <w:t>年，</w:t>
            </w:r>
            <w:r>
              <w:rPr>
                <w:rStyle w:val="af5"/>
                <w:rFonts w:hint="eastAsia"/>
                <w:lang w:eastAsia="zh-CN"/>
              </w:rPr>
              <w:t>2010</w:t>
            </w:r>
            <w:r>
              <w:rPr>
                <w:rStyle w:val="af5"/>
                <w:rFonts w:hint="eastAsia"/>
                <w:lang w:eastAsia="zh-CN"/>
              </w:rPr>
              <w:t>年进入广发证券发展研究中心。</w:t>
            </w:r>
          </w:p>
        </w:tc>
      </w:tr>
      <w:tr w:rsidR="00540879" w:rsidRPr="003F4A47" w14:paraId="274E2733" w14:textId="77777777" w:rsidTr="00355F3A">
        <w:tc>
          <w:tcPr>
            <w:tcW w:w="1005" w:type="dxa"/>
            <w:shd w:val="clear" w:color="auto" w:fill="auto"/>
          </w:tcPr>
          <w:p w14:paraId="48620153" w14:textId="77777777" w:rsidR="00540879" w:rsidRPr="00222605" w:rsidRDefault="00540879" w:rsidP="00B9063D">
            <w:pPr>
              <w:pStyle w:val="afe"/>
              <w:rPr>
                <w:sz w:val="20"/>
                <w:szCs w:val="20"/>
              </w:rPr>
            </w:pPr>
            <w:r w:rsidRPr="00222605">
              <w:rPr>
                <w:rFonts w:hint="eastAsia"/>
                <w:sz w:val="20"/>
                <w:szCs w:val="20"/>
              </w:rPr>
              <w:t>安宁宁</w:t>
            </w:r>
          </w:p>
        </w:tc>
        <w:tc>
          <w:tcPr>
            <w:tcW w:w="218" w:type="dxa"/>
            <w:shd w:val="clear" w:color="auto" w:fill="auto"/>
            <w:noWrap/>
            <w:tcMar>
              <w:left w:w="0" w:type="dxa"/>
              <w:right w:w="0" w:type="dxa"/>
            </w:tcMar>
          </w:tcPr>
          <w:p w14:paraId="72D99767" w14:textId="77777777" w:rsidR="00540879" w:rsidRPr="00222605" w:rsidRDefault="00540879" w:rsidP="00B9063D">
            <w:pPr>
              <w:jc w:val="both"/>
              <w:rPr>
                <w:rFonts w:ascii="Arial" w:eastAsia="楷体_GB2312" w:hAnsi="Arial"/>
                <w:bCs/>
                <w:color w:val="1F497D" w:themeColor="text2"/>
                <w:spacing w:val="-4"/>
                <w:sz w:val="20"/>
                <w:szCs w:val="20"/>
                <w:lang w:eastAsia="zh-CN"/>
              </w:rPr>
            </w:pPr>
            <w:r w:rsidRPr="00222605">
              <w:rPr>
                <w:rFonts w:ascii="Arial" w:eastAsia="楷体_GB2312" w:hAnsi="Arial" w:hint="eastAsia"/>
                <w:bCs/>
                <w:color w:val="1F497D" w:themeColor="text2"/>
                <w:spacing w:val="-4"/>
                <w:sz w:val="20"/>
                <w:szCs w:val="20"/>
                <w:lang w:eastAsia="zh-CN"/>
              </w:rPr>
              <w:t>：</w:t>
            </w:r>
          </w:p>
        </w:tc>
        <w:tc>
          <w:tcPr>
            <w:tcW w:w="9623" w:type="dxa"/>
            <w:shd w:val="clear" w:color="auto" w:fill="auto"/>
            <w:tcMar>
              <w:left w:w="0" w:type="dxa"/>
            </w:tcMar>
          </w:tcPr>
          <w:p w14:paraId="20924AD9" w14:textId="77777777" w:rsidR="00540879" w:rsidRPr="00222605" w:rsidRDefault="00540879" w:rsidP="00057C76">
            <w:pPr>
              <w:rPr>
                <w:rStyle w:val="af5"/>
                <w:sz w:val="20"/>
                <w:szCs w:val="20"/>
                <w:lang w:eastAsia="zh-CN"/>
              </w:rPr>
            </w:pPr>
            <w:r w:rsidRPr="00222605">
              <w:rPr>
                <w:rStyle w:val="af5"/>
                <w:rFonts w:hint="eastAsia"/>
                <w:sz w:val="20"/>
                <w:szCs w:val="20"/>
                <w:lang w:eastAsia="zh-CN"/>
              </w:rPr>
              <w:t>联席首席分析师，暨南大学硕士，从业</w:t>
            </w:r>
            <w:r w:rsidRPr="00222605">
              <w:rPr>
                <w:rStyle w:val="af5"/>
                <w:rFonts w:hint="eastAsia"/>
                <w:sz w:val="20"/>
                <w:szCs w:val="20"/>
                <w:lang w:eastAsia="zh-CN"/>
              </w:rPr>
              <w:t>12</w:t>
            </w:r>
            <w:r w:rsidRPr="00222605">
              <w:rPr>
                <w:rStyle w:val="af5"/>
                <w:rFonts w:hint="eastAsia"/>
                <w:sz w:val="20"/>
                <w:szCs w:val="20"/>
                <w:lang w:eastAsia="zh-CN"/>
              </w:rPr>
              <w:t>年，</w:t>
            </w:r>
            <w:r w:rsidRPr="00222605">
              <w:rPr>
                <w:rStyle w:val="af5"/>
                <w:rFonts w:hint="eastAsia"/>
                <w:sz w:val="20"/>
                <w:szCs w:val="20"/>
                <w:lang w:eastAsia="zh-CN"/>
              </w:rPr>
              <w:t>2011</w:t>
            </w:r>
            <w:r w:rsidRPr="00222605">
              <w:rPr>
                <w:rStyle w:val="af5"/>
                <w:rFonts w:hint="eastAsia"/>
                <w:sz w:val="20"/>
                <w:szCs w:val="20"/>
                <w:lang w:eastAsia="zh-CN"/>
              </w:rPr>
              <w:t>年进入广发证券发展研究中心。</w:t>
            </w:r>
          </w:p>
        </w:tc>
      </w:tr>
      <w:tr w:rsidR="00540879" w:rsidRPr="003F4A47" w14:paraId="71212587" w14:textId="77777777" w:rsidTr="00355F3A">
        <w:tc>
          <w:tcPr>
            <w:tcW w:w="1005" w:type="dxa"/>
            <w:shd w:val="clear" w:color="auto" w:fill="auto"/>
          </w:tcPr>
          <w:p w14:paraId="7C428420" w14:textId="77777777" w:rsidR="00540879" w:rsidRPr="00057C76" w:rsidRDefault="00540879" w:rsidP="00B9063D">
            <w:pPr>
              <w:pStyle w:val="afe"/>
            </w:pPr>
            <w:r>
              <w:rPr>
                <w:rFonts w:hint="eastAsia"/>
              </w:rPr>
              <w:t>史庆盛</w:t>
            </w:r>
          </w:p>
        </w:tc>
        <w:tc>
          <w:tcPr>
            <w:tcW w:w="218" w:type="dxa"/>
            <w:shd w:val="clear" w:color="auto" w:fill="auto"/>
            <w:noWrap/>
            <w:tcMar>
              <w:left w:w="0" w:type="dxa"/>
              <w:right w:w="0" w:type="dxa"/>
            </w:tcMar>
          </w:tcPr>
          <w:p w14:paraId="1ED3AD1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9A45A18" w14:textId="77777777" w:rsidR="00540879" w:rsidRPr="00057C76" w:rsidRDefault="00540879" w:rsidP="00057C76">
            <w:pPr>
              <w:rPr>
                <w:rStyle w:val="af5"/>
                <w:lang w:eastAsia="zh-CN"/>
              </w:rPr>
            </w:pPr>
            <w:r>
              <w:rPr>
                <w:rStyle w:val="af5"/>
                <w:rFonts w:hint="eastAsia"/>
                <w:lang w:eastAsia="zh-CN"/>
              </w:rPr>
              <w:t>资深分析师，华南理工大学硕士，从业</w:t>
            </w:r>
            <w:r>
              <w:rPr>
                <w:rStyle w:val="af5"/>
                <w:rFonts w:hint="eastAsia"/>
                <w:lang w:eastAsia="zh-CN"/>
              </w:rPr>
              <w:t>8</w:t>
            </w:r>
            <w:r>
              <w:rPr>
                <w:rStyle w:val="af5"/>
                <w:rFonts w:hint="eastAsia"/>
                <w:lang w:eastAsia="zh-CN"/>
              </w:rPr>
              <w:t>年，</w:t>
            </w:r>
            <w:r>
              <w:rPr>
                <w:rStyle w:val="af5"/>
                <w:rFonts w:hint="eastAsia"/>
                <w:lang w:eastAsia="zh-CN"/>
              </w:rPr>
              <w:t>2011</w:t>
            </w:r>
            <w:r>
              <w:rPr>
                <w:rStyle w:val="af5"/>
                <w:rFonts w:hint="eastAsia"/>
                <w:lang w:eastAsia="zh-CN"/>
              </w:rPr>
              <w:t>年进入广发证券发展研究中心。</w:t>
            </w:r>
          </w:p>
        </w:tc>
      </w:tr>
      <w:tr w:rsidR="00540879" w:rsidRPr="003F4A47" w14:paraId="57EA0A21" w14:textId="77777777" w:rsidTr="00355F3A">
        <w:tc>
          <w:tcPr>
            <w:tcW w:w="1005" w:type="dxa"/>
            <w:shd w:val="clear" w:color="auto" w:fill="auto"/>
          </w:tcPr>
          <w:p w14:paraId="1FA9B1F1" w14:textId="77777777" w:rsidR="00540879" w:rsidRPr="00057C76" w:rsidRDefault="00540879" w:rsidP="00B9063D">
            <w:pPr>
              <w:pStyle w:val="afe"/>
            </w:pPr>
            <w:r>
              <w:rPr>
                <w:rFonts w:hint="eastAsia"/>
              </w:rPr>
              <w:t>张</w:t>
            </w:r>
            <w:r>
              <w:rPr>
                <w:rFonts w:hint="eastAsia"/>
              </w:rPr>
              <w:t xml:space="preserve">  </w:t>
            </w:r>
            <w:r>
              <w:rPr>
                <w:rFonts w:hint="eastAsia"/>
              </w:rPr>
              <w:t>超</w:t>
            </w:r>
          </w:p>
        </w:tc>
        <w:tc>
          <w:tcPr>
            <w:tcW w:w="218" w:type="dxa"/>
            <w:shd w:val="clear" w:color="auto" w:fill="auto"/>
            <w:noWrap/>
            <w:tcMar>
              <w:left w:w="0" w:type="dxa"/>
              <w:right w:w="0" w:type="dxa"/>
            </w:tcMar>
          </w:tcPr>
          <w:p w14:paraId="4C1C34C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1229CE6"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7</w:t>
            </w:r>
            <w:r>
              <w:rPr>
                <w:rStyle w:val="af5"/>
                <w:rFonts w:hint="eastAsia"/>
                <w:lang w:eastAsia="zh-CN"/>
              </w:rPr>
              <w:t>年，</w:t>
            </w:r>
            <w:r>
              <w:rPr>
                <w:rStyle w:val="af5"/>
                <w:rFonts w:hint="eastAsia"/>
                <w:lang w:eastAsia="zh-CN"/>
              </w:rPr>
              <w:t>2012</w:t>
            </w:r>
            <w:r>
              <w:rPr>
                <w:rStyle w:val="af5"/>
                <w:rFonts w:hint="eastAsia"/>
                <w:lang w:eastAsia="zh-CN"/>
              </w:rPr>
              <w:t>年进入广发证券发展研究中心。</w:t>
            </w:r>
          </w:p>
        </w:tc>
      </w:tr>
      <w:tr w:rsidR="00540879" w:rsidRPr="003F4A47" w14:paraId="4C8B2616" w14:textId="77777777" w:rsidTr="00355F3A">
        <w:tc>
          <w:tcPr>
            <w:tcW w:w="1005" w:type="dxa"/>
            <w:shd w:val="clear" w:color="auto" w:fill="auto"/>
          </w:tcPr>
          <w:p w14:paraId="48938774" w14:textId="77777777" w:rsidR="00540879" w:rsidRPr="00057C76" w:rsidRDefault="00540879" w:rsidP="00B9063D">
            <w:pPr>
              <w:pStyle w:val="afe"/>
            </w:pPr>
            <w:r>
              <w:rPr>
                <w:rFonts w:hint="eastAsia"/>
              </w:rPr>
              <w:t>文巧钧</w:t>
            </w:r>
          </w:p>
        </w:tc>
        <w:tc>
          <w:tcPr>
            <w:tcW w:w="218" w:type="dxa"/>
            <w:shd w:val="clear" w:color="auto" w:fill="auto"/>
            <w:noWrap/>
            <w:tcMar>
              <w:left w:w="0" w:type="dxa"/>
              <w:right w:w="0" w:type="dxa"/>
            </w:tcMar>
          </w:tcPr>
          <w:p w14:paraId="5EC04375"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10E8C2F0" w14:textId="77777777" w:rsidR="00540879" w:rsidRPr="00057C76" w:rsidRDefault="00540879" w:rsidP="00057C76">
            <w:pPr>
              <w:rPr>
                <w:rStyle w:val="af5"/>
                <w:lang w:eastAsia="zh-CN"/>
              </w:rPr>
            </w:pPr>
            <w:r>
              <w:rPr>
                <w:rStyle w:val="af5"/>
                <w:rFonts w:hint="eastAsia"/>
                <w:lang w:eastAsia="zh-CN"/>
              </w:rPr>
              <w:t>资深分析师，浙江大学博士，从业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1DD9F7F" w14:textId="77777777" w:rsidTr="00355F3A">
        <w:tc>
          <w:tcPr>
            <w:tcW w:w="1005" w:type="dxa"/>
            <w:shd w:val="clear" w:color="auto" w:fill="auto"/>
          </w:tcPr>
          <w:p w14:paraId="1140FCFA" w14:textId="77777777" w:rsidR="00540879" w:rsidRPr="00057C76" w:rsidRDefault="00540879" w:rsidP="00B9063D">
            <w:pPr>
              <w:pStyle w:val="afe"/>
            </w:pPr>
            <w:r>
              <w:rPr>
                <w:rFonts w:hint="eastAsia"/>
              </w:rPr>
              <w:t>陈原文</w:t>
            </w:r>
          </w:p>
        </w:tc>
        <w:tc>
          <w:tcPr>
            <w:tcW w:w="218" w:type="dxa"/>
            <w:shd w:val="clear" w:color="auto" w:fill="auto"/>
            <w:noWrap/>
            <w:tcMar>
              <w:left w:w="0" w:type="dxa"/>
              <w:right w:w="0" w:type="dxa"/>
            </w:tcMar>
          </w:tcPr>
          <w:p w14:paraId="0535B44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851B6C5"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115A5BCC" w14:textId="77777777" w:rsidTr="00355F3A">
        <w:tc>
          <w:tcPr>
            <w:tcW w:w="1005" w:type="dxa"/>
            <w:shd w:val="clear" w:color="auto" w:fill="auto"/>
          </w:tcPr>
          <w:p w14:paraId="5E3CB5C2" w14:textId="77777777" w:rsidR="00540879" w:rsidRPr="00057C76" w:rsidRDefault="00540879" w:rsidP="00B9063D">
            <w:pPr>
              <w:pStyle w:val="afe"/>
            </w:pPr>
            <w:r>
              <w:rPr>
                <w:rFonts w:hint="eastAsia"/>
              </w:rPr>
              <w:t>樊瑞铎</w:t>
            </w:r>
          </w:p>
        </w:tc>
        <w:tc>
          <w:tcPr>
            <w:tcW w:w="218" w:type="dxa"/>
            <w:shd w:val="clear" w:color="auto" w:fill="auto"/>
            <w:noWrap/>
            <w:tcMar>
              <w:left w:w="0" w:type="dxa"/>
              <w:right w:w="0" w:type="dxa"/>
            </w:tcMar>
          </w:tcPr>
          <w:p w14:paraId="5A15BF9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F642E8C" w14:textId="77777777" w:rsidR="00540879" w:rsidRPr="00057C76" w:rsidRDefault="00540879" w:rsidP="00057C76">
            <w:pPr>
              <w:rPr>
                <w:rStyle w:val="af5"/>
                <w:lang w:eastAsia="zh-CN"/>
              </w:rPr>
            </w:pPr>
            <w:r>
              <w:rPr>
                <w:rStyle w:val="af5"/>
                <w:rFonts w:hint="eastAsia"/>
                <w:lang w:eastAsia="zh-CN"/>
              </w:rPr>
              <w:t>资深分析师，南开大学硕士，从业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B9EEAD7" w14:textId="77777777" w:rsidTr="00355F3A">
        <w:tc>
          <w:tcPr>
            <w:tcW w:w="1005" w:type="dxa"/>
            <w:shd w:val="clear" w:color="auto" w:fill="auto"/>
          </w:tcPr>
          <w:p w14:paraId="528057A8" w14:textId="77777777" w:rsidR="00540879" w:rsidRPr="00057C76" w:rsidRDefault="00540879" w:rsidP="00B9063D">
            <w:pPr>
              <w:pStyle w:val="afe"/>
            </w:pPr>
            <w:r>
              <w:rPr>
                <w:rFonts w:hint="eastAsia"/>
              </w:rPr>
              <w:t>李</w:t>
            </w:r>
            <w:r>
              <w:rPr>
                <w:rFonts w:hint="eastAsia"/>
              </w:rPr>
              <w:t xml:space="preserve">  </w:t>
            </w:r>
            <w:r>
              <w:rPr>
                <w:rFonts w:hint="eastAsia"/>
              </w:rPr>
              <w:t>豪</w:t>
            </w:r>
          </w:p>
        </w:tc>
        <w:tc>
          <w:tcPr>
            <w:tcW w:w="218" w:type="dxa"/>
            <w:shd w:val="clear" w:color="auto" w:fill="auto"/>
            <w:noWrap/>
            <w:tcMar>
              <w:left w:w="0" w:type="dxa"/>
              <w:right w:w="0" w:type="dxa"/>
            </w:tcMar>
          </w:tcPr>
          <w:p w14:paraId="20AFAADD"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E3AAA2B" w14:textId="77777777" w:rsidR="00540879" w:rsidRPr="00057C76" w:rsidRDefault="00540879" w:rsidP="00057C76">
            <w:pPr>
              <w:rPr>
                <w:rStyle w:val="af5"/>
                <w:lang w:eastAsia="zh-CN"/>
              </w:rPr>
            </w:pPr>
            <w:r>
              <w:rPr>
                <w:rStyle w:val="af5"/>
                <w:rFonts w:hint="eastAsia"/>
                <w:lang w:eastAsia="zh-CN"/>
              </w:rPr>
              <w:t>资深分析师，上海交通大学硕士，从业</w:t>
            </w:r>
            <w:r>
              <w:rPr>
                <w:rStyle w:val="af5"/>
                <w:rFonts w:hint="eastAsia"/>
                <w:lang w:eastAsia="zh-CN"/>
              </w:rPr>
              <w:t>3</w:t>
            </w:r>
            <w:r>
              <w:rPr>
                <w:rStyle w:val="af5"/>
                <w:rFonts w:hint="eastAsia"/>
                <w:lang w:eastAsia="zh-CN"/>
              </w:rPr>
              <w:t>年，</w:t>
            </w:r>
            <w:r>
              <w:rPr>
                <w:rStyle w:val="af5"/>
                <w:rFonts w:hint="eastAsia"/>
                <w:lang w:eastAsia="zh-CN"/>
              </w:rPr>
              <w:t>2016</w:t>
            </w:r>
            <w:r>
              <w:rPr>
                <w:rStyle w:val="af5"/>
                <w:rFonts w:hint="eastAsia"/>
                <w:lang w:eastAsia="zh-CN"/>
              </w:rPr>
              <w:t>年进入广发证券发展研究中心。</w:t>
            </w:r>
          </w:p>
        </w:tc>
      </w:tr>
      <w:tr w:rsidR="00540879" w:rsidRPr="003F4A47" w14:paraId="0F141990" w14:textId="77777777" w:rsidTr="00355F3A">
        <w:tc>
          <w:tcPr>
            <w:tcW w:w="1005" w:type="dxa"/>
            <w:shd w:val="clear" w:color="auto" w:fill="auto"/>
          </w:tcPr>
          <w:p w14:paraId="1AA4354A" w14:textId="77777777" w:rsidR="00540879" w:rsidRPr="00057C76" w:rsidRDefault="00540879" w:rsidP="00B9063D">
            <w:pPr>
              <w:pStyle w:val="afe"/>
            </w:pPr>
            <w:r>
              <w:rPr>
                <w:rFonts w:hint="eastAsia"/>
              </w:rPr>
              <w:t>郭圳滨</w:t>
            </w:r>
          </w:p>
        </w:tc>
        <w:tc>
          <w:tcPr>
            <w:tcW w:w="218" w:type="dxa"/>
            <w:shd w:val="clear" w:color="auto" w:fill="auto"/>
            <w:noWrap/>
            <w:tcMar>
              <w:left w:w="0" w:type="dxa"/>
              <w:right w:w="0" w:type="dxa"/>
            </w:tcMar>
          </w:tcPr>
          <w:p w14:paraId="289D230A"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2F55F13A" w14:textId="77777777" w:rsidR="00540879" w:rsidRPr="00057C76" w:rsidRDefault="00540879" w:rsidP="00057C76">
            <w:pPr>
              <w:rPr>
                <w:rStyle w:val="af5"/>
                <w:lang w:eastAsia="zh-CN"/>
              </w:rPr>
            </w:pPr>
            <w:r>
              <w:rPr>
                <w:rStyle w:val="af5"/>
                <w:rFonts w:hint="eastAsia"/>
                <w:lang w:eastAsia="zh-CN"/>
              </w:rPr>
              <w:t>高级分析师，中山大学硕士，</w:t>
            </w:r>
            <w:r>
              <w:rPr>
                <w:rStyle w:val="af5"/>
                <w:rFonts w:hint="eastAsia"/>
                <w:lang w:eastAsia="zh-CN"/>
              </w:rPr>
              <w:t>2018</w:t>
            </w:r>
            <w:r>
              <w:rPr>
                <w:rStyle w:val="af5"/>
                <w:rFonts w:hint="eastAsia"/>
                <w:lang w:eastAsia="zh-CN"/>
              </w:rPr>
              <w:t>年进入广发证券发展研究中心。</w:t>
            </w:r>
          </w:p>
        </w:tc>
      </w:tr>
      <w:tr w:rsidR="00540879" w:rsidRPr="003F4A47" w14:paraId="60CD1509" w14:textId="77777777" w:rsidTr="00355F3A">
        <w:tc>
          <w:tcPr>
            <w:tcW w:w="1005" w:type="dxa"/>
            <w:shd w:val="clear" w:color="auto" w:fill="auto"/>
          </w:tcPr>
          <w:p w14:paraId="11255479" w14:textId="77777777" w:rsidR="00540879" w:rsidRPr="00057C76" w:rsidRDefault="00540879" w:rsidP="00B9063D">
            <w:pPr>
              <w:pStyle w:val="afe"/>
            </w:pPr>
            <w:r>
              <w:rPr>
                <w:rFonts w:hint="eastAsia"/>
              </w:rPr>
              <w:t>季燕妮</w:t>
            </w:r>
          </w:p>
        </w:tc>
        <w:tc>
          <w:tcPr>
            <w:tcW w:w="218" w:type="dxa"/>
            <w:shd w:val="clear" w:color="auto" w:fill="auto"/>
            <w:noWrap/>
            <w:tcMar>
              <w:left w:w="0" w:type="dxa"/>
              <w:right w:w="0" w:type="dxa"/>
            </w:tcMar>
          </w:tcPr>
          <w:p w14:paraId="60267168"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DD99F9D" w14:textId="77777777" w:rsidR="00540879" w:rsidRPr="00057C76" w:rsidRDefault="00540879" w:rsidP="00057C76">
            <w:pPr>
              <w:rPr>
                <w:rStyle w:val="af5"/>
                <w:lang w:eastAsia="zh-CN"/>
              </w:rPr>
            </w:pPr>
            <w:r>
              <w:rPr>
                <w:rStyle w:val="af5"/>
                <w:rFonts w:hint="eastAsia"/>
                <w:lang w:eastAsia="zh-CN"/>
              </w:rPr>
              <w:t>研究助理，厦门大学硕士，</w:t>
            </w:r>
            <w:r>
              <w:rPr>
                <w:rStyle w:val="af5"/>
                <w:rFonts w:hint="eastAsia"/>
                <w:lang w:eastAsia="zh-CN"/>
              </w:rPr>
              <w:t>2020</w:t>
            </w:r>
            <w:r>
              <w:rPr>
                <w:rStyle w:val="af5"/>
                <w:rFonts w:hint="eastAsia"/>
                <w:lang w:eastAsia="zh-CN"/>
              </w:rPr>
              <w:t>年进入广发证券发展研究中心。</w:t>
            </w:r>
          </w:p>
        </w:tc>
      </w:tr>
      <w:tr w:rsidR="00540879" w:rsidRPr="003F4A47" w14:paraId="7CD72582" w14:textId="77777777" w:rsidTr="00355F3A">
        <w:tc>
          <w:tcPr>
            <w:tcW w:w="1005" w:type="dxa"/>
            <w:shd w:val="clear" w:color="auto" w:fill="auto"/>
          </w:tcPr>
          <w:p w14:paraId="36ACF3A7" w14:textId="77777777" w:rsidR="00540879" w:rsidRPr="00057C76" w:rsidRDefault="00540879" w:rsidP="00B9063D">
            <w:pPr>
              <w:pStyle w:val="afe"/>
            </w:pPr>
            <w:r>
              <w:rPr>
                <w:rFonts w:hint="eastAsia"/>
              </w:rPr>
              <w:t>张钰东</w:t>
            </w:r>
          </w:p>
        </w:tc>
        <w:tc>
          <w:tcPr>
            <w:tcW w:w="218" w:type="dxa"/>
            <w:shd w:val="clear" w:color="auto" w:fill="auto"/>
            <w:noWrap/>
            <w:tcMar>
              <w:left w:w="0" w:type="dxa"/>
              <w:right w:w="0" w:type="dxa"/>
            </w:tcMar>
          </w:tcPr>
          <w:p w14:paraId="240C3166"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2CFE6D5" w14:textId="77777777" w:rsidR="00540879" w:rsidRPr="00057C76" w:rsidRDefault="00540879" w:rsidP="00057C76">
            <w:pPr>
              <w:rPr>
                <w:rStyle w:val="af5"/>
                <w:lang w:eastAsia="zh-CN"/>
              </w:rPr>
            </w:pPr>
            <w:r>
              <w:rPr>
                <w:rStyle w:val="af5"/>
                <w:rFonts w:hint="eastAsia"/>
                <w:lang w:eastAsia="zh-CN"/>
              </w:rPr>
              <w:t>研究助理，中山大学硕士，</w:t>
            </w:r>
            <w:r>
              <w:rPr>
                <w:rStyle w:val="af5"/>
                <w:rFonts w:hint="eastAsia"/>
                <w:lang w:eastAsia="zh-CN"/>
              </w:rPr>
              <w:t>2020</w:t>
            </w:r>
            <w:r>
              <w:rPr>
                <w:rStyle w:val="af5"/>
                <w:rFonts w:hint="eastAsia"/>
                <w:lang w:eastAsia="zh-CN"/>
              </w:rPr>
              <w:t>年进入广发证券发展研究中心。</w:t>
            </w:r>
          </w:p>
        </w:tc>
      </w:tr>
      <w:tr w:rsidR="00540879" w:rsidRPr="003F4A47" w14:paraId="5310FEA7" w14:textId="77777777" w:rsidTr="00355F3A">
        <w:tc>
          <w:tcPr>
            <w:tcW w:w="1005" w:type="dxa"/>
            <w:shd w:val="clear" w:color="auto" w:fill="auto"/>
          </w:tcPr>
          <w:p w14:paraId="64C6EBE8" w14:textId="77777777" w:rsidR="00540879" w:rsidRPr="00057C76" w:rsidRDefault="00540879" w:rsidP="00B9063D">
            <w:pPr>
              <w:pStyle w:val="afe"/>
            </w:pPr>
            <w:r>
              <w:rPr>
                <w:rFonts w:hint="eastAsia"/>
              </w:rPr>
              <w:t>季俊男</w:t>
            </w:r>
          </w:p>
        </w:tc>
        <w:tc>
          <w:tcPr>
            <w:tcW w:w="218" w:type="dxa"/>
            <w:shd w:val="clear" w:color="auto" w:fill="auto"/>
            <w:noWrap/>
            <w:tcMar>
              <w:left w:w="0" w:type="dxa"/>
              <w:right w:w="0" w:type="dxa"/>
            </w:tcMar>
          </w:tcPr>
          <w:p w14:paraId="3E55019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5E2BD82C" w14:textId="77777777" w:rsidR="00540879" w:rsidRPr="00057C76" w:rsidRDefault="00540879" w:rsidP="00057C76">
            <w:pPr>
              <w:rPr>
                <w:rStyle w:val="af5"/>
                <w:lang w:eastAsia="zh-CN"/>
              </w:rPr>
            </w:pPr>
            <w:r>
              <w:rPr>
                <w:rStyle w:val="af5"/>
                <w:rFonts w:hint="eastAsia"/>
                <w:lang w:eastAsia="zh-CN"/>
              </w:rPr>
              <w:t>南京大学硕士，</w:t>
            </w:r>
            <w:r>
              <w:rPr>
                <w:rStyle w:val="af5"/>
                <w:rFonts w:hint="eastAsia"/>
                <w:lang w:eastAsia="zh-CN"/>
              </w:rPr>
              <w:t>2020</w:t>
            </w:r>
            <w:r>
              <w:rPr>
                <w:rStyle w:val="af5"/>
                <w:rFonts w:hint="eastAsia"/>
                <w:lang w:eastAsia="zh-CN"/>
              </w:rPr>
              <w:t>年进入广发证券发展研究中心。</w:t>
            </w:r>
          </w:p>
        </w:tc>
      </w:tr>
    </w:tbl>
    <w:p w14:paraId="4E06315F" w14:textId="77777777"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091"/>
        <w:gridCol w:w="9539"/>
      </w:tblGrid>
      <w:tr w:rsidR="00970A2A" w:rsidRPr="009814E7" w14:paraId="5DF6BD17" w14:textId="77777777" w:rsidTr="00540879">
        <w:trPr>
          <w:trHeight w:hRule="exact" w:val="23"/>
        </w:trPr>
        <w:tc>
          <w:tcPr>
            <w:tcW w:w="10846" w:type="dxa"/>
            <w:gridSpan w:val="2"/>
          </w:tcPr>
          <w:p w14:paraId="5EA0E825"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Table_IndustryInvestDescription</w:t>
            </w:r>
            <w:proofErr w:type="spellEnd"/>
            <w:r w:rsidRPr="00E500F5">
              <w:rPr>
                <w:rFonts w:eastAsia="楷体_GB2312"/>
                <w:bCs/>
                <w:color w:val="FFFFFF" w:themeColor="background1"/>
                <w:sz w:val="13"/>
                <w:szCs w:val="13"/>
                <w:lang w:eastAsia="zh-CN"/>
              </w:rPr>
              <w:t>]</w:t>
            </w:r>
          </w:p>
        </w:tc>
      </w:tr>
      <w:tr w:rsidR="00970A2A" w:rsidRPr="000F49B8" w14:paraId="4F320956" w14:textId="77777777" w:rsidTr="00540879">
        <w:tc>
          <w:tcPr>
            <w:tcW w:w="10846" w:type="dxa"/>
            <w:gridSpan w:val="2"/>
            <w:tcBorders>
              <w:bottom w:val="single" w:sz="12" w:space="0" w:color="1F497D" w:themeColor="text2"/>
            </w:tcBorders>
          </w:tcPr>
          <w:p w14:paraId="5DC0F98A" w14:textId="77777777" w:rsidR="00970A2A" w:rsidRPr="000F49B8" w:rsidRDefault="00970A2A" w:rsidP="00B9063D">
            <w:pPr>
              <w:jc w:val="both"/>
              <w:rPr>
                <w:rFonts w:eastAsia="楷体_GB2312"/>
                <w:b/>
                <w:color w:val="1F497D" w:themeColor="text2"/>
                <w:lang w:eastAsia="zh-CN"/>
              </w:rPr>
            </w:pPr>
            <w:r w:rsidRPr="000F49B8">
              <w:rPr>
                <w:rFonts w:eastAsia="楷体_GB2312"/>
                <w:b/>
                <w:bCs/>
                <w:color w:val="1F497D" w:themeColor="text2"/>
                <w:lang w:eastAsia="zh-CN"/>
              </w:rPr>
              <w:t>广发证券</w:t>
            </w:r>
            <w:r w:rsidRPr="000F49B8">
              <w:rPr>
                <w:rFonts w:eastAsia="楷体_GB2312"/>
                <w:b/>
                <w:bCs/>
                <w:color w:val="1F497D" w:themeColor="text2"/>
                <w:lang w:eastAsia="zh-CN"/>
              </w:rPr>
              <w:t>—</w:t>
            </w:r>
            <w:r w:rsidRPr="000F49B8">
              <w:rPr>
                <w:rFonts w:eastAsia="楷体_GB2312"/>
                <w:b/>
                <w:bCs/>
                <w:color w:val="1F497D" w:themeColor="text2"/>
                <w:lang w:eastAsia="zh-CN"/>
              </w:rPr>
              <w:t>行业投资评级说明</w:t>
            </w:r>
          </w:p>
        </w:tc>
      </w:tr>
      <w:tr w:rsidR="00970A2A" w:rsidRPr="000F49B8" w14:paraId="3D3465EC" w14:textId="77777777" w:rsidTr="00540879">
        <w:tc>
          <w:tcPr>
            <w:tcW w:w="1101" w:type="dxa"/>
            <w:tcBorders>
              <w:top w:val="single" w:sz="12" w:space="0" w:color="1F497D" w:themeColor="text2"/>
            </w:tcBorders>
            <w:vAlign w:val="center"/>
          </w:tcPr>
          <w:p w14:paraId="4D9CF8CA" w14:textId="77777777" w:rsidR="00970A2A" w:rsidRPr="004C4272" w:rsidRDefault="00540879" w:rsidP="00317208">
            <w:pPr>
              <w:pStyle w:val="aff3"/>
              <w:jc w:val="right"/>
            </w:pPr>
            <w:r>
              <w:rPr>
                <w:rFonts w:hint="eastAsia"/>
              </w:rPr>
              <w:t>买入：</w:t>
            </w:r>
          </w:p>
        </w:tc>
        <w:tc>
          <w:tcPr>
            <w:tcW w:w="9745" w:type="dxa"/>
            <w:tcBorders>
              <w:top w:val="single" w:sz="12" w:space="0" w:color="1F497D" w:themeColor="text2"/>
            </w:tcBorders>
          </w:tcPr>
          <w:p w14:paraId="1A014157"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14:paraId="32FBE60C" w14:textId="77777777" w:rsidTr="00540879">
        <w:tc>
          <w:tcPr>
            <w:tcW w:w="1101" w:type="dxa"/>
            <w:shd w:val="clear" w:color="auto" w:fill="auto"/>
            <w:vAlign w:val="center"/>
          </w:tcPr>
          <w:p w14:paraId="1E36D4DF" w14:textId="77777777" w:rsidR="00540879" w:rsidRPr="004C4272" w:rsidRDefault="00540879" w:rsidP="00317208">
            <w:pPr>
              <w:pStyle w:val="aff3"/>
              <w:jc w:val="right"/>
            </w:pPr>
            <w:r>
              <w:rPr>
                <w:rFonts w:hint="eastAsia"/>
              </w:rPr>
              <w:t>持有：</w:t>
            </w:r>
          </w:p>
        </w:tc>
        <w:tc>
          <w:tcPr>
            <w:tcW w:w="9745" w:type="dxa"/>
            <w:shd w:val="clear" w:color="auto" w:fill="auto"/>
          </w:tcPr>
          <w:p w14:paraId="38912316"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14:paraId="2ED87CB4" w14:textId="77777777" w:rsidTr="00540879">
        <w:tc>
          <w:tcPr>
            <w:tcW w:w="1101" w:type="dxa"/>
            <w:shd w:val="clear" w:color="auto" w:fill="auto"/>
            <w:vAlign w:val="center"/>
          </w:tcPr>
          <w:p w14:paraId="04B53926" w14:textId="77777777" w:rsidR="00540879" w:rsidRPr="004C4272" w:rsidRDefault="00540879" w:rsidP="00317208">
            <w:pPr>
              <w:pStyle w:val="aff3"/>
              <w:jc w:val="right"/>
            </w:pPr>
            <w:r>
              <w:rPr>
                <w:rFonts w:hint="eastAsia"/>
              </w:rPr>
              <w:t>卖出：</w:t>
            </w:r>
          </w:p>
        </w:tc>
        <w:tc>
          <w:tcPr>
            <w:tcW w:w="9745" w:type="dxa"/>
            <w:shd w:val="clear" w:color="auto" w:fill="auto"/>
          </w:tcPr>
          <w:p w14:paraId="375E11AA"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14:paraId="4234C5FB" w14:textId="77777777"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091"/>
        <w:gridCol w:w="9539"/>
      </w:tblGrid>
      <w:tr w:rsidR="00970A2A" w:rsidRPr="009814E7" w14:paraId="6379FC0B" w14:textId="77777777" w:rsidTr="00540879">
        <w:trPr>
          <w:trHeight w:hRule="exact" w:val="23"/>
        </w:trPr>
        <w:tc>
          <w:tcPr>
            <w:tcW w:w="10846" w:type="dxa"/>
            <w:gridSpan w:val="2"/>
          </w:tcPr>
          <w:p w14:paraId="7D9BF7AF"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w:t>
            </w:r>
            <w:proofErr w:type="spellStart"/>
            <w:r w:rsidRPr="00E500F5">
              <w:rPr>
                <w:rFonts w:eastAsia="楷体_GB2312"/>
                <w:bCs/>
                <w:color w:val="FFFFFF" w:themeColor="background1"/>
                <w:sz w:val="13"/>
                <w:szCs w:val="13"/>
                <w:lang w:eastAsia="zh-CN"/>
              </w:rPr>
              <w:t>Table_CompanyInvestDescription</w:t>
            </w:r>
            <w:proofErr w:type="spellEnd"/>
            <w:r w:rsidRPr="00E500F5">
              <w:rPr>
                <w:rFonts w:eastAsia="楷体_GB2312"/>
                <w:bCs/>
                <w:color w:val="FFFFFF" w:themeColor="background1"/>
                <w:sz w:val="13"/>
                <w:szCs w:val="13"/>
                <w:lang w:eastAsia="zh-CN"/>
              </w:rPr>
              <w:t>]</w:t>
            </w:r>
          </w:p>
        </w:tc>
      </w:tr>
      <w:tr w:rsidR="00970A2A" w:rsidRPr="003F4A47" w14:paraId="4673C784" w14:textId="77777777" w:rsidTr="00540879">
        <w:tc>
          <w:tcPr>
            <w:tcW w:w="10846" w:type="dxa"/>
            <w:gridSpan w:val="2"/>
            <w:tcBorders>
              <w:bottom w:val="single" w:sz="12" w:space="0" w:color="1F497D" w:themeColor="text2"/>
            </w:tcBorders>
          </w:tcPr>
          <w:p w14:paraId="59C71B6B" w14:textId="77777777" w:rsidR="00970A2A" w:rsidRPr="003F4A47" w:rsidRDefault="00970A2A" w:rsidP="00B9063D">
            <w:pPr>
              <w:jc w:val="both"/>
              <w:rPr>
                <w:rFonts w:eastAsia="楷体_GB2312"/>
                <w:b/>
                <w:color w:val="1F497D" w:themeColor="text2"/>
                <w:lang w:eastAsia="zh-CN"/>
              </w:rPr>
            </w:pPr>
            <w:r w:rsidRPr="003F4A47">
              <w:rPr>
                <w:rFonts w:eastAsia="楷体_GB2312"/>
                <w:b/>
                <w:bCs/>
                <w:color w:val="1F497D" w:themeColor="text2"/>
                <w:lang w:eastAsia="zh-CN"/>
              </w:rPr>
              <w:t>广发证券</w:t>
            </w:r>
            <w:r w:rsidRPr="003F4A47">
              <w:rPr>
                <w:rFonts w:eastAsia="楷体_GB2312"/>
                <w:b/>
                <w:bCs/>
                <w:color w:val="1F497D" w:themeColor="text2"/>
                <w:lang w:eastAsia="zh-CN"/>
              </w:rPr>
              <w:t>—</w:t>
            </w:r>
            <w:r w:rsidRPr="003F4A47">
              <w:rPr>
                <w:rFonts w:eastAsia="楷体_GB2312"/>
                <w:b/>
                <w:bCs/>
                <w:color w:val="1F497D" w:themeColor="text2"/>
                <w:lang w:eastAsia="zh-CN"/>
              </w:rPr>
              <w:t>公司投资评级说明</w:t>
            </w:r>
          </w:p>
        </w:tc>
      </w:tr>
      <w:tr w:rsidR="00970A2A" w:rsidRPr="003F4A47" w14:paraId="5A070F29" w14:textId="77777777" w:rsidTr="00540879">
        <w:tc>
          <w:tcPr>
            <w:tcW w:w="1101" w:type="dxa"/>
            <w:tcBorders>
              <w:top w:val="single" w:sz="12" w:space="0" w:color="1F497D" w:themeColor="text2"/>
            </w:tcBorders>
            <w:vAlign w:val="center"/>
          </w:tcPr>
          <w:p w14:paraId="62B9DF27" w14:textId="77777777" w:rsidR="00970A2A" w:rsidRPr="00317208" w:rsidRDefault="00540879" w:rsidP="00317208">
            <w:pPr>
              <w:pStyle w:val="aff3"/>
              <w:jc w:val="right"/>
              <w:rPr>
                <w:bCs w:val="0"/>
              </w:rPr>
            </w:pPr>
            <w:r>
              <w:rPr>
                <w:rFonts w:hint="eastAsia"/>
                <w:bCs w:val="0"/>
              </w:rPr>
              <w:t>买入：</w:t>
            </w:r>
          </w:p>
        </w:tc>
        <w:tc>
          <w:tcPr>
            <w:tcW w:w="9745" w:type="dxa"/>
            <w:tcBorders>
              <w:top w:val="single" w:sz="12" w:space="0" w:color="1F497D" w:themeColor="text2"/>
            </w:tcBorders>
          </w:tcPr>
          <w:p w14:paraId="0FB2D0F5"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14:paraId="51A7AFF7" w14:textId="77777777" w:rsidTr="00540879">
        <w:tc>
          <w:tcPr>
            <w:tcW w:w="1101" w:type="dxa"/>
            <w:shd w:val="clear" w:color="auto" w:fill="auto"/>
            <w:vAlign w:val="center"/>
          </w:tcPr>
          <w:p w14:paraId="5BDD6EA9" w14:textId="77777777" w:rsidR="00540879" w:rsidRPr="00317208" w:rsidRDefault="00540879" w:rsidP="00317208">
            <w:pPr>
              <w:pStyle w:val="aff3"/>
              <w:jc w:val="right"/>
              <w:rPr>
                <w:bCs w:val="0"/>
              </w:rPr>
            </w:pPr>
            <w:r>
              <w:rPr>
                <w:rFonts w:hint="eastAsia"/>
                <w:bCs w:val="0"/>
              </w:rPr>
              <w:t>增持：</w:t>
            </w:r>
          </w:p>
        </w:tc>
        <w:tc>
          <w:tcPr>
            <w:tcW w:w="9745" w:type="dxa"/>
            <w:shd w:val="clear" w:color="auto" w:fill="auto"/>
          </w:tcPr>
          <w:p w14:paraId="58EB3045" w14:textId="77777777" w:rsidR="00540879"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14:paraId="7A4B98E2" w14:textId="77777777" w:rsidTr="00540879">
        <w:tc>
          <w:tcPr>
            <w:tcW w:w="1101" w:type="dxa"/>
            <w:shd w:val="clear" w:color="auto" w:fill="auto"/>
            <w:vAlign w:val="center"/>
          </w:tcPr>
          <w:p w14:paraId="29167BF6" w14:textId="77777777" w:rsidR="00540879" w:rsidRPr="00317208" w:rsidRDefault="00540879" w:rsidP="00317208">
            <w:pPr>
              <w:pStyle w:val="aff3"/>
              <w:jc w:val="right"/>
              <w:rPr>
                <w:bCs w:val="0"/>
              </w:rPr>
            </w:pPr>
            <w:r>
              <w:rPr>
                <w:rFonts w:hint="eastAsia"/>
                <w:bCs w:val="0"/>
              </w:rPr>
              <w:t>持有：</w:t>
            </w:r>
          </w:p>
        </w:tc>
        <w:tc>
          <w:tcPr>
            <w:tcW w:w="9745" w:type="dxa"/>
            <w:shd w:val="clear" w:color="auto" w:fill="auto"/>
          </w:tcPr>
          <w:p w14:paraId="5E9E4F0D"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14:paraId="73C11DF2" w14:textId="77777777" w:rsidTr="00540879">
        <w:tc>
          <w:tcPr>
            <w:tcW w:w="1101" w:type="dxa"/>
            <w:shd w:val="clear" w:color="auto" w:fill="auto"/>
            <w:vAlign w:val="center"/>
          </w:tcPr>
          <w:p w14:paraId="41351D46" w14:textId="77777777" w:rsidR="00540879" w:rsidRPr="00317208" w:rsidRDefault="00540879" w:rsidP="00317208">
            <w:pPr>
              <w:pStyle w:val="aff3"/>
              <w:jc w:val="right"/>
              <w:rPr>
                <w:bCs w:val="0"/>
              </w:rPr>
            </w:pPr>
            <w:r>
              <w:rPr>
                <w:rFonts w:hint="eastAsia"/>
                <w:bCs w:val="0"/>
              </w:rPr>
              <w:t>卖出：</w:t>
            </w:r>
          </w:p>
        </w:tc>
        <w:tc>
          <w:tcPr>
            <w:tcW w:w="9745" w:type="dxa"/>
            <w:shd w:val="clear" w:color="auto" w:fill="auto"/>
          </w:tcPr>
          <w:p w14:paraId="2DB0D3FB"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14:paraId="52A6BDFB" w14:textId="77777777"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081"/>
        <w:gridCol w:w="1909"/>
        <w:gridCol w:w="1909"/>
        <w:gridCol w:w="1909"/>
        <w:gridCol w:w="1909"/>
        <w:gridCol w:w="1913"/>
      </w:tblGrid>
      <w:tr w:rsidR="003D227D" w14:paraId="7C101162" w14:textId="77777777" w:rsidTr="003D227D">
        <w:trPr>
          <w:trHeight w:hRule="exact" w:val="23"/>
        </w:trPr>
        <w:tc>
          <w:tcPr>
            <w:tcW w:w="5000" w:type="pct"/>
            <w:gridSpan w:val="6"/>
            <w:tcBorders>
              <w:top w:val="nil"/>
              <w:left w:val="nil"/>
              <w:bottom w:val="nil"/>
              <w:right w:val="nil"/>
            </w:tcBorders>
            <w:hideMark/>
          </w:tcPr>
          <w:p w14:paraId="61D323C4" w14:textId="77777777" w:rsidR="003D227D" w:rsidRDefault="003D227D">
            <w:pPr>
              <w:rPr>
                <w:rFonts w:eastAsia="楷体_GB2312"/>
                <w:color w:val="FFFFFF" w:themeColor="background1"/>
                <w:sz w:val="13"/>
                <w:szCs w:val="13"/>
              </w:rPr>
            </w:pPr>
            <w:r>
              <w:rPr>
                <w:rFonts w:eastAsia="楷体_GB2312"/>
                <w:color w:val="FFFFFF" w:themeColor="background1"/>
                <w:sz w:val="13"/>
                <w:szCs w:val="13"/>
              </w:rPr>
              <w:t>[</w:t>
            </w:r>
            <w:proofErr w:type="spellStart"/>
            <w:r>
              <w:rPr>
                <w:rFonts w:eastAsia="楷体_GB2312"/>
                <w:color w:val="FFFFFF" w:themeColor="background1"/>
                <w:sz w:val="13"/>
                <w:szCs w:val="13"/>
              </w:rPr>
              <w:t>Table_Address</w:t>
            </w:r>
            <w:proofErr w:type="spellEnd"/>
            <w:r>
              <w:rPr>
                <w:rFonts w:eastAsia="楷体_GB2312"/>
                <w:color w:val="FFFFFF" w:themeColor="background1"/>
                <w:sz w:val="13"/>
                <w:szCs w:val="13"/>
              </w:rPr>
              <w:t>]</w:t>
            </w:r>
          </w:p>
        </w:tc>
      </w:tr>
      <w:tr w:rsidR="003D227D" w14:paraId="022B35EF" w14:textId="77777777" w:rsidTr="003D227D">
        <w:trPr>
          <w:trHeight w:val="140"/>
        </w:trPr>
        <w:tc>
          <w:tcPr>
            <w:tcW w:w="5000" w:type="pct"/>
            <w:gridSpan w:val="6"/>
            <w:tcBorders>
              <w:top w:val="nil"/>
              <w:left w:val="nil"/>
              <w:bottom w:val="single" w:sz="12" w:space="0" w:color="1F497D" w:themeColor="text2"/>
              <w:right w:val="nil"/>
            </w:tcBorders>
            <w:hideMark/>
          </w:tcPr>
          <w:p w14:paraId="0F77CE1F" w14:textId="77777777"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14:paraId="172A74D0" w14:textId="77777777" w:rsidTr="00540879">
        <w:trPr>
          <w:trHeight w:val="140"/>
        </w:trPr>
        <w:tc>
          <w:tcPr>
            <w:tcW w:w="508" w:type="pct"/>
            <w:tcBorders>
              <w:top w:val="single" w:sz="12" w:space="0" w:color="1F497D" w:themeColor="text2"/>
              <w:left w:val="nil"/>
              <w:bottom w:val="nil"/>
              <w:right w:val="nil"/>
            </w:tcBorders>
          </w:tcPr>
          <w:p w14:paraId="4EC0CDEB" w14:textId="77777777"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14:paraId="55A87DC6" w14:textId="77777777" w:rsidR="003D227D" w:rsidRPr="009A3785" w:rsidRDefault="00540879" w:rsidP="009A3785">
            <w:pPr>
              <w:pStyle w:val="aff4"/>
            </w:pPr>
            <w:r>
              <w:rPr>
                <w:rFonts w:hint="eastAsia"/>
              </w:rPr>
              <w:t>广州市</w:t>
            </w:r>
          </w:p>
        </w:tc>
        <w:tc>
          <w:tcPr>
            <w:tcW w:w="898" w:type="pct"/>
            <w:tcBorders>
              <w:top w:val="single" w:sz="12" w:space="0" w:color="1F497D" w:themeColor="text2"/>
              <w:left w:val="nil"/>
              <w:bottom w:val="nil"/>
              <w:right w:val="nil"/>
            </w:tcBorders>
          </w:tcPr>
          <w:p w14:paraId="3BEDF7C3" w14:textId="77777777" w:rsidR="003D227D" w:rsidRDefault="00540879" w:rsidP="009A3785">
            <w:pPr>
              <w:pStyle w:val="aff4"/>
            </w:pPr>
            <w:r>
              <w:rPr>
                <w:rFonts w:hint="eastAsia"/>
              </w:rPr>
              <w:t>深圳市</w:t>
            </w:r>
          </w:p>
        </w:tc>
        <w:tc>
          <w:tcPr>
            <w:tcW w:w="898" w:type="pct"/>
            <w:tcBorders>
              <w:top w:val="single" w:sz="12" w:space="0" w:color="1F497D" w:themeColor="text2"/>
              <w:left w:val="nil"/>
              <w:bottom w:val="nil"/>
              <w:right w:val="nil"/>
            </w:tcBorders>
          </w:tcPr>
          <w:p w14:paraId="3346BDB8" w14:textId="77777777" w:rsidR="003D227D" w:rsidRDefault="00540879" w:rsidP="009A3785">
            <w:pPr>
              <w:pStyle w:val="aff4"/>
            </w:pPr>
            <w:r>
              <w:rPr>
                <w:rFonts w:hint="eastAsia"/>
              </w:rPr>
              <w:t>北京市</w:t>
            </w:r>
          </w:p>
        </w:tc>
        <w:tc>
          <w:tcPr>
            <w:tcW w:w="898" w:type="pct"/>
            <w:tcBorders>
              <w:top w:val="single" w:sz="12" w:space="0" w:color="1F497D" w:themeColor="text2"/>
              <w:left w:val="nil"/>
              <w:bottom w:val="nil"/>
              <w:right w:val="nil"/>
            </w:tcBorders>
          </w:tcPr>
          <w:p w14:paraId="3BE9196E" w14:textId="77777777" w:rsidR="003D227D" w:rsidRDefault="00540879" w:rsidP="009A3785">
            <w:pPr>
              <w:pStyle w:val="aff4"/>
            </w:pPr>
            <w:r>
              <w:rPr>
                <w:rFonts w:hint="eastAsia"/>
              </w:rPr>
              <w:t>上海市</w:t>
            </w:r>
          </w:p>
        </w:tc>
        <w:tc>
          <w:tcPr>
            <w:tcW w:w="900" w:type="pct"/>
            <w:tcBorders>
              <w:top w:val="single" w:sz="12" w:space="0" w:color="1F497D" w:themeColor="text2"/>
              <w:left w:val="nil"/>
              <w:bottom w:val="nil"/>
              <w:right w:val="nil"/>
            </w:tcBorders>
          </w:tcPr>
          <w:p w14:paraId="788165C7" w14:textId="77777777" w:rsidR="003D227D" w:rsidRDefault="00540879" w:rsidP="009A3785">
            <w:pPr>
              <w:pStyle w:val="aff4"/>
            </w:pPr>
            <w:r>
              <w:rPr>
                <w:rFonts w:hint="eastAsia"/>
              </w:rPr>
              <w:t>香港</w:t>
            </w:r>
          </w:p>
        </w:tc>
      </w:tr>
      <w:tr w:rsidR="003D227D" w14:paraId="7895830C" w14:textId="77777777" w:rsidTr="00540879">
        <w:trPr>
          <w:trHeight w:val="73"/>
        </w:trPr>
        <w:tc>
          <w:tcPr>
            <w:tcW w:w="508" w:type="pct"/>
            <w:tcBorders>
              <w:top w:val="nil"/>
              <w:left w:val="nil"/>
              <w:bottom w:val="nil"/>
              <w:right w:val="nil"/>
            </w:tcBorders>
            <w:hideMark/>
          </w:tcPr>
          <w:p w14:paraId="52D00A3B"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14:paraId="12255BE4"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广州市天河区马场路</w:t>
            </w:r>
            <w:r>
              <w:rPr>
                <w:rFonts w:ascii="Arial" w:eastAsia="楷体_GB2312" w:hAnsi="Arial" w:hint="eastAsia"/>
                <w:color w:val="1F497D" w:themeColor="text2"/>
                <w:sz w:val="18"/>
                <w:szCs w:val="18"/>
                <w:lang w:eastAsia="zh-CN"/>
              </w:rPr>
              <w:t>26</w:t>
            </w:r>
            <w:r>
              <w:rPr>
                <w:rFonts w:ascii="Arial" w:eastAsia="楷体_GB2312" w:hAnsi="Arial" w:hint="eastAsia"/>
                <w:color w:val="1F497D" w:themeColor="text2"/>
                <w:sz w:val="18"/>
                <w:szCs w:val="18"/>
                <w:lang w:eastAsia="zh-CN"/>
              </w:rPr>
              <w:t>号广发证券大厦</w:t>
            </w:r>
            <w:r>
              <w:rPr>
                <w:rFonts w:ascii="Arial" w:eastAsia="楷体_GB2312" w:hAnsi="Arial" w:hint="eastAsia"/>
                <w:color w:val="1F497D" w:themeColor="text2"/>
                <w:sz w:val="18"/>
                <w:szCs w:val="18"/>
                <w:lang w:eastAsia="zh-CN"/>
              </w:rPr>
              <w:t>35</w:t>
            </w:r>
            <w:r>
              <w:rPr>
                <w:rFonts w:ascii="Arial" w:eastAsia="楷体_GB2312" w:hAnsi="Arial" w:hint="eastAsia"/>
                <w:color w:val="1F497D" w:themeColor="text2"/>
                <w:sz w:val="18"/>
                <w:szCs w:val="18"/>
                <w:lang w:eastAsia="zh-CN"/>
              </w:rPr>
              <w:t>楼</w:t>
            </w:r>
          </w:p>
        </w:tc>
        <w:tc>
          <w:tcPr>
            <w:tcW w:w="898" w:type="pct"/>
            <w:tcBorders>
              <w:top w:val="nil"/>
              <w:left w:val="nil"/>
              <w:bottom w:val="nil"/>
              <w:right w:val="nil"/>
            </w:tcBorders>
          </w:tcPr>
          <w:p w14:paraId="3E43073B"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深圳市福田区益田路</w:t>
            </w:r>
            <w:r>
              <w:rPr>
                <w:rFonts w:ascii="Arial" w:eastAsia="楷体_GB2312" w:hAnsi="Arial" w:hint="eastAsia"/>
                <w:color w:val="1F497D" w:themeColor="text2"/>
                <w:sz w:val="18"/>
                <w:szCs w:val="18"/>
                <w:lang w:eastAsia="zh-CN"/>
              </w:rPr>
              <w:t>6001</w:t>
            </w:r>
            <w:r>
              <w:rPr>
                <w:rFonts w:ascii="Arial" w:eastAsia="楷体_GB2312" w:hAnsi="Arial" w:hint="eastAsia"/>
                <w:color w:val="1F497D" w:themeColor="text2"/>
                <w:sz w:val="18"/>
                <w:szCs w:val="18"/>
                <w:lang w:eastAsia="zh-CN"/>
              </w:rPr>
              <w:t>号太平金融大厦</w:t>
            </w:r>
            <w:r>
              <w:rPr>
                <w:rFonts w:ascii="Arial" w:eastAsia="楷体_GB2312" w:hAnsi="Arial" w:hint="eastAsia"/>
                <w:color w:val="1F497D" w:themeColor="text2"/>
                <w:sz w:val="18"/>
                <w:szCs w:val="18"/>
                <w:lang w:eastAsia="zh-CN"/>
              </w:rPr>
              <w:t>31</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2C792E43"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北京市西城区月坛北街</w:t>
            </w:r>
            <w:r>
              <w:rPr>
                <w:rFonts w:ascii="Arial" w:eastAsia="楷体_GB2312" w:hAnsi="Arial" w:hint="eastAsia"/>
                <w:color w:val="1F497D" w:themeColor="text2"/>
                <w:sz w:val="18"/>
                <w:szCs w:val="18"/>
                <w:lang w:eastAsia="zh-CN"/>
              </w:rPr>
              <w:t>2</w:t>
            </w:r>
            <w:r>
              <w:rPr>
                <w:rFonts w:ascii="Arial" w:eastAsia="楷体_GB2312" w:hAnsi="Arial" w:hint="eastAsia"/>
                <w:color w:val="1F497D" w:themeColor="text2"/>
                <w:sz w:val="18"/>
                <w:szCs w:val="18"/>
                <w:lang w:eastAsia="zh-CN"/>
              </w:rPr>
              <w:t>号月坛大厦</w:t>
            </w:r>
            <w:r>
              <w:rPr>
                <w:rFonts w:ascii="Arial" w:eastAsia="楷体_GB2312" w:hAnsi="Arial" w:hint="eastAsia"/>
                <w:color w:val="1F497D" w:themeColor="text2"/>
                <w:sz w:val="18"/>
                <w:szCs w:val="18"/>
                <w:lang w:eastAsia="zh-CN"/>
              </w:rPr>
              <w:t>18</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3FF093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上海市浦东新区南泉北路</w:t>
            </w:r>
            <w:r>
              <w:rPr>
                <w:rFonts w:ascii="Arial" w:eastAsia="楷体_GB2312" w:hAnsi="Arial" w:hint="eastAsia"/>
                <w:color w:val="1F497D" w:themeColor="text2"/>
                <w:sz w:val="18"/>
                <w:szCs w:val="18"/>
                <w:lang w:eastAsia="zh-CN"/>
              </w:rPr>
              <w:t>429</w:t>
            </w:r>
            <w:r>
              <w:rPr>
                <w:rFonts w:ascii="Arial" w:eastAsia="楷体_GB2312" w:hAnsi="Arial" w:hint="eastAsia"/>
                <w:color w:val="1F497D" w:themeColor="text2"/>
                <w:sz w:val="18"/>
                <w:szCs w:val="18"/>
                <w:lang w:eastAsia="zh-CN"/>
              </w:rPr>
              <w:t>号泰康保险大厦</w:t>
            </w:r>
            <w:r>
              <w:rPr>
                <w:rFonts w:ascii="Arial" w:eastAsia="楷体_GB2312" w:hAnsi="Arial" w:hint="eastAsia"/>
                <w:color w:val="1F497D" w:themeColor="text2"/>
                <w:sz w:val="18"/>
                <w:szCs w:val="18"/>
                <w:lang w:eastAsia="zh-CN"/>
              </w:rPr>
              <w:t>37</w:t>
            </w:r>
            <w:r>
              <w:rPr>
                <w:rFonts w:ascii="Arial" w:eastAsia="楷体_GB2312" w:hAnsi="Arial" w:hint="eastAsia"/>
                <w:color w:val="1F497D" w:themeColor="text2"/>
                <w:sz w:val="18"/>
                <w:szCs w:val="18"/>
                <w:lang w:eastAsia="zh-CN"/>
              </w:rPr>
              <w:t>楼</w:t>
            </w:r>
          </w:p>
        </w:tc>
        <w:tc>
          <w:tcPr>
            <w:tcW w:w="900" w:type="pct"/>
            <w:tcBorders>
              <w:top w:val="nil"/>
              <w:left w:val="nil"/>
              <w:bottom w:val="nil"/>
              <w:right w:val="nil"/>
            </w:tcBorders>
          </w:tcPr>
          <w:p w14:paraId="0B4F34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号李宝椿大厦</w:t>
            </w:r>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14:paraId="663FD18B" w14:textId="77777777" w:rsidTr="00540879">
        <w:trPr>
          <w:trHeight w:val="73"/>
        </w:trPr>
        <w:tc>
          <w:tcPr>
            <w:tcW w:w="508" w:type="pct"/>
            <w:tcBorders>
              <w:top w:val="nil"/>
              <w:left w:val="nil"/>
              <w:bottom w:val="nil"/>
              <w:right w:val="nil"/>
            </w:tcBorders>
            <w:hideMark/>
          </w:tcPr>
          <w:p w14:paraId="1AD15BD9"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14:paraId="6CBD4A4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14:paraId="34D86E33"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14:paraId="6E0868A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14:paraId="53A49FFF"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14:paraId="6D9AC9E2"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14:paraId="0F322FDA" w14:textId="77777777" w:rsidTr="00540879">
        <w:trPr>
          <w:trHeight w:val="73"/>
        </w:trPr>
        <w:tc>
          <w:tcPr>
            <w:tcW w:w="508" w:type="pct"/>
            <w:tcBorders>
              <w:top w:val="nil"/>
              <w:left w:val="nil"/>
              <w:bottom w:val="nil"/>
              <w:right w:val="nil"/>
            </w:tcBorders>
            <w:hideMark/>
          </w:tcPr>
          <w:p w14:paraId="3956B7CF" w14:textId="77777777"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14:paraId="4ED652C5" w14:textId="77777777"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14:paraId="13628156" w14:textId="77777777"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630"/>
      </w:tblGrid>
      <w:tr w:rsidR="00574C81" w:rsidRPr="00171F1D" w14:paraId="6EDC3C11" w14:textId="77777777" w:rsidTr="00B9063D">
        <w:trPr>
          <w:trHeight w:hRule="exact" w:val="23"/>
        </w:trPr>
        <w:tc>
          <w:tcPr>
            <w:tcW w:w="10846" w:type="dxa"/>
          </w:tcPr>
          <w:p w14:paraId="45086A21" w14:textId="77777777" w:rsidR="00574C81" w:rsidRPr="00171F1D" w:rsidRDefault="00574C81" w:rsidP="00B9063D">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w:t>
            </w:r>
            <w:proofErr w:type="spellStart"/>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proofErr w:type="spellEnd"/>
            <w:r w:rsidRPr="00171F1D">
              <w:rPr>
                <w:rFonts w:eastAsia="楷体_GB2312"/>
                <w:bCs/>
                <w:color w:val="FFFFFF" w:themeColor="background1"/>
                <w:sz w:val="13"/>
                <w:szCs w:val="13"/>
                <w:lang w:eastAsia="zh-CN"/>
              </w:rPr>
              <w:t>]</w:t>
            </w:r>
          </w:p>
        </w:tc>
      </w:tr>
      <w:tr w:rsidR="00574C81" w:rsidRPr="003F4A47" w14:paraId="243F2451" w14:textId="77777777" w:rsidTr="00B9063D">
        <w:tc>
          <w:tcPr>
            <w:tcW w:w="10846" w:type="dxa"/>
            <w:tcBorders>
              <w:bottom w:val="single" w:sz="12" w:space="0" w:color="1F497D" w:themeColor="text2"/>
            </w:tcBorders>
          </w:tcPr>
          <w:p w14:paraId="11F94E57"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14:paraId="16EA2801" w14:textId="77777777" w:rsidTr="00B9063D">
        <w:tc>
          <w:tcPr>
            <w:tcW w:w="10846" w:type="dxa"/>
            <w:tcBorders>
              <w:top w:val="single" w:sz="12" w:space="0" w:color="1F497D" w:themeColor="text2"/>
            </w:tcBorders>
            <w:vAlign w:val="center"/>
          </w:tcPr>
          <w:p w14:paraId="2561008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规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14:paraId="155F2C38"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14:paraId="7F3011A5"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14:paraId="7221D4B5"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本报告署名研究人员所持中国证券业协会注册分析师资质信息和香港证监会批复的牌照信息已于署名研究人员姓名处披露。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14:paraId="300D78C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630"/>
      </w:tblGrid>
      <w:tr w:rsidR="00574C81" w:rsidRPr="00C642B5" w14:paraId="7425AC39" w14:textId="77777777" w:rsidTr="00B9063D">
        <w:trPr>
          <w:trHeight w:hRule="exact" w:val="23"/>
        </w:trPr>
        <w:tc>
          <w:tcPr>
            <w:tcW w:w="10846" w:type="dxa"/>
          </w:tcPr>
          <w:p w14:paraId="0FDEDF35" w14:textId="77777777" w:rsidR="00574C81" w:rsidRPr="00C642B5" w:rsidRDefault="00574C81" w:rsidP="00B9063D">
            <w:pPr>
              <w:jc w:val="both"/>
              <w:rPr>
                <w:rFonts w:eastAsia="楷体_GB2312"/>
                <w:bCs/>
                <w:sz w:val="13"/>
                <w:szCs w:val="13"/>
                <w:lang w:eastAsia="zh-CN"/>
              </w:rPr>
            </w:pPr>
            <w:r w:rsidRPr="00C642B5">
              <w:rPr>
                <w:rFonts w:eastAsia="楷体_GB2312"/>
                <w:bCs/>
                <w:sz w:val="13"/>
                <w:szCs w:val="13"/>
                <w:lang w:eastAsia="zh-CN"/>
              </w:rPr>
              <w:t>[</w:t>
            </w:r>
            <w:proofErr w:type="spellStart"/>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proofErr w:type="spellEnd"/>
            <w:r w:rsidRPr="00C642B5">
              <w:rPr>
                <w:rFonts w:eastAsia="楷体_GB2312"/>
                <w:bCs/>
                <w:sz w:val="13"/>
                <w:szCs w:val="13"/>
                <w:lang w:eastAsia="zh-CN"/>
              </w:rPr>
              <w:t>]</w:t>
            </w:r>
          </w:p>
        </w:tc>
      </w:tr>
      <w:tr w:rsidR="00574C81" w:rsidRPr="003F4A47" w14:paraId="78401F49" w14:textId="77777777" w:rsidTr="00B9063D">
        <w:tc>
          <w:tcPr>
            <w:tcW w:w="10846" w:type="dxa"/>
            <w:tcBorders>
              <w:bottom w:val="single" w:sz="12" w:space="0" w:color="1F497D" w:themeColor="text2"/>
            </w:tcBorders>
          </w:tcPr>
          <w:p w14:paraId="644CFAD8"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14:paraId="6BF78E0C" w14:textId="77777777" w:rsidTr="00B9063D">
        <w:trPr>
          <w:trHeight w:val="1716"/>
        </w:trPr>
        <w:tc>
          <w:tcPr>
            <w:tcW w:w="10846" w:type="dxa"/>
            <w:tcBorders>
              <w:top w:val="single" w:sz="12" w:space="0" w:color="1F497D" w:themeColor="text2"/>
            </w:tcBorders>
            <w:vAlign w:val="center"/>
          </w:tcPr>
          <w:p w14:paraId="4EFD262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作出任何投资决策。投资者应自主作出投资决策并自行承担投资风险，任何形式的分享证券投资收益或者分担证券投资损失的书面或者口头承诺均为无效。</w:t>
            </w:r>
          </w:p>
          <w:p w14:paraId="60ADC96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14:paraId="06159FAA"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14:paraId="069AE54C"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特定合作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14:paraId="7F5B525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14:paraId="6D7313F2"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14:paraId="72D10F3E"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14:paraId="59429FC1"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类受规管活动（就期货合约提供意见）有关联或构成此活动。</w:t>
            </w:r>
          </w:p>
        </w:tc>
      </w:tr>
    </w:tbl>
    <w:p w14:paraId="1311418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630"/>
      </w:tblGrid>
      <w:tr w:rsidR="007566F5" w:rsidRPr="008C6C73" w14:paraId="066895E6" w14:textId="77777777" w:rsidTr="00B9063D">
        <w:trPr>
          <w:trHeight w:hRule="exact" w:val="23"/>
        </w:trPr>
        <w:tc>
          <w:tcPr>
            <w:tcW w:w="10846" w:type="dxa"/>
          </w:tcPr>
          <w:p w14:paraId="180B592B" w14:textId="77777777" w:rsidR="007566F5" w:rsidRPr="008C6C73" w:rsidRDefault="007566F5" w:rsidP="00B9063D">
            <w:pPr>
              <w:jc w:val="both"/>
              <w:rPr>
                <w:rFonts w:eastAsia="楷体_GB2312"/>
                <w:bCs/>
                <w:sz w:val="10"/>
                <w:szCs w:val="10"/>
                <w:lang w:eastAsia="zh-CN"/>
              </w:rPr>
            </w:pPr>
            <w:r w:rsidRPr="008C6C73">
              <w:rPr>
                <w:rFonts w:eastAsia="楷体_GB2312"/>
                <w:bCs/>
                <w:color w:val="FFFFFF" w:themeColor="background1"/>
                <w:sz w:val="10"/>
                <w:szCs w:val="10"/>
                <w:lang w:eastAsia="zh-CN"/>
              </w:rPr>
              <w:t>[</w:t>
            </w:r>
            <w:proofErr w:type="spellStart"/>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roofErr w:type="spellEnd"/>
            <w:r w:rsidRPr="008C6C73">
              <w:rPr>
                <w:rFonts w:eastAsia="楷体_GB2312"/>
                <w:bCs/>
                <w:color w:val="FFFFFF" w:themeColor="background1"/>
                <w:sz w:val="10"/>
                <w:szCs w:val="10"/>
                <w:lang w:eastAsia="zh-CN"/>
              </w:rPr>
              <w:t>]</w:t>
            </w:r>
          </w:p>
        </w:tc>
      </w:tr>
      <w:tr w:rsidR="007566F5" w:rsidRPr="003F4A47" w14:paraId="65B354F0" w14:textId="77777777" w:rsidTr="00B9063D">
        <w:tc>
          <w:tcPr>
            <w:tcW w:w="10846" w:type="dxa"/>
            <w:tcBorders>
              <w:bottom w:val="single" w:sz="12" w:space="0" w:color="1F497D" w:themeColor="text2"/>
            </w:tcBorders>
          </w:tcPr>
          <w:p w14:paraId="754B52C5" w14:textId="77777777" w:rsidR="007566F5" w:rsidRPr="003F4A47" w:rsidRDefault="007566F5" w:rsidP="00B9063D">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14:paraId="27782A02" w14:textId="77777777" w:rsidTr="00B9063D">
        <w:tc>
          <w:tcPr>
            <w:tcW w:w="10846" w:type="dxa"/>
            <w:tcBorders>
              <w:top w:val="single" w:sz="12" w:space="0" w:color="1F497D" w:themeColor="text2"/>
            </w:tcBorders>
            <w:vAlign w:val="center"/>
          </w:tcPr>
          <w:p w14:paraId="2BCE6151" w14:textId="77777777" w:rsidR="007566F5"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r>
              <w:rPr>
                <w:rStyle w:val="ArialNarrowRGB214297"/>
                <w:rFonts w:ascii="Arial" w:eastAsia="楷体_GB2312" w:hAnsi="Arial" w:hint="eastAsia"/>
                <w:bCs/>
                <w:color w:val="1F497D" w:themeColor="text2"/>
                <w:spacing w:val="-4"/>
                <w:kern w:val="2"/>
                <w:lang w:eastAsia="zh-CN"/>
              </w:rPr>
              <w:t>个月内并没有任何投资银行业务的关系。</w:t>
            </w:r>
          </w:p>
        </w:tc>
      </w:tr>
    </w:tbl>
    <w:p w14:paraId="47F05070" w14:textId="77777777"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630"/>
      </w:tblGrid>
      <w:tr w:rsidR="00574C81" w:rsidRPr="003369ED" w14:paraId="736782ED" w14:textId="77777777" w:rsidTr="00B9063D">
        <w:trPr>
          <w:trHeight w:hRule="exact" w:val="23"/>
        </w:trPr>
        <w:tc>
          <w:tcPr>
            <w:tcW w:w="10846" w:type="dxa"/>
          </w:tcPr>
          <w:p w14:paraId="694ABDFD" w14:textId="77777777" w:rsidR="00574C81" w:rsidRPr="003369ED" w:rsidRDefault="00574C81" w:rsidP="00B9063D">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w:t>
            </w:r>
            <w:proofErr w:type="spellStart"/>
            <w:r w:rsidRPr="003369ED">
              <w:rPr>
                <w:rFonts w:eastAsia="楷体_GB2312"/>
                <w:bCs/>
                <w:color w:val="FFFFFF" w:themeColor="background1"/>
                <w:sz w:val="13"/>
                <w:szCs w:val="13"/>
                <w:lang w:eastAsia="zh-CN"/>
              </w:rPr>
              <w:t>Table_Copyright</w:t>
            </w:r>
            <w:proofErr w:type="spellEnd"/>
            <w:r w:rsidRPr="003369ED">
              <w:rPr>
                <w:rFonts w:eastAsia="楷体_GB2312"/>
                <w:bCs/>
                <w:color w:val="FFFFFF" w:themeColor="background1"/>
                <w:sz w:val="13"/>
                <w:szCs w:val="13"/>
                <w:lang w:eastAsia="zh-CN"/>
              </w:rPr>
              <w:t>]</w:t>
            </w:r>
          </w:p>
        </w:tc>
      </w:tr>
      <w:tr w:rsidR="00574C81" w:rsidRPr="003F4A47" w14:paraId="31FD1F69" w14:textId="77777777" w:rsidTr="00B9063D">
        <w:tc>
          <w:tcPr>
            <w:tcW w:w="10846" w:type="dxa"/>
            <w:tcBorders>
              <w:bottom w:val="single" w:sz="12" w:space="0" w:color="1F497D" w:themeColor="text2"/>
            </w:tcBorders>
          </w:tcPr>
          <w:p w14:paraId="6516AD24"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14:paraId="730B3073" w14:textId="77777777" w:rsidTr="00B9063D">
        <w:tc>
          <w:tcPr>
            <w:tcW w:w="10846" w:type="dxa"/>
            <w:tcBorders>
              <w:top w:val="single" w:sz="12" w:space="0" w:color="1F497D" w:themeColor="text2"/>
            </w:tcBorders>
            <w:vAlign w:val="center"/>
          </w:tcPr>
          <w:p w14:paraId="56AAD71C"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74"/>
    </w:tbl>
    <w:p w14:paraId="0F4E9F78" w14:textId="77777777"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2ECFC" w14:textId="77777777" w:rsidR="00446BDA" w:rsidRDefault="00446BDA">
      <w:r>
        <w:separator/>
      </w:r>
    </w:p>
  </w:endnote>
  <w:endnote w:type="continuationSeparator" w:id="0">
    <w:p w14:paraId="0579D130" w14:textId="77777777" w:rsidR="00446BDA" w:rsidRDefault="0044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82E6" w14:textId="77777777" w:rsidR="009F679D" w:rsidRPr="00557EC3" w:rsidRDefault="009F679D"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66432" behindDoc="0" locked="0" layoutInCell="1" allowOverlap="1" wp14:anchorId="03B7E0A3" wp14:editId="3D535259">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02D166"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522B9FA0" w14:textId="77777777" w:rsidR="009F679D" w:rsidRPr="005B23A7" w:rsidRDefault="009F679D"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AF04" w14:textId="77777777" w:rsidR="009F679D" w:rsidRPr="00557EC3" w:rsidRDefault="009F679D"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4144" behindDoc="0" locked="0" layoutInCell="1" allowOverlap="1" wp14:anchorId="37AEE5B6" wp14:editId="48258A26">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95EEBC"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1830004D" w14:textId="77777777" w:rsidR="009F679D" w:rsidRPr="005B23A7" w:rsidRDefault="009F679D"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44517" w14:textId="77777777" w:rsidR="00446BDA" w:rsidRDefault="00446BDA">
      <w:r>
        <w:separator/>
      </w:r>
    </w:p>
  </w:footnote>
  <w:footnote w:type="continuationSeparator" w:id="0">
    <w:p w14:paraId="43AD8F02" w14:textId="77777777" w:rsidR="00446BDA" w:rsidRDefault="00446BDA">
      <w:r>
        <w:continuationSeparator/>
      </w:r>
    </w:p>
  </w:footnote>
  <w:footnote w:id="1">
    <w:p w14:paraId="307BDB70" w14:textId="77777777" w:rsidR="009F679D" w:rsidRPr="00D54BE2" w:rsidRDefault="009F679D" w:rsidP="009A63B1">
      <w:pPr>
        <w:pStyle w:val="aff5"/>
        <w:rPr>
          <w:rFonts w:eastAsiaTheme="minorEastAsia"/>
          <w:lang w:eastAsia="zh-CN"/>
        </w:rPr>
      </w:pPr>
      <w:r>
        <w:rPr>
          <w:rStyle w:val="aff7"/>
        </w:rPr>
        <w:footnoteRef/>
      </w:r>
      <w:r>
        <w:t xml:space="preserve"> </w:t>
      </w:r>
      <w:r>
        <w:rPr>
          <w:rFonts w:eastAsiaTheme="minorEastAsia" w:hint="eastAsia"/>
          <w:lang w:eastAsia="zh-CN"/>
        </w:rPr>
        <w:t>来自</w:t>
      </w:r>
      <w:r>
        <w:rPr>
          <w:rFonts w:eastAsiaTheme="minorEastAsia" w:hint="eastAsia"/>
          <w:lang w:eastAsia="zh-CN"/>
        </w:rPr>
        <w:t>C</w:t>
      </w:r>
      <w:r>
        <w:rPr>
          <w:rFonts w:eastAsiaTheme="minorEastAsia"/>
          <w:lang w:eastAsia="zh-CN"/>
        </w:rPr>
        <w:t xml:space="preserve">FA </w:t>
      </w:r>
      <w:r>
        <w:rPr>
          <w:rFonts w:eastAsiaTheme="minorEastAsia" w:hint="eastAsia"/>
          <w:lang w:eastAsia="zh-CN"/>
        </w:rPr>
        <w:t>institute</w:t>
      </w:r>
    </w:p>
  </w:footnote>
  <w:footnote w:id="2">
    <w:p w14:paraId="1A9E211F" w14:textId="77777777" w:rsidR="009F679D" w:rsidRPr="007252B0" w:rsidRDefault="009F679D" w:rsidP="009A63B1">
      <w:pPr>
        <w:pStyle w:val="aff5"/>
        <w:rPr>
          <w:rFonts w:eastAsiaTheme="minorEastAsia"/>
          <w:lang w:eastAsia="zh-CN"/>
        </w:rPr>
      </w:pPr>
      <w:r>
        <w:rPr>
          <w:rStyle w:val="aff7"/>
        </w:rPr>
        <w:footnoteRef/>
      </w:r>
      <w:r>
        <w:t xml:space="preserve"> </w:t>
      </w:r>
      <w:r w:rsidRPr="007252B0">
        <w:t>Tierney, David, E, et al. Benchmark Orthogonality Properties[J]. Journal of Portfolio Management, 1995.</w:t>
      </w:r>
      <w:r>
        <w:t xml:space="preserve"> </w:t>
      </w:r>
    </w:p>
  </w:footnote>
  <w:footnote w:id="3">
    <w:p w14:paraId="3F69560A" w14:textId="77777777" w:rsidR="009F679D" w:rsidRPr="006C74C4" w:rsidRDefault="009F679D" w:rsidP="009A63B1">
      <w:pPr>
        <w:pStyle w:val="aff5"/>
        <w:rPr>
          <w:rFonts w:eastAsiaTheme="minorEastAsia"/>
          <w:lang w:eastAsia="zh-CN"/>
        </w:rPr>
      </w:pPr>
      <w:r>
        <w:rPr>
          <w:rStyle w:val="aff7"/>
        </w:rPr>
        <w:footnoteRef/>
      </w:r>
      <w:r>
        <w:t xml:space="preserve"> </w:t>
      </w:r>
      <w:proofErr w:type="spellStart"/>
      <w:r w:rsidRPr="006C74C4">
        <w:t>Broeders</w:t>
      </w:r>
      <w:proofErr w:type="spellEnd"/>
      <w:r w:rsidRPr="006C74C4">
        <w:t xml:space="preserve"> D , </w:t>
      </w:r>
      <w:proofErr w:type="spellStart"/>
      <w:r w:rsidRPr="006C74C4">
        <w:t>Haan</w:t>
      </w:r>
      <w:proofErr w:type="spellEnd"/>
      <w:r w:rsidRPr="006C74C4">
        <w:t xml:space="preserve"> L D . Benchmark Selection and Performance[J]. SSRN Electronic Journal, 2018.</w:t>
      </w:r>
    </w:p>
  </w:footnote>
  <w:footnote w:id="4">
    <w:p w14:paraId="471684D1" w14:textId="77777777" w:rsidR="009F679D" w:rsidRDefault="009F679D" w:rsidP="009A63B1">
      <w:pPr>
        <w:pStyle w:val="aff5"/>
      </w:pPr>
      <w:r>
        <w:rPr>
          <w:rStyle w:val="aff7"/>
        </w:rPr>
        <w:footnoteRef/>
      </w:r>
      <w:r>
        <w:t xml:space="preserve"> Brinson GP, Hood LR and </w:t>
      </w:r>
      <w:proofErr w:type="spellStart"/>
      <w:r>
        <w:t>Beebower</w:t>
      </w:r>
      <w:proofErr w:type="spellEnd"/>
      <w:r>
        <w:t xml:space="preserve"> GL (1986) Determinants of portfolio performance. Financial Analysts Journal 42, 39–44.</w:t>
      </w:r>
    </w:p>
    <w:p w14:paraId="45F20ED5" w14:textId="77777777" w:rsidR="009F679D" w:rsidRPr="00632132" w:rsidRDefault="009F679D" w:rsidP="009A63B1">
      <w:pPr>
        <w:pStyle w:val="aff5"/>
      </w:pPr>
      <w:bookmarkStart w:id="13" w:name="OLE_LINK1"/>
      <w:bookmarkStart w:id="14" w:name="OLE_LINK2"/>
      <w:bookmarkStart w:id="15" w:name="OLE_LINK5"/>
      <w:r>
        <w:t xml:space="preserve">Brinson GP, Singer BD and </w:t>
      </w:r>
      <w:proofErr w:type="spellStart"/>
      <w:r>
        <w:t>Beebower</w:t>
      </w:r>
      <w:proofErr w:type="spellEnd"/>
      <w:r>
        <w:t xml:space="preserve"> GL (1991) </w:t>
      </w:r>
      <w:bookmarkStart w:id="16" w:name="OLE_LINK3"/>
      <w:bookmarkStart w:id="17" w:name="OLE_LINK4"/>
      <w:r>
        <w:t>Determinants of portfolio performance II: an update.</w:t>
      </w:r>
      <w:bookmarkEnd w:id="16"/>
      <w:bookmarkEnd w:id="17"/>
      <w:r>
        <w:t xml:space="preserve"> Financial Analysts Journal 47, 40–48.</w:t>
      </w:r>
      <w:bookmarkEnd w:id="13"/>
      <w:bookmarkEnd w:id="14"/>
      <w:bookmarkEnd w:id="15"/>
    </w:p>
  </w:footnote>
  <w:footnote w:id="5">
    <w:p w14:paraId="722FD11A" w14:textId="77777777" w:rsidR="009F679D" w:rsidRPr="00632132" w:rsidRDefault="009F679D" w:rsidP="009A63B1">
      <w:pPr>
        <w:pStyle w:val="aff5"/>
      </w:pPr>
      <w:r>
        <w:rPr>
          <w:rStyle w:val="aff7"/>
        </w:rPr>
        <w:footnoteRef/>
      </w:r>
      <w:r>
        <w:t xml:space="preserve"> Brown KC, </w:t>
      </w:r>
      <w:proofErr w:type="spellStart"/>
      <w:r>
        <w:t>Garlappi</w:t>
      </w:r>
      <w:proofErr w:type="spellEnd"/>
      <w:r>
        <w:t xml:space="preserve"> L and Tiu C (2010) Asset allocation and portfolio performance: evidence from university endowment funds. Journal of Financial Markets 13, 268–294.</w:t>
      </w:r>
    </w:p>
  </w:footnote>
  <w:footnote w:id="6">
    <w:p w14:paraId="2F75B67A" w14:textId="77777777" w:rsidR="009F679D" w:rsidRPr="00632132" w:rsidRDefault="009F679D" w:rsidP="009A63B1">
      <w:pPr>
        <w:pStyle w:val="aff5"/>
      </w:pPr>
      <w:r>
        <w:rPr>
          <w:rStyle w:val="aff7"/>
        </w:rPr>
        <w:footnoteRef/>
      </w:r>
      <w:r>
        <w:t xml:space="preserve"> </w:t>
      </w:r>
      <w:proofErr w:type="spellStart"/>
      <w:r>
        <w:t>Andonov</w:t>
      </w:r>
      <w:proofErr w:type="spellEnd"/>
      <w:r>
        <w:t xml:space="preserve"> A, Bauer RMMJ and </w:t>
      </w:r>
      <w:proofErr w:type="spellStart"/>
      <w:r>
        <w:t>Cremers</w:t>
      </w:r>
      <w:proofErr w:type="spellEnd"/>
      <w:r>
        <w:t xml:space="preserve"> KJM (2012) Can large pension funds beat the market? Asset allocation, market timing, security selection and the limits of liquidity. Available at ssrn.com/abstract=1885536.</w:t>
      </w:r>
    </w:p>
  </w:footnote>
  <w:footnote w:id="7">
    <w:p w14:paraId="0D6FD725" w14:textId="5948F2D2" w:rsidR="009F679D" w:rsidRPr="00A82F2A" w:rsidRDefault="009F679D">
      <w:pPr>
        <w:pStyle w:val="aff5"/>
        <w:rPr>
          <w:rFonts w:eastAsiaTheme="minorEastAsia"/>
          <w:lang w:eastAsia="zh-CN"/>
        </w:rPr>
      </w:pPr>
      <w:r>
        <w:rPr>
          <w:rStyle w:val="aff7"/>
        </w:rPr>
        <w:footnoteRef/>
      </w:r>
      <w:r>
        <w:t xml:space="preserve"> </w:t>
      </w:r>
      <w:proofErr w:type="spellStart"/>
      <w:r w:rsidRPr="00A82F2A">
        <w:t>Bülent</w:t>
      </w:r>
      <w:proofErr w:type="spellEnd"/>
      <w:r w:rsidRPr="00A82F2A">
        <w:t xml:space="preserve"> </w:t>
      </w:r>
      <w:proofErr w:type="spellStart"/>
      <w:r w:rsidRPr="00A82F2A">
        <w:t>Baygün</w:t>
      </w:r>
      <w:proofErr w:type="spellEnd"/>
      <w:r w:rsidRPr="00A82F2A">
        <w:t xml:space="preserve">, </w:t>
      </w:r>
      <w:proofErr w:type="spellStart"/>
      <w:r w:rsidRPr="00A82F2A">
        <w:t>Tzucker</w:t>
      </w:r>
      <w:proofErr w:type="spellEnd"/>
      <w:r w:rsidRPr="00A82F2A">
        <w:t xml:space="preserve"> R . Bond Portfolio Strategies for Outperforming a Benchmark[M]// Handbook of Finance.</w:t>
      </w:r>
    </w:p>
  </w:footnote>
  <w:footnote w:id="8">
    <w:p w14:paraId="70ACEEF1" w14:textId="26E6E984" w:rsidR="009F679D" w:rsidRPr="005812D9" w:rsidRDefault="009F679D">
      <w:pPr>
        <w:pStyle w:val="aff5"/>
        <w:rPr>
          <w:rFonts w:eastAsiaTheme="minorEastAsia"/>
          <w:lang w:eastAsia="zh-CN"/>
        </w:rPr>
      </w:pPr>
      <w:r>
        <w:rPr>
          <w:rStyle w:val="aff7"/>
        </w:rPr>
        <w:footnoteRef/>
      </w:r>
      <w:r>
        <w:t xml:space="preserve"> </w:t>
      </w:r>
      <w:r w:rsidRPr="005812D9">
        <w:t>Daniel K E A . Measuring Mutual Fund Performance with Characteristic-Based Benchmarks[J]. Journal of Finance, 1997, 52(3):1035-1058.</w:t>
      </w:r>
    </w:p>
  </w:footnote>
  <w:footnote w:id="9">
    <w:p w14:paraId="55357286" w14:textId="6F0B39D5" w:rsidR="009F679D" w:rsidRPr="00967830" w:rsidRDefault="009F679D">
      <w:pPr>
        <w:pStyle w:val="aff5"/>
        <w:rPr>
          <w:rFonts w:eastAsiaTheme="minorEastAsia"/>
          <w:lang w:eastAsia="zh-CN"/>
        </w:rPr>
      </w:pPr>
      <w:r>
        <w:rPr>
          <w:rStyle w:val="aff7"/>
        </w:rPr>
        <w:footnoteRef/>
      </w:r>
      <w:r>
        <w:t xml:space="preserve"> </w:t>
      </w:r>
      <w:r w:rsidRPr="00967830">
        <w:t xml:space="preserve">Fong K , Gallagher D R , Lee A D . Benchmarking benchmarks: measuring characteristic selectivity using portfolio holdings data[J]. Accounting &amp; Finance, 2014, 48(5):761-781.  </w:t>
      </w:r>
    </w:p>
  </w:footnote>
  <w:footnote w:id="10">
    <w:p w14:paraId="05946C20" w14:textId="346C0E86" w:rsidR="009F679D" w:rsidRPr="0023442E" w:rsidRDefault="009F679D">
      <w:pPr>
        <w:pStyle w:val="aff5"/>
        <w:rPr>
          <w:rFonts w:eastAsiaTheme="minorEastAsia"/>
          <w:lang w:eastAsia="zh-CN"/>
        </w:rPr>
      </w:pPr>
      <w:r>
        <w:rPr>
          <w:rStyle w:val="aff7"/>
        </w:rPr>
        <w:footnoteRef/>
      </w:r>
      <w:r>
        <w:t xml:space="preserve"> </w:t>
      </w:r>
      <w:r w:rsidRPr="0023442E">
        <w:t xml:space="preserve">Natter, Markus. Options-based benchmark </w:t>
      </w:r>
      <w:proofErr w:type="spellStart"/>
      <w:r w:rsidRPr="0023442E">
        <w:t>indicesA</w:t>
      </w:r>
      <w:proofErr w:type="spellEnd"/>
      <w:r w:rsidRPr="0023442E">
        <w:t xml:space="preserve"> review of performance and (in)appropriate measures[J]. Journal of Futures Markets,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2628" w14:textId="77777777" w:rsidR="009F679D" w:rsidRPr="008919F6" w:rsidRDefault="009F679D"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678720" behindDoc="0" locked="0" layoutInCell="1" allowOverlap="1" wp14:anchorId="7FFFE2D7" wp14:editId="5B6050C3">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tblGrid>
                          <w:tr w:rsidR="009F679D" w:rsidRPr="00364554" w14:paraId="1A62E004" w14:textId="77777777" w:rsidTr="00364554">
                            <w:trPr>
                              <w:trHeight w:hRule="exact" w:val="23"/>
                            </w:trPr>
                            <w:tc>
                              <w:tcPr>
                                <w:tcW w:w="4147" w:type="dxa"/>
                              </w:tcPr>
                              <w:p w14:paraId="1E5768F9" w14:textId="77777777" w:rsidR="009F679D" w:rsidRPr="00364554" w:rsidRDefault="009F679D"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9F679D" w14:paraId="41FDF939" w14:textId="77777777" w:rsidTr="00B9063D">
                            <w:trPr>
                              <w:trHeight w:hRule="exact" w:val="386"/>
                            </w:trPr>
                            <w:tc>
                              <w:tcPr>
                                <w:tcW w:w="4147" w:type="dxa"/>
                                <w:vAlign w:val="bottom"/>
                              </w:tcPr>
                              <w:p w14:paraId="5E38BED6" w14:textId="77777777" w:rsidR="009F679D" w:rsidRPr="00A703E3" w:rsidRDefault="009F679D"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9F679D" w:rsidRPr="00E81E90" w:rsidRDefault="009F679D"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FE2D7"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" filled="f" stroked="f" strokeweight=".5pt">
              <v:textbox inset=",0,,0">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tblGrid>
                    <w:tr w:rsidR="009F679D" w:rsidRPr="00364554" w14:paraId="1A62E004" w14:textId="77777777" w:rsidTr="00364554">
                      <w:trPr>
                        <w:trHeight w:hRule="exact" w:val="23"/>
                      </w:trPr>
                      <w:tc>
                        <w:tcPr>
                          <w:tcW w:w="4147" w:type="dxa"/>
                        </w:tcPr>
                        <w:p w14:paraId="1E5768F9" w14:textId="77777777" w:rsidR="009F679D" w:rsidRPr="00364554" w:rsidRDefault="009F679D"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w:t>
                          </w:r>
                          <w:proofErr w:type="spellStart"/>
                          <w:r w:rsidRPr="00364554">
                            <w:rPr>
                              <w:rFonts w:eastAsiaTheme="minorEastAsia" w:hint="eastAsia"/>
                              <w:color w:val="FFFFFF" w:themeColor="background1"/>
                              <w:sz w:val="15"/>
                              <w:szCs w:val="15"/>
                              <w:lang w:eastAsia="zh-CN"/>
                            </w:rPr>
                            <w:t>Table_PageText</w:t>
                          </w:r>
                          <w:proofErr w:type="spellEnd"/>
                          <w:r w:rsidRPr="00364554">
                            <w:rPr>
                              <w:rFonts w:eastAsiaTheme="minorEastAsia" w:hint="eastAsia"/>
                              <w:color w:val="FFFFFF" w:themeColor="background1"/>
                              <w:sz w:val="15"/>
                              <w:szCs w:val="15"/>
                              <w:lang w:eastAsia="zh-CN"/>
                            </w:rPr>
                            <w:t>]</w:t>
                          </w:r>
                        </w:p>
                      </w:tc>
                    </w:tr>
                    <w:tr w:rsidR="009F679D" w14:paraId="41FDF939" w14:textId="77777777" w:rsidTr="00B9063D">
                      <w:trPr>
                        <w:trHeight w:hRule="exact" w:val="386"/>
                      </w:trPr>
                      <w:tc>
                        <w:tcPr>
                          <w:tcW w:w="4147" w:type="dxa"/>
                          <w:vAlign w:val="bottom"/>
                        </w:tcPr>
                        <w:p w14:paraId="5E38BED6" w14:textId="77777777" w:rsidR="009F679D" w:rsidRPr="00A703E3" w:rsidRDefault="009F679D"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9F679D" w:rsidRPr="00E81E90" w:rsidRDefault="009F679D" w:rsidP="00DF4863">
                    <w:pPr>
                      <w:jc w:val="right"/>
                      <w:rPr>
                        <w:rFonts w:ascii="黑体" w:eastAsia="黑体"/>
                        <w:color w:val="1F497D"/>
                        <w:sz w:val="21"/>
                        <w:szCs w:val="21"/>
                        <w:lang w:eastAsia="zh-CN"/>
                      </w:rPr>
                    </w:pPr>
                  </w:p>
                </w:txbxContent>
              </v:textbox>
            </v:shape>
          </w:pict>
        </mc:Fallback>
      </mc:AlternateContent>
    </w:r>
    <w:r>
      <w:rPr>
        <w:rFonts w:eastAsia="宋体" w:hint="eastAsia"/>
        <w:noProof/>
        <w:lang w:eastAsia="zh-CN"/>
      </w:rPr>
      <w:drawing>
        <wp:inline distT="0" distB="0" distL="0" distR="0" wp14:anchorId="3875F400" wp14:editId="19073D82">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14:paraId="36DE936A" w14:textId="77777777" w:rsidR="009F679D" w:rsidRPr="007C00E7" w:rsidRDefault="009F679D"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641856" behindDoc="0" locked="0" layoutInCell="1" allowOverlap="1" wp14:anchorId="49B2369A" wp14:editId="45CF5096">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DAA68A"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6418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" strokecolor="#009ee1"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D3EA7" w14:textId="77777777" w:rsidR="009F679D" w:rsidRPr="00C04C01" w:rsidRDefault="009F679D"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672576" behindDoc="0" locked="0" layoutInCell="1" allowOverlap="1" wp14:anchorId="467BF3F7" wp14:editId="408B0197">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9F679D" w14:paraId="460F4BFB" w14:textId="77777777" w:rsidTr="00B9063D">
                            <w:trPr>
                              <w:trHeight w:hRule="exact" w:val="23"/>
                            </w:trPr>
                            <w:tc>
                              <w:tcPr>
                                <w:tcW w:w="5064" w:type="dxa"/>
                              </w:tcPr>
                              <w:p w14:paraId="6F165031" w14:textId="77777777" w:rsidR="009F679D" w:rsidRPr="00D717D2" w:rsidRDefault="009F679D"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9F679D" w14:paraId="3A991F6C" w14:textId="77777777" w:rsidTr="00DF4863">
                            <w:trPr>
                              <w:trHeight w:hRule="exact" w:val="386"/>
                            </w:trPr>
                            <w:tc>
                              <w:tcPr>
                                <w:tcW w:w="5064" w:type="dxa"/>
                              </w:tcPr>
                              <w:p w14:paraId="53E2B07A" w14:textId="77777777" w:rsidR="009F679D" w:rsidRPr="00FC6D34" w:rsidRDefault="009F679D"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9F679D" w14:paraId="72B24AB6" w14:textId="77777777" w:rsidTr="00DF4863">
                            <w:trPr>
                              <w:trHeight w:hRule="exact" w:val="284"/>
                            </w:trPr>
                            <w:tc>
                              <w:tcPr>
                                <w:tcW w:w="5064" w:type="dxa"/>
                              </w:tcPr>
                              <w:p w14:paraId="1F5749AE" w14:textId="3EAF2E20" w:rsidR="009F679D" w:rsidRPr="005B547D" w:rsidRDefault="009F679D"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9F679D" w14:paraId="546F898F" w14:textId="77777777" w:rsidTr="00DF4863">
                            <w:trPr>
                              <w:trHeight w:hRule="exact" w:val="284"/>
                            </w:trPr>
                            <w:tc>
                              <w:tcPr>
                                <w:tcW w:w="5064" w:type="dxa"/>
                                <w:vAlign w:val="bottom"/>
                              </w:tcPr>
                              <w:p w14:paraId="3CE9124B" w14:textId="77777777" w:rsidR="009F679D" w:rsidRDefault="009F679D"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9F679D" w:rsidRPr="00C52609" w:rsidRDefault="009F679D"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F3F7"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" filled="f" stroked="f" strokeweight=".5pt">
              <v:textbox inset="2mm,.5mm,1mm,.5mm">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9F679D" w14:paraId="460F4BFB" w14:textId="77777777" w:rsidTr="00B9063D">
                      <w:trPr>
                        <w:trHeight w:hRule="exact" w:val="23"/>
                      </w:trPr>
                      <w:tc>
                        <w:tcPr>
                          <w:tcW w:w="5064" w:type="dxa"/>
                        </w:tcPr>
                        <w:p w14:paraId="6F165031" w14:textId="77777777" w:rsidR="009F679D" w:rsidRPr="00D717D2" w:rsidRDefault="009F679D"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w:t>
                          </w:r>
                          <w:proofErr w:type="spellStart"/>
                          <w:r w:rsidRPr="00D717D2">
                            <w:rPr>
                              <w:rFonts w:eastAsiaTheme="minorEastAsia" w:hint="eastAsia"/>
                              <w:color w:val="FFFFFF" w:themeColor="background1"/>
                              <w:sz w:val="15"/>
                              <w:szCs w:val="15"/>
                              <w:lang w:eastAsia="zh-CN"/>
                            </w:rPr>
                            <w:t>Table_Page</w:t>
                          </w:r>
                          <w:proofErr w:type="spellEnd"/>
                          <w:r w:rsidRPr="00D717D2">
                            <w:rPr>
                              <w:rFonts w:eastAsiaTheme="minorEastAsia" w:hint="eastAsia"/>
                              <w:color w:val="FFFFFF" w:themeColor="background1"/>
                              <w:sz w:val="15"/>
                              <w:szCs w:val="15"/>
                              <w:lang w:eastAsia="zh-CN"/>
                            </w:rPr>
                            <w:t>]</w:t>
                          </w:r>
                        </w:p>
                      </w:tc>
                    </w:tr>
                    <w:tr w:rsidR="009F679D" w14:paraId="3A991F6C" w14:textId="77777777" w:rsidTr="00DF4863">
                      <w:trPr>
                        <w:trHeight w:hRule="exact" w:val="386"/>
                      </w:trPr>
                      <w:tc>
                        <w:tcPr>
                          <w:tcW w:w="5064" w:type="dxa"/>
                        </w:tcPr>
                        <w:p w14:paraId="53E2B07A" w14:textId="77777777" w:rsidR="009F679D" w:rsidRPr="00FC6D34" w:rsidRDefault="009F679D"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9F679D" w14:paraId="72B24AB6" w14:textId="77777777" w:rsidTr="00DF4863">
                      <w:trPr>
                        <w:trHeight w:hRule="exact" w:val="284"/>
                      </w:trPr>
                      <w:tc>
                        <w:tcPr>
                          <w:tcW w:w="5064" w:type="dxa"/>
                        </w:tcPr>
                        <w:p w14:paraId="1F5749AE" w14:textId="3EAF2E20" w:rsidR="009F679D" w:rsidRPr="005B547D" w:rsidRDefault="009F679D"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9F679D" w14:paraId="546F898F" w14:textId="77777777" w:rsidTr="00DF4863">
                      <w:trPr>
                        <w:trHeight w:hRule="exact" w:val="284"/>
                      </w:trPr>
                      <w:tc>
                        <w:tcPr>
                          <w:tcW w:w="5064" w:type="dxa"/>
                          <w:vAlign w:val="bottom"/>
                        </w:tcPr>
                        <w:p w14:paraId="3CE9124B" w14:textId="77777777" w:rsidR="009F679D" w:rsidRDefault="009F679D"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9F679D" w:rsidRPr="00C52609" w:rsidRDefault="009F679D" w:rsidP="00DF4863">
                    <w:pPr>
                      <w:rPr>
                        <w:rFonts w:ascii="黑体" w:eastAsia="黑体"/>
                        <w:sz w:val="18"/>
                        <w:szCs w:val="18"/>
                        <w:lang w:eastAsia="zh-CN"/>
                      </w:rPr>
                    </w:pP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7CFBD59" wp14:editId="2FC8CEDB">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315C" w14:textId="77777777" w:rsidR="009F679D" w:rsidRPr="0087508B" w:rsidRDefault="009F679D"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9F679D" w:rsidRPr="0087508B" w:rsidRDefault="009F679D"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BD59" id="HeaderShape_Temp" o:spid="_x0000_s1028" type="#_x0000_t202" style="position:absolute;margin-left:48.2pt;margin-top:-13.4pt;width:36pt;height:13.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" fillcolor="white [3201]" stroked="f" strokeweight=".5pt">
              <v:textbox>
                <w:txbxContent>
                  <w:p w14:paraId="73BC315C" w14:textId="77777777" w:rsidR="009F679D" w:rsidRPr="0087508B" w:rsidRDefault="009F679D"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9F679D" w:rsidRPr="0087508B" w:rsidRDefault="009F679D" w:rsidP="001A044F">
                    <w:pPr>
                      <w:rPr>
                        <w:rFonts w:eastAsiaTheme="minorEastAsia"/>
                        <w:color w:val="FFFFFF" w:themeColor="background1"/>
                        <w:lang w:eastAsia="zh-CN"/>
                      </w:rPr>
                    </w:pPr>
                  </w:p>
                </w:txbxContent>
              </v:textbox>
            </v:shape>
          </w:pict>
        </mc:Fallback>
      </mc:AlternateContent>
    </w:r>
    <w:r>
      <w:rPr>
        <w:rFonts w:eastAsia="宋体"/>
        <w:noProof/>
        <w:lang w:eastAsia="zh-CN"/>
      </w:rPr>
      <w:drawing>
        <wp:inline distT="0" distB="0" distL="0" distR="0" wp14:anchorId="53622EF7" wp14:editId="45B46899">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14:paraId="10A97366" w14:textId="77777777" w:rsidR="009F679D" w:rsidRDefault="009F679D" w:rsidP="00452493">
    <w:pPr>
      <w:pStyle w:val="a3"/>
      <w:jc w:val="left"/>
      <w:rPr>
        <w:rFonts w:eastAsia="宋体"/>
        <w:sz w:val="2"/>
        <w:lang w:eastAsia="zh-CN"/>
      </w:rPr>
    </w:pPr>
  </w:p>
  <w:p w14:paraId="4FBCC4A7" w14:textId="77777777" w:rsidR="009F679D" w:rsidRPr="00452493" w:rsidRDefault="009F679D"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48000" behindDoc="0" locked="0" layoutInCell="1" allowOverlap="1" wp14:anchorId="2D1C4B8B" wp14:editId="351D8289">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524EC"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48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" strokecolor="#009ee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155BFE"/>
    <w:multiLevelType w:val="hybridMultilevel"/>
    <w:tmpl w:val="61661E12"/>
    <w:lvl w:ilvl="0" w:tplc="7B1A1E36">
      <w:start w:val="1"/>
      <w:numFmt w:val="decimal"/>
      <w:lvlText w:val="%1."/>
      <w:lvlJc w:val="left"/>
      <w:pPr>
        <w:ind w:left="3797" w:hanging="360"/>
      </w:pPr>
      <w:rPr>
        <w:rFonts w:hint="default"/>
      </w:rPr>
    </w:lvl>
    <w:lvl w:ilvl="1" w:tplc="04090019" w:tentative="1">
      <w:start w:val="1"/>
      <w:numFmt w:val="lowerLetter"/>
      <w:lvlText w:val="%2)"/>
      <w:lvlJc w:val="left"/>
      <w:pPr>
        <w:ind w:left="4277" w:hanging="420"/>
      </w:pPr>
    </w:lvl>
    <w:lvl w:ilvl="2" w:tplc="0409001B" w:tentative="1">
      <w:start w:val="1"/>
      <w:numFmt w:val="lowerRoman"/>
      <w:lvlText w:val="%3."/>
      <w:lvlJc w:val="right"/>
      <w:pPr>
        <w:ind w:left="4697" w:hanging="420"/>
      </w:pPr>
    </w:lvl>
    <w:lvl w:ilvl="3" w:tplc="0409000F" w:tentative="1">
      <w:start w:val="1"/>
      <w:numFmt w:val="decimal"/>
      <w:lvlText w:val="%4."/>
      <w:lvlJc w:val="left"/>
      <w:pPr>
        <w:ind w:left="5117" w:hanging="420"/>
      </w:pPr>
    </w:lvl>
    <w:lvl w:ilvl="4" w:tplc="04090019" w:tentative="1">
      <w:start w:val="1"/>
      <w:numFmt w:val="lowerLetter"/>
      <w:lvlText w:val="%5)"/>
      <w:lvlJc w:val="left"/>
      <w:pPr>
        <w:ind w:left="5537" w:hanging="420"/>
      </w:pPr>
    </w:lvl>
    <w:lvl w:ilvl="5" w:tplc="0409001B" w:tentative="1">
      <w:start w:val="1"/>
      <w:numFmt w:val="lowerRoman"/>
      <w:lvlText w:val="%6."/>
      <w:lvlJc w:val="right"/>
      <w:pPr>
        <w:ind w:left="5957" w:hanging="420"/>
      </w:pPr>
    </w:lvl>
    <w:lvl w:ilvl="6" w:tplc="0409000F" w:tentative="1">
      <w:start w:val="1"/>
      <w:numFmt w:val="decimal"/>
      <w:lvlText w:val="%7."/>
      <w:lvlJc w:val="left"/>
      <w:pPr>
        <w:ind w:left="6377" w:hanging="420"/>
      </w:pPr>
    </w:lvl>
    <w:lvl w:ilvl="7" w:tplc="04090019" w:tentative="1">
      <w:start w:val="1"/>
      <w:numFmt w:val="lowerLetter"/>
      <w:lvlText w:val="%8)"/>
      <w:lvlJc w:val="left"/>
      <w:pPr>
        <w:ind w:left="6797" w:hanging="420"/>
      </w:pPr>
    </w:lvl>
    <w:lvl w:ilvl="8" w:tplc="0409001B" w:tentative="1">
      <w:start w:val="1"/>
      <w:numFmt w:val="lowerRoman"/>
      <w:lvlText w:val="%9."/>
      <w:lvlJc w:val="right"/>
      <w:pPr>
        <w:ind w:left="7217" w:hanging="420"/>
      </w:pPr>
    </w:lvl>
  </w:abstractNum>
  <w:abstractNum w:abstractNumId="2" w15:restartNumberingAfterBreak="0">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D92BBB"/>
    <w:multiLevelType w:val="hybridMultilevel"/>
    <w:tmpl w:val="1736D51A"/>
    <w:lvl w:ilvl="0" w:tplc="B452478C">
      <w:start w:val="1"/>
      <w:numFmt w:val="decimal"/>
      <w:lvlText w:val="%1."/>
      <w:lvlJc w:val="left"/>
      <w:pPr>
        <w:ind w:left="3379" w:hanging="360"/>
      </w:pPr>
      <w:rPr>
        <w:rFonts w:hint="default"/>
      </w:rPr>
    </w:lvl>
    <w:lvl w:ilvl="1" w:tplc="04090019" w:tentative="1">
      <w:start w:val="1"/>
      <w:numFmt w:val="lowerLetter"/>
      <w:lvlText w:val="%2)"/>
      <w:lvlJc w:val="left"/>
      <w:pPr>
        <w:ind w:left="3859" w:hanging="420"/>
      </w:pPr>
    </w:lvl>
    <w:lvl w:ilvl="2" w:tplc="0409001B" w:tentative="1">
      <w:start w:val="1"/>
      <w:numFmt w:val="lowerRoman"/>
      <w:lvlText w:val="%3."/>
      <w:lvlJc w:val="right"/>
      <w:pPr>
        <w:ind w:left="4279" w:hanging="420"/>
      </w:pPr>
    </w:lvl>
    <w:lvl w:ilvl="3" w:tplc="0409000F" w:tentative="1">
      <w:start w:val="1"/>
      <w:numFmt w:val="decimal"/>
      <w:lvlText w:val="%4."/>
      <w:lvlJc w:val="left"/>
      <w:pPr>
        <w:ind w:left="4699" w:hanging="420"/>
      </w:pPr>
    </w:lvl>
    <w:lvl w:ilvl="4" w:tplc="04090019" w:tentative="1">
      <w:start w:val="1"/>
      <w:numFmt w:val="lowerLetter"/>
      <w:lvlText w:val="%5)"/>
      <w:lvlJc w:val="left"/>
      <w:pPr>
        <w:ind w:left="5119" w:hanging="420"/>
      </w:pPr>
    </w:lvl>
    <w:lvl w:ilvl="5" w:tplc="0409001B" w:tentative="1">
      <w:start w:val="1"/>
      <w:numFmt w:val="lowerRoman"/>
      <w:lvlText w:val="%6."/>
      <w:lvlJc w:val="right"/>
      <w:pPr>
        <w:ind w:left="5539" w:hanging="420"/>
      </w:pPr>
    </w:lvl>
    <w:lvl w:ilvl="6" w:tplc="0409000F" w:tentative="1">
      <w:start w:val="1"/>
      <w:numFmt w:val="decimal"/>
      <w:lvlText w:val="%7."/>
      <w:lvlJc w:val="left"/>
      <w:pPr>
        <w:ind w:left="5959" w:hanging="420"/>
      </w:pPr>
    </w:lvl>
    <w:lvl w:ilvl="7" w:tplc="04090019" w:tentative="1">
      <w:start w:val="1"/>
      <w:numFmt w:val="lowerLetter"/>
      <w:lvlText w:val="%8)"/>
      <w:lvlJc w:val="left"/>
      <w:pPr>
        <w:ind w:left="6379" w:hanging="420"/>
      </w:pPr>
    </w:lvl>
    <w:lvl w:ilvl="8" w:tplc="0409001B" w:tentative="1">
      <w:start w:val="1"/>
      <w:numFmt w:val="lowerRoman"/>
      <w:lvlText w:val="%9."/>
      <w:lvlJc w:val="right"/>
      <w:pPr>
        <w:ind w:left="6799" w:hanging="420"/>
      </w:pPr>
    </w:lvl>
  </w:abstractNum>
  <w:abstractNum w:abstractNumId="5" w15:restartNumberingAfterBreak="0">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5"/>
  </w:num>
  <w:num w:numId="7">
    <w:abstractNumId w:val="1"/>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6E"/>
    <w:rsid w:val="00000700"/>
    <w:rsid w:val="0000089F"/>
    <w:rsid w:val="00001544"/>
    <w:rsid w:val="00002B21"/>
    <w:rsid w:val="0000644D"/>
    <w:rsid w:val="000066EA"/>
    <w:rsid w:val="000067BB"/>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02AE"/>
    <w:rsid w:val="000B1807"/>
    <w:rsid w:val="000B1FC6"/>
    <w:rsid w:val="000B445A"/>
    <w:rsid w:val="000B45F0"/>
    <w:rsid w:val="000B67AB"/>
    <w:rsid w:val="000B6BD4"/>
    <w:rsid w:val="000B6ED3"/>
    <w:rsid w:val="000C0617"/>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512F"/>
    <w:rsid w:val="00105375"/>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76E"/>
    <w:rsid w:val="001349D9"/>
    <w:rsid w:val="00135792"/>
    <w:rsid w:val="00137683"/>
    <w:rsid w:val="00140E8A"/>
    <w:rsid w:val="00141D9F"/>
    <w:rsid w:val="001431AC"/>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0375"/>
    <w:rsid w:val="00163CE7"/>
    <w:rsid w:val="0016411A"/>
    <w:rsid w:val="001643D5"/>
    <w:rsid w:val="00165A7F"/>
    <w:rsid w:val="00166D11"/>
    <w:rsid w:val="00170B96"/>
    <w:rsid w:val="001752D6"/>
    <w:rsid w:val="001758D8"/>
    <w:rsid w:val="0017594A"/>
    <w:rsid w:val="00176693"/>
    <w:rsid w:val="001767D4"/>
    <w:rsid w:val="00176F83"/>
    <w:rsid w:val="001779F8"/>
    <w:rsid w:val="0018214A"/>
    <w:rsid w:val="0018279D"/>
    <w:rsid w:val="00182E6E"/>
    <w:rsid w:val="001838F3"/>
    <w:rsid w:val="0018423C"/>
    <w:rsid w:val="00184F75"/>
    <w:rsid w:val="001865EF"/>
    <w:rsid w:val="0018670F"/>
    <w:rsid w:val="0019177C"/>
    <w:rsid w:val="00191839"/>
    <w:rsid w:val="001919E3"/>
    <w:rsid w:val="00196361"/>
    <w:rsid w:val="00196380"/>
    <w:rsid w:val="00196D2C"/>
    <w:rsid w:val="001A0028"/>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205"/>
    <w:rsid w:val="001D075A"/>
    <w:rsid w:val="001D1863"/>
    <w:rsid w:val="001D18F9"/>
    <w:rsid w:val="001D29C6"/>
    <w:rsid w:val="001D42C0"/>
    <w:rsid w:val="001D53C4"/>
    <w:rsid w:val="001D54BB"/>
    <w:rsid w:val="001D6E34"/>
    <w:rsid w:val="001D712A"/>
    <w:rsid w:val="001E44E2"/>
    <w:rsid w:val="001E5939"/>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5DD1"/>
    <w:rsid w:val="0021637E"/>
    <w:rsid w:val="00217ECF"/>
    <w:rsid w:val="00220CB0"/>
    <w:rsid w:val="00220E93"/>
    <w:rsid w:val="00222605"/>
    <w:rsid w:val="0022353F"/>
    <w:rsid w:val="0022494C"/>
    <w:rsid w:val="00226886"/>
    <w:rsid w:val="00230346"/>
    <w:rsid w:val="0023094C"/>
    <w:rsid w:val="002311E7"/>
    <w:rsid w:val="00233CD6"/>
    <w:rsid w:val="0023442E"/>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51BB"/>
    <w:rsid w:val="002775E1"/>
    <w:rsid w:val="002860EF"/>
    <w:rsid w:val="0028625B"/>
    <w:rsid w:val="00286F1A"/>
    <w:rsid w:val="0029085A"/>
    <w:rsid w:val="00291F1E"/>
    <w:rsid w:val="00293940"/>
    <w:rsid w:val="00294884"/>
    <w:rsid w:val="002951EB"/>
    <w:rsid w:val="0029546A"/>
    <w:rsid w:val="002964E5"/>
    <w:rsid w:val="002A05DF"/>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449A"/>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6C4"/>
    <w:rsid w:val="0030589D"/>
    <w:rsid w:val="003059E4"/>
    <w:rsid w:val="00305CCE"/>
    <w:rsid w:val="0031087D"/>
    <w:rsid w:val="00312975"/>
    <w:rsid w:val="00314A11"/>
    <w:rsid w:val="00317208"/>
    <w:rsid w:val="00317943"/>
    <w:rsid w:val="003179A1"/>
    <w:rsid w:val="00322B0E"/>
    <w:rsid w:val="00322FDD"/>
    <w:rsid w:val="003243F9"/>
    <w:rsid w:val="00324EE6"/>
    <w:rsid w:val="003264CE"/>
    <w:rsid w:val="0032673B"/>
    <w:rsid w:val="00326FB3"/>
    <w:rsid w:val="00327CA4"/>
    <w:rsid w:val="0033024E"/>
    <w:rsid w:val="003307E0"/>
    <w:rsid w:val="0033122A"/>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5F3A"/>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0048"/>
    <w:rsid w:val="003910B5"/>
    <w:rsid w:val="00393715"/>
    <w:rsid w:val="00393837"/>
    <w:rsid w:val="003938D4"/>
    <w:rsid w:val="003953E2"/>
    <w:rsid w:val="00395C3B"/>
    <w:rsid w:val="00395C86"/>
    <w:rsid w:val="00397616"/>
    <w:rsid w:val="003A0A37"/>
    <w:rsid w:val="003A11DD"/>
    <w:rsid w:val="003A154F"/>
    <w:rsid w:val="003A16BA"/>
    <w:rsid w:val="003A249A"/>
    <w:rsid w:val="003A29DC"/>
    <w:rsid w:val="003A2F44"/>
    <w:rsid w:val="003A2FB3"/>
    <w:rsid w:val="003A54FF"/>
    <w:rsid w:val="003A6BA4"/>
    <w:rsid w:val="003B02C8"/>
    <w:rsid w:val="003B20C5"/>
    <w:rsid w:val="003B4F10"/>
    <w:rsid w:val="003B57A4"/>
    <w:rsid w:val="003B59F2"/>
    <w:rsid w:val="003B5F06"/>
    <w:rsid w:val="003B651A"/>
    <w:rsid w:val="003B66A2"/>
    <w:rsid w:val="003B6DD5"/>
    <w:rsid w:val="003B7678"/>
    <w:rsid w:val="003B7780"/>
    <w:rsid w:val="003C02F1"/>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896"/>
    <w:rsid w:val="003F4A47"/>
    <w:rsid w:val="003F5AFD"/>
    <w:rsid w:val="003F6080"/>
    <w:rsid w:val="003F7B81"/>
    <w:rsid w:val="00400A2A"/>
    <w:rsid w:val="004042FB"/>
    <w:rsid w:val="0040539B"/>
    <w:rsid w:val="0040562C"/>
    <w:rsid w:val="00412E4E"/>
    <w:rsid w:val="004139A5"/>
    <w:rsid w:val="00413C2E"/>
    <w:rsid w:val="004155C5"/>
    <w:rsid w:val="004218E8"/>
    <w:rsid w:val="004234DF"/>
    <w:rsid w:val="00423A0E"/>
    <w:rsid w:val="00424892"/>
    <w:rsid w:val="00430157"/>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46BDA"/>
    <w:rsid w:val="00450512"/>
    <w:rsid w:val="00451E5E"/>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C89"/>
    <w:rsid w:val="00471D18"/>
    <w:rsid w:val="00474E4E"/>
    <w:rsid w:val="00474F9C"/>
    <w:rsid w:val="00475118"/>
    <w:rsid w:val="00475D1C"/>
    <w:rsid w:val="00476695"/>
    <w:rsid w:val="004824D6"/>
    <w:rsid w:val="0048559D"/>
    <w:rsid w:val="00485A40"/>
    <w:rsid w:val="00486C40"/>
    <w:rsid w:val="0049052D"/>
    <w:rsid w:val="00492164"/>
    <w:rsid w:val="00492F66"/>
    <w:rsid w:val="00495EEF"/>
    <w:rsid w:val="004971F5"/>
    <w:rsid w:val="004A0A6F"/>
    <w:rsid w:val="004A0C9F"/>
    <w:rsid w:val="004A60D5"/>
    <w:rsid w:val="004A7FCD"/>
    <w:rsid w:val="004B0955"/>
    <w:rsid w:val="004B0BEA"/>
    <w:rsid w:val="004B1339"/>
    <w:rsid w:val="004B1646"/>
    <w:rsid w:val="004B17BB"/>
    <w:rsid w:val="004B21B6"/>
    <w:rsid w:val="004B5468"/>
    <w:rsid w:val="004B5A1B"/>
    <w:rsid w:val="004B73CD"/>
    <w:rsid w:val="004C1227"/>
    <w:rsid w:val="004C2038"/>
    <w:rsid w:val="004C4B89"/>
    <w:rsid w:val="004C6D60"/>
    <w:rsid w:val="004D057E"/>
    <w:rsid w:val="004D0883"/>
    <w:rsid w:val="004D0C8A"/>
    <w:rsid w:val="004D0DE6"/>
    <w:rsid w:val="004D0F0F"/>
    <w:rsid w:val="004D1E79"/>
    <w:rsid w:val="004D1F8A"/>
    <w:rsid w:val="004D2260"/>
    <w:rsid w:val="004D284F"/>
    <w:rsid w:val="004D3A18"/>
    <w:rsid w:val="004D6573"/>
    <w:rsid w:val="004D7F4B"/>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38B6"/>
    <w:rsid w:val="005044F1"/>
    <w:rsid w:val="00504B9C"/>
    <w:rsid w:val="00510401"/>
    <w:rsid w:val="00510731"/>
    <w:rsid w:val="00512BA7"/>
    <w:rsid w:val="00512D5A"/>
    <w:rsid w:val="00512F8C"/>
    <w:rsid w:val="00513037"/>
    <w:rsid w:val="005150A7"/>
    <w:rsid w:val="005170A7"/>
    <w:rsid w:val="0051784A"/>
    <w:rsid w:val="005206B8"/>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4B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678BC"/>
    <w:rsid w:val="0057051C"/>
    <w:rsid w:val="00572262"/>
    <w:rsid w:val="005746F0"/>
    <w:rsid w:val="00574C81"/>
    <w:rsid w:val="00576348"/>
    <w:rsid w:val="00577450"/>
    <w:rsid w:val="00580A36"/>
    <w:rsid w:val="005812D9"/>
    <w:rsid w:val="00581302"/>
    <w:rsid w:val="005814B8"/>
    <w:rsid w:val="005869FB"/>
    <w:rsid w:val="005876D8"/>
    <w:rsid w:val="00590944"/>
    <w:rsid w:val="00591098"/>
    <w:rsid w:val="00592E41"/>
    <w:rsid w:val="0059341A"/>
    <w:rsid w:val="00593949"/>
    <w:rsid w:val="00594194"/>
    <w:rsid w:val="005942C9"/>
    <w:rsid w:val="00596720"/>
    <w:rsid w:val="00597187"/>
    <w:rsid w:val="005971F4"/>
    <w:rsid w:val="00597933"/>
    <w:rsid w:val="005A0E7A"/>
    <w:rsid w:val="005A1453"/>
    <w:rsid w:val="005A1F6F"/>
    <w:rsid w:val="005A3EC6"/>
    <w:rsid w:val="005A607E"/>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C657C"/>
    <w:rsid w:val="005D2A4E"/>
    <w:rsid w:val="005D45FB"/>
    <w:rsid w:val="005D487C"/>
    <w:rsid w:val="005D668C"/>
    <w:rsid w:val="005D79D5"/>
    <w:rsid w:val="005D7B44"/>
    <w:rsid w:val="005E50ED"/>
    <w:rsid w:val="005E5323"/>
    <w:rsid w:val="005E6500"/>
    <w:rsid w:val="005E7ED7"/>
    <w:rsid w:val="005F15D7"/>
    <w:rsid w:val="005F15F9"/>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132"/>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637"/>
    <w:rsid w:val="00694715"/>
    <w:rsid w:val="0069588D"/>
    <w:rsid w:val="0069668D"/>
    <w:rsid w:val="00697B5B"/>
    <w:rsid w:val="006A0B99"/>
    <w:rsid w:val="006A292E"/>
    <w:rsid w:val="006A42F8"/>
    <w:rsid w:val="006A5B4B"/>
    <w:rsid w:val="006A6A78"/>
    <w:rsid w:val="006A6A7D"/>
    <w:rsid w:val="006A7B37"/>
    <w:rsid w:val="006B1512"/>
    <w:rsid w:val="006B1F4E"/>
    <w:rsid w:val="006B3361"/>
    <w:rsid w:val="006C10E2"/>
    <w:rsid w:val="006C2BE6"/>
    <w:rsid w:val="006C45CC"/>
    <w:rsid w:val="006C492E"/>
    <w:rsid w:val="006C6017"/>
    <w:rsid w:val="006C74C4"/>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4F1F"/>
    <w:rsid w:val="00717773"/>
    <w:rsid w:val="007178A3"/>
    <w:rsid w:val="00722029"/>
    <w:rsid w:val="0072218D"/>
    <w:rsid w:val="00723092"/>
    <w:rsid w:val="0072334A"/>
    <w:rsid w:val="0072520A"/>
    <w:rsid w:val="007252B0"/>
    <w:rsid w:val="0072646D"/>
    <w:rsid w:val="00727D3E"/>
    <w:rsid w:val="00730AC1"/>
    <w:rsid w:val="00731FA0"/>
    <w:rsid w:val="00732BF5"/>
    <w:rsid w:val="0073418A"/>
    <w:rsid w:val="007344E4"/>
    <w:rsid w:val="00734992"/>
    <w:rsid w:val="00734E6D"/>
    <w:rsid w:val="00736600"/>
    <w:rsid w:val="0073672A"/>
    <w:rsid w:val="00740A3D"/>
    <w:rsid w:val="00740EDC"/>
    <w:rsid w:val="00741641"/>
    <w:rsid w:val="0074292C"/>
    <w:rsid w:val="00742EE3"/>
    <w:rsid w:val="007436E6"/>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4655"/>
    <w:rsid w:val="007B5A9C"/>
    <w:rsid w:val="007B6E34"/>
    <w:rsid w:val="007B7BBC"/>
    <w:rsid w:val="007C00E7"/>
    <w:rsid w:val="007C16A5"/>
    <w:rsid w:val="007C26E6"/>
    <w:rsid w:val="007C4B23"/>
    <w:rsid w:val="007C4B54"/>
    <w:rsid w:val="007C5968"/>
    <w:rsid w:val="007C7D95"/>
    <w:rsid w:val="007C7FDF"/>
    <w:rsid w:val="007D073F"/>
    <w:rsid w:val="007D1346"/>
    <w:rsid w:val="007D1D8E"/>
    <w:rsid w:val="007D3324"/>
    <w:rsid w:val="007D4006"/>
    <w:rsid w:val="007D4A20"/>
    <w:rsid w:val="007D6427"/>
    <w:rsid w:val="007D712B"/>
    <w:rsid w:val="007D7237"/>
    <w:rsid w:val="007E1442"/>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5DD1"/>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914"/>
    <w:rsid w:val="008E4BA0"/>
    <w:rsid w:val="008E4FA3"/>
    <w:rsid w:val="008E51EF"/>
    <w:rsid w:val="008E6225"/>
    <w:rsid w:val="008E624F"/>
    <w:rsid w:val="008E6C3C"/>
    <w:rsid w:val="008E7BC1"/>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07D7"/>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166E"/>
    <w:rsid w:val="00952F67"/>
    <w:rsid w:val="00953FFA"/>
    <w:rsid w:val="00954680"/>
    <w:rsid w:val="009553B5"/>
    <w:rsid w:val="00955784"/>
    <w:rsid w:val="00955E1C"/>
    <w:rsid w:val="009562D2"/>
    <w:rsid w:val="009601B2"/>
    <w:rsid w:val="00962B27"/>
    <w:rsid w:val="00962ED7"/>
    <w:rsid w:val="0096533E"/>
    <w:rsid w:val="00966186"/>
    <w:rsid w:val="00966D08"/>
    <w:rsid w:val="00967830"/>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AFA"/>
    <w:rsid w:val="00997D57"/>
    <w:rsid w:val="009A0C83"/>
    <w:rsid w:val="009A14E1"/>
    <w:rsid w:val="009A36FC"/>
    <w:rsid w:val="009A3785"/>
    <w:rsid w:val="009A3ADB"/>
    <w:rsid w:val="009A430C"/>
    <w:rsid w:val="009A63B1"/>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D7188"/>
    <w:rsid w:val="009E02E7"/>
    <w:rsid w:val="009E04E6"/>
    <w:rsid w:val="009E1BBC"/>
    <w:rsid w:val="009E28DA"/>
    <w:rsid w:val="009E555A"/>
    <w:rsid w:val="009E6D4C"/>
    <w:rsid w:val="009F0968"/>
    <w:rsid w:val="009F1782"/>
    <w:rsid w:val="009F3E46"/>
    <w:rsid w:val="009F679D"/>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25F"/>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58E9"/>
    <w:rsid w:val="00A778C5"/>
    <w:rsid w:val="00A81F10"/>
    <w:rsid w:val="00A82F2A"/>
    <w:rsid w:val="00A83EF7"/>
    <w:rsid w:val="00A85103"/>
    <w:rsid w:val="00A856CE"/>
    <w:rsid w:val="00A85CA2"/>
    <w:rsid w:val="00A861BD"/>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2821"/>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3C11"/>
    <w:rsid w:val="00B35BED"/>
    <w:rsid w:val="00B3717B"/>
    <w:rsid w:val="00B37306"/>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6EB8"/>
    <w:rsid w:val="00B5789B"/>
    <w:rsid w:val="00B60077"/>
    <w:rsid w:val="00B609EB"/>
    <w:rsid w:val="00B61407"/>
    <w:rsid w:val="00B64491"/>
    <w:rsid w:val="00B64DBF"/>
    <w:rsid w:val="00B651C7"/>
    <w:rsid w:val="00B653BF"/>
    <w:rsid w:val="00B6666C"/>
    <w:rsid w:val="00B667DF"/>
    <w:rsid w:val="00B6755E"/>
    <w:rsid w:val="00B67F38"/>
    <w:rsid w:val="00B70D15"/>
    <w:rsid w:val="00B741B3"/>
    <w:rsid w:val="00B74B94"/>
    <w:rsid w:val="00B75157"/>
    <w:rsid w:val="00B75B8A"/>
    <w:rsid w:val="00B7606C"/>
    <w:rsid w:val="00B76A81"/>
    <w:rsid w:val="00B76D3D"/>
    <w:rsid w:val="00B813A4"/>
    <w:rsid w:val="00B81F40"/>
    <w:rsid w:val="00B82BA4"/>
    <w:rsid w:val="00B830FB"/>
    <w:rsid w:val="00B87082"/>
    <w:rsid w:val="00B90012"/>
    <w:rsid w:val="00B9063D"/>
    <w:rsid w:val="00B915CB"/>
    <w:rsid w:val="00B96AA4"/>
    <w:rsid w:val="00BA081A"/>
    <w:rsid w:val="00BA5048"/>
    <w:rsid w:val="00BB0A13"/>
    <w:rsid w:val="00BB3F01"/>
    <w:rsid w:val="00BB4C90"/>
    <w:rsid w:val="00BB52BC"/>
    <w:rsid w:val="00BB6B42"/>
    <w:rsid w:val="00BB6F8E"/>
    <w:rsid w:val="00BB7E2E"/>
    <w:rsid w:val="00BC1FCF"/>
    <w:rsid w:val="00BC2D15"/>
    <w:rsid w:val="00BC344C"/>
    <w:rsid w:val="00BC4A51"/>
    <w:rsid w:val="00BC7010"/>
    <w:rsid w:val="00BD0022"/>
    <w:rsid w:val="00BD05F0"/>
    <w:rsid w:val="00BD060C"/>
    <w:rsid w:val="00BD07BC"/>
    <w:rsid w:val="00BD4B6F"/>
    <w:rsid w:val="00BD7F60"/>
    <w:rsid w:val="00BE144E"/>
    <w:rsid w:val="00BE2083"/>
    <w:rsid w:val="00BE24E0"/>
    <w:rsid w:val="00BE2640"/>
    <w:rsid w:val="00BE3414"/>
    <w:rsid w:val="00BE34F1"/>
    <w:rsid w:val="00BE476F"/>
    <w:rsid w:val="00BE4AC6"/>
    <w:rsid w:val="00BE5D81"/>
    <w:rsid w:val="00BE689D"/>
    <w:rsid w:val="00C00772"/>
    <w:rsid w:val="00C019D8"/>
    <w:rsid w:val="00C02923"/>
    <w:rsid w:val="00C04C01"/>
    <w:rsid w:val="00C063A2"/>
    <w:rsid w:val="00C06627"/>
    <w:rsid w:val="00C106A6"/>
    <w:rsid w:val="00C1098E"/>
    <w:rsid w:val="00C11FBC"/>
    <w:rsid w:val="00C13789"/>
    <w:rsid w:val="00C20107"/>
    <w:rsid w:val="00C212EF"/>
    <w:rsid w:val="00C21643"/>
    <w:rsid w:val="00C21867"/>
    <w:rsid w:val="00C24FD7"/>
    <w:rsid w:val="00C256EB"/>
    <w:rsid w:val="00C25BD3"/>
    <w:rsid w:val="00C25E5D"/>
    <w:rsid w:val="00C274E4"/>
    <w:rsid w:val="00C30FF2"/>
    <w:rsid w:val="00C36DF8"/>
    <w:rsid w:val="00C374B0"/>
    <w:rsid w:val="00C40768"/>
    <w:rsid w:val="00C40CE8"/>
    <w:rsid w:val="00C438BD"/>
    <w:rsid w:val="00C45802"/>
    <w:rsid w:val="00C4605B"/>
    <w:rsid w:val="00C46B39"/>
    <w:rsid w:val="00C50554"/>
    <w:rsid w:val="00C5135C"/>
    <w:rsid w:val="00C53F6C"/>
    <w:rsid w:val="00C54B1E"/>
    <w:rsid w:val="00C605FA"/>
    <w:rsid w:val="00C6249A"/>
    <w:rsid w:val="00C62D91"/>
    <w:rsid w:val="00C64938"/>
    <w:rsid w:val="00C6611B"/>
    <w:rsid w:val="00C6694F"/>
    <w:rsid w:val="00C669A9"/>
    <w:rsid w:val="00C6721E"/>
    <w:rsid w:val="00C674C8"/>
    <w:rsid w:val="00C7273A"/>
    <w:rsid w:val="00C740EC"/>
    <w:rsid w:val="00C74D0E"/>
    <w:rsid w:val="00C75410"/>
    <w:rsid w:val="00C76515"/>
    <w:rsid w:val="00C77DBC"/>
    <w:rsid w:val="00C80BFE"/>
    <w:rsid w:val="00C80FA0"/>
    <w:rsid w:val="00C81BC4"/>
    <w:rsid w:val="00C81BCC"/>
    <w:rsid w:val="00C83491"/>
    <w:rsid w:val="00C83F6A"/>
    <w:rsid w:val="00C84DCD"/>
    <w:rsid w:val="00C85D5A"/>
    <w:rsid w:val="00C873E7"/>
    <w:rsid w:val="00C87C4C"/>
    <w:rsid w:val="00C90ED3"/>
    <w:rsid w:val="00C92199"/>
    <w:rsid w:val="00C934E4"/>
    <w:rsid w:val="00C936B4"/>
    <w:rsid w:val="00C9396A"/>
    <w:rsid w:val="00C941C0"/>
    <w:rsid w:val="00C950FB"/>
    <w:rsid w:val="00C96130"/>
    <w:rsid w:val="00CA03EE"/>
    <w:rsid w:val="00CA0C06"/>
    <w:rsid w:val="00CA1CD0"/>
    <w:rsid w:val="00CA1FF1"/>
    <w:rsid w:val="00CA4998"/>
    <w:rsid w:val="00CA4BB1"/>
    <w:rsid w:val="00CA6A5A"/>
    <w:rsid w:val="00CB0A9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6B59"/>
    <w:rsid w:val="00CD77DC"/>
    <w:rsid w:val="00CD7B3F"/>
    <w:rsid w:val="00CE054B"/>
    <w:rsid w:val="00CE0D01"/>
    <w:rsid w:val="00CE1B80"/>
    <w:rsid w:val="00CE3057"/>
    <w:rsid w:val="00CE4E69"/>
    <w:rsid w:val="00CE6BE0"/>
    <w:rsid w:val="00CF107E"/>
    <w:rsid w:val="00CF157B"/>
    <w:rsid w:val="00D01273"/>
    <w:rsid w:val="00D012A5"/>
    <w:rsid w:val="00D01B9E"/>
    <w:rsid w:val="00D02A8B"/>
    <w:rsid w:val="00D036B7"/>
    <w:rsid w:val="00D0763A"/>
    <w:rsid w:val="00D07E6B"/>
    <w:rsid w:val="00D1123B"/>
    <w:rsid w:val="00D12B99"/>
    <w:rsid w:val="00D14F92"/>
    <w:rsid w:val="00D177F6"/>
    <w:rsid w:val="00D20951"/>
    <w:rsid w:val="00D214D7"/>
    <w:rsid w:val="00D236BF"/>
    <w:rsid w:val="00D23A29"/>
    <w:rsid w:val="00D2607D"/>
    <w:rsid w:val="00D2683B"/>
    <w:rsid w:val="00D26FEA"/>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4BE2"/>
    <w:rsid w:val="00D550C9"/>
    <w:rsid w:val="00D55B4A"/>
    <w:rsid w:val="00D57A74"/>
    <w:rsid w:val="00D60A59"/>
    <w:rsid w:val="00D60F42"/>
    <w:rsid w:val="00D63937"/>
    <w:rsid w:val="00D646D3"/>
    <w:rsid w:val="00D67151"/>
    <w:rsid w:val="00D6717A"/>
    <w:rsid w:val="00D70863"/>
    <w:rsid w:val="00D71E12"/>
    <w:rsid w:val="00D72314"/>
    <w:rsid w:val="00D72F7F"/>
    <w:rsid w:val="00D739B5"/>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09A7"/>
    <w:rsid w:val="00DD115C"/>
    <w:rsid w:val="00DD1CB3"/>
    <w:rsid w:val="00DD48AF"/>
    <w:rsid w:val="00DD6BF2"/>
    <w:rsid w:val="00DD6CC9"/>
    <w:rsid w:val="00DD7A46"/>
    <w:rsid w:val="00DD7F37"/>
    <w:rsid w:val="00DE038E"/>
    <w:rsid w:val="00DE087E"/>
    <w:rsid w:val="00DE16E1"/>
    <w:rsid w:val="00DE3360"/>
    <w:rsid w:val="00DE359C"/>
    <w:rsid w:val="00DE3CB1"/>
    <w:rsid w:val="00DE4254"/>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0DE7"/>
    <w:rsid w:val="00E928A4"/>
    <w:rsid w:val="00E92999"/>
    <w:rsid w:val="00E929F9"/>
    <w:rsid w:val="00E92F1A"/>
    <w:rsid w:val="00E93067"/>
    <w:rsid w:val="00E93D4A"/>
    <w:rsid w:val="00E94906"/>
    <w:rsid w:val="00E95D9A"/>
    <w:rsid w:val="00E96668"/>
    <w:rsid w:val="00EA1E96"/>
    <w:rsid w:val="00EA25E5"/>
    <w:rsid w:val="00EA4926"/>
    <w:rsid w:val="00EA51A8"/>
    <w:rsid w:val="00EA72BE"/>
    <w:rsid w:val="00EA763E"/>
    <w:rsid w:val="00EA787A"/>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5405"/>
    <w:rsid w:val="00ED7527"/>
    <w:rsid w:val="00EE19EA"/>
    <w:rsid w:val="00EE1C15"/>
    <w:rsid w:val="00EE2828"/>
    <w:rsid w:val="00EE2B5E"/>
    <w:rsid w:val="00EE5246"/>
    <w:rsid w:val="00EE5486"/>
    <w:rsid w:val="00EE56C2"/>
    <w:rsid w:val="00EE56F3"/>
    <w:rsid w:val="00EE664B"/>
    <w:rsid w:val="00EE6A14"/>
    <w:rsid w:val="00EF0362"/>
    <w:rsid w:val="00EF06D0"/>
    <w:rsid w:val="00EF1B83"/>
    <w:rsid w:val="00EF2613"/>
    <w:rsid w:val="00EF2C4F"/>
    <w:rsid w:val="00EF4274"/>
    <w:rsid w:val="00EF5CC4"/>
    <w:rsid w:val="00EF63A7"/>
    <w:rsid w:val="00EF68EA"/>
    <w:rsid w:val="00EF73B4"/>
    <w:rsid w:val="00F00946"/>
    <w:rsid w:val="00F00F8A"/>
    <w:rsid w:val="00F0211B"/>
    <w:rsid w:val="00F03820"/>
    <w:rsid w:val="00F03A51"/>
    <w:rsid w:val="00F03B5A"/>
    <w:rsid w:val="00F043DA"/>
    <w:rsid w:val="00F06B29"/>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47632"/>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87E3A"/>
    <w:rsid w:val="00F92342"/>
    <w:rsid w:val="00F92DF9"/>
    <w:rsid w:val="00F93ADE"/>
    <w:rsid w:val="00F953F6"/>
    <w:rsid w:val="00F965FB"/>
    <w:rsid w:val="00F96C79"/>
    <w:rsid w:val="00F96CB4"/>
    <w:rsid w:val="00F97038"/>
    <w:rsid w:val="00F97D88"/>
    <w:rsid w:val="00FA0627"/>
    <w:rsid w:val="00FA0937"/>
    <w:rsid w:val="00FA1F33"/>
    <w:rsid w:val="00FA4110"/>
    <w:rsid w:val="00FA46C7"/>
    <w:rsid w:val="00FA5998"/>
    <w:rsid w:val="00FB0349"/>
    <w:rsid w:val="00FB0591"/>
    <w:rsid w:val="00FB16DF"/>
    <w:rsid w:val="00FB1787"/>
    <w:rsid w:val="00FB321F"/>
    <w:rsid w:val="00FB34EB"/>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E6D76"/>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gray,#969696,#009ee1"/>
    </o:shapedefaults>
    <o:shapelayout v:ext="edit">
      <o:idmap v:ext="edit" data="1"/>
    </o:shapelayout>
  </w:shapeDefaults>
  <w:doNotEmbedSmartTags/>
  <w:decimalSymbol w:val="."/>
  <w:listSeparator w:val=","/>
  <w14:docId w14:val="06CF55D7"/>
  <w15:docId w15:val="{7F50E16B-10F2-4B37-808D-F2FFA4C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0"/>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0"/>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5A9C"/>
    <w:pPr>
      <w:tabs>
        <w:tab w:val="center" w:pos="4153"/>
        <w:tab w:val="right" w:pos="8306"/>
      </w:tabs>
      <w:snapToGrid w:val="0"/>
      <w:jc w:val="center"/>
    </w:pPr>
    <w:rPr>
      <w:sz w:val="18"/>
      <w:szCs w:val="18"/>
    </w:rPr>
  </w:style>
  <w:style w:type="paragraph" w:styleId="a5">
    <w:name w:val="footer"/>
    <w:basedOn w:val="a"/>
    <w:link w:val="a6"/>
    <w:rsid w:val="00D508A6"/>
    <w:pPr>
      <w:tabs>
        <w:tab w:val="center" w:pos="4153"/>
        <w:tab w:val="right" w:pos="8306"/>
      </w:tabs>
      <w:snapToGrid w:val="0"/>
    </w:pPr>
    <w:rPr>
      <w:sz w:val="18"/>
      <w:szCs w:val="18"/>
    </w:rPr>
  </w:style>
  <w:style w:type="table" w:styleId="a7">
    <w:name w:val="Table Grid"/>
    <w:basedOn w:val="a1"/>
    <w:rsid w:val="00D508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D30D01"/>
    <w:rPr>
      <w:sz w:val="18"/>
      <w:szCs w:val="18"/>
    </w:rPr>
  </w:style>
  <w:style w:type="paragraph" w:customStyle="1" w:styleId="11">
    <w:name w:val="列出段落1"/>
    <w:basedOn w:val="a"/>
    <w:rsid w:val="00D82D40"/>
    <w:pPr>
      <w:ind w:firstLineChars="200" w:firstLine="420"/>
      <w:jc w:val="both"/>
    </w:pPr>
    <w:rPr>
      <w:rFonts w:ascii="Calibri" w:eastAsia="宋体" w:hAnsi="Calibri"/>
      <w:sz w:val="21"/>
      <w:szCs w:val="22"/>
      <w:lang w:eastAsia="zh-CN"/>
    </w:rPr>
  </w:style>
  <w:style w:type="character" w:customStyle="1" w:styleId="a6">
    <w:name w:val="页脚 字符"/>
    <w:link w:val="a5"/>
    <w:rsid w:val="00E22A33"/>
    <w:rPr>
      <w:rFonts w:eastAsia="PMingLiU"/>
      <w:kern w:val="2"/>
      <w:sz w:val="18"/>
      <w:szCs w:val="18"/>
      <w:lang w:eastAsia="zh-TW"/>
    </w:rPr>
  </w:style>
  <w:style w:type="character" w:customStyle="1" w:styleId="a4">
    <w:name w:val="页眉 字符"/>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a">
    <w:name w:val="评级"/>
    <w:rsid w:val="00847C10"/>
    <w:rPr>
      <w:rFonts w:ascii="黑体" w:eastAsia="黑体" w:hAnsi="黑体" w:cs="黑体"/>
      <w:b/>
      <w:bCs/>
      <w:color w:val="0B2A61"/>
    </w:rPr>
  </w:style>
  <w:style w:type="character" w:customStyle="1" w:styleId="ab">
    <w:name w:val="正文开始说明"/>
    <w:rsid w:val="00981E15"/>
    <w:rPr>
      <w:rFonts w:ascii="黑体" w:eastAsia="黑体" w:hAnsi="黑体" w:cs="黑体"/>
      <w:b/>
      <w:bCs/>
      <w:color w:val="FF0000"/>
      <w:sz w:val="40"/>
      <w:szCs w:val="40"/>
    </w:rPr>
  </w:style>
  <w:style w:type="paragraph" w:styleId="TOC2">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c">
    <w:name w:val="Hyperlink"/>
    <w:uiPriority w:val="99"/>
    <w:unhideWhenUsed/>
    <w:rsid w:val="00981E15"/>
    <w:rPr>
      <w:color w:val="0000FF"/>
      <w:u w:val="single"/>
    </w:rPr>
  </w:style>
  <w:style w:type="paragraph" w:styleId="TOC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d">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0">
    <w:name w:val="标题 1 字符"/>
    <w:link w:val="1"/>
    <w:uiPriority w:val="9"/>
    <w:rsid w:val="00C019D8"/>
    <w:rPr>
      <w:rFonts w:ascii="Arial" w:eastAsia="楷体_GB2312" w:hAnsi="Arial" w:cs="Arial"/>
      <w:b/>
      <w:bCs/>
      <w:kern w:val="44"/>
      <w:sz w:val="32"/>
      <w:szCs w:val="44"/>
    </w:rPr>
  </w:style>
  <w:style w:type="character" w:customStyle="1" w:styleId="20">
    <w:name w:val="标题 2 字符"/>
    <w:link w:val="2"/>
    <w:uiPriority w:val="9"/>
    <w:rsid w:val="00C13789"/>
    <w:rPr>
      <w:rFonts w:ascii="Arial" w:eastAsia="楷体_GB2312" w:hAnsi="Arial"/>
      <w:b/>
      <w:bCs/>
      <w:kern w:val="2"/>
      <w:sz w:val="24"/>
      <w:szCs w:val="32"/>
    </w:rPr>
  </w:style>
  <w:style w:type="paragraph" w:customStyle="1" w:styleId="ae">
    <w:name w:val="正文格式"/>
    <w:basedOn w:val="a"/>
    <w:link w:val="Char"/>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
    <w:name w:val="正文格式 Char"/>
    <w:link w:val="ae"/>
    <w:rsid w:val="006048E8"/>
    <w:rPr>
      <w:rFonts w:ascii="Arial" w:eastAsia="楷体_GB2312" w:hAnsi="Arial"/>
      <w:sz w:val="21"/>
      <w:szCs w:val="21"/>
    </w:rPr>
  </w:style>
  <w:style w:type="paragraph" w:customStyle="1" w:styleId="af">
    <w:name w:val="表题"/>
    <w:basedOn w:val="a"/>
    <w:link w:val="Char0"/>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0">
    <w:name w:val="表题 Char"/>
    <w:link w:val="af"/>
    <w:rsid w:val="00E626E1"/>
    <w:rPr>
      <w:rFonts w:ascii="Arial" w:eastAsia="楷体_GB2312" w:hAnsi="Arial"/>
      <w:b/>
      <w:color w:val="0F243E"/>
      <w:sz w:val="21"/>
      <w:szCs w:val="21"/>
      <w:lang w:eastAsia="zh-TW"/>
    </w:rPr>
  </w:style>
  <w:style w:type="paragraph" w:customStyle="1" w:styleId="af0">
    <w:name w:val="图题"/>
    <w:basedOn w:val="a"/>
    <w:link w:val="Char1"/>
    <w:qFormat/>
    <w:rsid w:val="00597933"/>
    <w:pPr>
      <w:autoSpaceDE w:val="0"/>
      <w:autoSpaceDN w:val="0"/>
      <w:adjustRightInd w:val="0"/>
    </w:pPr>
    <w:rPr>
      <w:rFonts w:ascii="Arial" w:eastAsia="楷体_GB2312" w:hAnsi="Arial"/>
      <w:b/>
      <w:color w:val="0F243E"/>
      <w:kern w:val="0"/>
      <w:sz w:val="21"/>
      <w:szCs w:val="21"/>
    </w:rPr>
  </w:style>
  <w:style w:type="character" w:customStyle="1" w:styleId="Char1">
    <w:name w:val="图题 Char"/>
    <w:link w:val="af0"/>
    <w:rsid w:val="00597933"/>
    <w:rPr>
      <w:rFonts w:ascii="Arial" w:eastAsia="楷体_GB2312" w:hAnsi="Arial"/>
      <w:b/>
      <w:color w:val="0F243E"/>
      <w:sz w:val="21"/>
      <w:szCs w:val="21"/>
      <w:lang w:eastAsia="zh-TW"/>
    </w:rPr>
  </w:style>
  <w:style w:type="character" w:styleId="af1">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2">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3">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TOC3">
    <w:name w:val="toc 3"/>
    <w:basedOn w:val="a"/>
    <w:next w:val="a"/>
    <w:autoRedefine/>
    <w:rsid w:val="00723092"/>
    <w:pPr>
      <w:ind w:leftChars="1400" w:left="1400"/>
    </w:pPr>
    <w:rPr>
      <w:rFonts w:ascii="Arial" w:eastAsia="楷体_GB2312" w:hAnsi="Arial" w:cs="Calibri"/>
      <w:iCs/>
      <w:sz w:val="21"/>
      <w:szCs w:val="20"/>
    </w:rPr>
  </w:style>
  <w:style w:type="paragraph" w:styleId="TOC4">
    <w:name w:val="toc 4"/>
    <w:basedOn w:val="a"/>
    <w:next w:val="a"/>
    <w:autoRedefine/>
    <w:rsid w:val="00723092"/>
    <w:pPr>
      <w:ind w:left="7258"/>
    </w:pPr>
    <w:rPr>
      <w:rFonts w:ascii="Arial" w:eastAsia="楷体_GB2312" w:hAnsi="Arial" w:cs="Calibri"/>
      <w:szCs w:val="18"/>
    </w:rPr>
  </w:style>
  <w:style w:type="paragraph" w:styleId="TOC5">
    <w:name w:val="toc 5"/>
    <w:basedOn w:val="a"/>
    <w:next w:val="a"/>
    <w:autoRedefine/>
    <w:rsid w:val="00723092"/>
    <w:pPr>
      <w:ind w:left="7258"/>
    </w:pPr>
    <w:rPr>
      <w:rFonts w:ascii="Arial" w:eastAsia="楷体_GB2312" w:hAnsi="Arial" w:cs="Calibri"/>
      <w:szCs w:val="18"/>
    </w:rPr>
  </w:style>
  <w:style w:type="paragraph" w:styleId="TOC6">
    <w:name w:val="toc 6"/>
    <w:basedOn w:val="a"/>
    <w:next w:val="a"/>
    <w:autoRedefine/>
    <w:rsid w:val="000D33F4"/>
    <w:pPr>
      <w:ind w:left="7258"/>
    </w:pPr>
    <w:rPr>
      <w:rFonts w:ascii="Arial" w:eastAsia="楷体_GB2312" w:hAnsi="Arial" w:cs="Calibri"/>
      <w:szCs w:val="18"/>
    </w:rPr>
  </w:style>
  <w:style w:type="paragraph" w:styleId="TOC7">
    <w:name w:val="toc 7"/>
    <w:basedOn w:val="a"/>
    <w:next w:val="a"/>
    <w:autoRedefine/>
    <w:rsid w:val="000D33F4"/>
    <w:pPr>
      <w:ind w:left="7258"/>
    </w:pPr>
    <w:rPr>
      <w:rFonts w:ascii="Arial" w:eastAsia="楷体_GB2312" w:hAnsi="Arial" w:cs="Calibri"/>
      <w:szCs w:val="18"/>
    </w:rPr>
  </w:style>
  <w:style w:type="paragraph" w:styleId="TOC8">
    <w:name w:val="toc 8"/>
    <w:basedOn w:val="a"/>
    <w:next w:val="a"/>
    <w:autoRedefine/>
    <w:rsid w:val="000D33F4"/>
    <w:pPr>
      <w:ind w:left="7258"/>
    </w:pPr>
    <w:rPr>
      <w:rFonts w:ascii="Arial" w:eastAsia="楷体_GB2312" w:hAnsi="Arial" w:cs="Calibri"/>
      <w:szCs w:val="18"/>
    </w:rPr>
  </w:style>
  <w:style w:type="paragraph" w:styleId="TOC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4">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5">
    <w:name w:val="研究小组简介"/>
    <w:rsid w:val="005B7299"/>
    <w:rPr>
      <w:rFonts w:ascii="Arial" w:eastAsia="楷体_GB2312" w:hAnsi="Arial"/>
      <w:color w:val="003366"/>
      <w:sz w:val="18"/>
    </w:rPr>
  </w:style>
  <w:style w:type="character" w:customStyle="1" w:styleId="a9">
    <w:name w:val="批注框文本 字符"/>
    <w:link w:val="a8"/>
    <w:uiPriority w:val="99"/>
    <w:semiHidden/>
    <w:rsid w:val="005B7299"/>
    <w:rPr>
      <w:rFonts w:eastAsia="PMingLiU"/>
      <w:kern w:val="2"/>
      <w:sz w:val="18"/>
      <w:szCs w:val="18"/>
      <w:lang w:eastAsia="zh-TW"/>
    </w:rPr>
  </w:style>
  <w:style w:type="paragraph" w:styleId="af6">
    <w:name w:val="List Paragraph"/>
    <w:basedOn w:val="a"/>
    <w:uiPriority w:val="34"/>
    <w:qFormat/>
    <w:rsid w:val="005B7299"/>
    <w:pPr>
      <w:ind w:firstLineChars="200" w:firstLine="420"/>
      <w:jc w:val="both"/>
    </w:pPr>
    <w:rPr>
      <w:rFonts w:eastAsia="宋体"/>
      <w:sz w:val="21"/>
      <w:lang w:eastAsia="zh-CN"/>
    </w:rPr>
  </w:style>
  <w:style w:type="character" w:styleId="af7">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8">
    <w:name w:val="No Spacing"/>
    <w:uiPriority w:val="1"/>
    <w:qFormat/>
    <w:rsid w:val="005B7299"/>
    <w:pPr>
      <w:widowControl w:val="0"/>
      <w:jc w:val="both"/>
    </w:pPr>
    <w:rPr>
      <w:kern w:val="2"/>
      <w:sz w:val="21"/>
      <w:szCs w:val="24"/>
    </w:rPr>
  </w:style>
  <w:style w:type="character" w:styleId="af9">
    <w:name w:val="Intense Emphasis"/>
    <w:basedOn w:val="a0"/>
    <w:uiPriority w:val="21"/>
    <w:qFormat/>
    <w:rsid w:val="00AB6F63"/>
    <w:rPr>
      <w:b/>
      <w:bCs/>
      <w:i/>
      <w:iCs/>
      <w:color w:val="4F81BD" w:themeColor="accent1"/>
    </w:rPr>
  </w:style>
  <w:style w:type="character" w:styleId="afa">
    <w:name w:val="Subtle Emphasis"/>
    <w:basedOn w:val="a0"/>
    <w:uiPriority w:val="19"/>
    <w:qFormat/>
    <w:rsid w:val="00AB6F63"/>
    <w:rPr>
      <w:i/>
      <w:iCs/>
      <w:color w:val="808080" w:themeColor="text1" w:themeTint="7F"/>
    </w:rPr>
  </w:style>
  <w:style w:type="character" w:styleId="afb">
    <w:name w:val="Book Title"/>
    <w:basedOn w:val="a0"/>
    <w:uiPriority w:val="33"/>
    <w:qFormat/>
    <w:rsid w:val="00AB6F63"/>
    <w:rPr>
      <w:b/>
      <w:bCs/>
      <w:smallCaps/>
      <w:spacing w:val="5"/>
    </w:rPr>
  </w:style>
  <w:style w:type="paragraph" w:styleId="afc">
    <w:name w:val="Document Map"/>
    <w:basedOn w:val="a"/>
    <w:link w:val="afd"/>
    <w:rsid w:val="005000C2"/>
    <w:rPr>
      <w:rFonts w:ascii="宋体" w:eastAsia="宋体"/>
      <w:sz w:val="18"/>
      <w:szCs w:val="18"/>
    </w:rPr>
  </w:style>
  <w:style w:type="character" w:customStyle="1" w:styleId="afd">
    <w:name w:val="文档结构图 字符"/>
    <w:basedOn w:val="a0"/>
    <w:link w:val="afc"/>
    <w:rsid w:val="005000C2"/>
    <w:rPr>
      <w:rFonts w:ascii="宋体"/>
      <w:kern w:val="2"/>
      <w:sz w:val="18"/>
      <w:szCs w:val="18"/>
      <w:lang w:eastAsia="zh-TW"/>
    </w:rPr>
  </w:style>
  <w:style w:type="paragraph" w:customStyle="1" w:styleId="afe">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f">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f0">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f1">
    <w:name w:val="caption"/>
    <w:basedOn w:val="a"/>
    <w:next w:val="a"/>
    <w:unhideWhenUsed/>
    <w:qFormat/>
    <w:locked/>
    <w:rsid w:val="00823677"/>
    <w:rPr>
      <w:rFonts w:asciiTheme="majorHAnsi" w:eastAsia="黑体" w:hAnsiTheme="majorHAnsi" w:cstheme="majorBidi"/>
      <w:sz w:val="20"/>
      <w:szCs w:val="20"/>
    </w:rPr>
  </w:style>
  <w:style w:type="paragraph" w:customStyle="1" w:styleId="aff2">
    <w:name w:val="图表数据来源"/>
    <w:qFormat/>
    <w:rsid w:val="00597933"/>
    <w:rPr>
      <w:rFonts w:ascii="Arial" w:eastAsia="楷体_GB2312" w:hAnsi="Arial"/>
      <w:color w:val="0F243E"/>
      <w:sz w:val="18"/>
      <w:szCs w:val="21"/>
    </w:rPr>
  </w:style>
  <w:style w:type="paragraph" w:customStyle="1" w:styleId="aff3">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4">
    <w:name w:val="联系我们分部名称"/>
    <w:basedOn w:val="a"/>
    <w:qFormat/>
    <w:rsid w:val="009A3785"/>
    <w:rPr>
      <w:rFonts w:ascii="Arial" w:eastAsia="楷体_GB2312" w:hAnsi="Arial"/>
      <w:color w:val="1F497D" w:themeColor="text2"/>
      <w:lang w:eastAsia="zh-CN"/>
    </w:rPr>
  </w:style>
  <w:style w:type="paragraph" w:customStyle="1" w:styleId="AMDisplayEquation">
    <w:name w:val="AMDisplayEquation"/>
    <w:basedOn w:val="a"/>
    <w:next w:val="a"/>
    <w:link w:val="AMDisplayEquation0"/>
    <w:rsid w:val="001D0205"/>
    <w:pPr>
      <w:tabs>
        <w:tab w:val="center" w:pos="6840"/>
        <w:tab w:val="right" w:pos="10640"/>
      </w:tabs>
      <w:autoSpaceDE w:val="0"/>
      <w:autoSpaceDN w:val="0"/>
      <w:adjustRightInd w:val="0"/>
      <w:spacing w:after="100"/>
      <w:ind w:leftChars="1257" w:left="3017" w:firstLineChars="1" w:firstLine="2"/>
      <w:jc w:val="both"/>
    </w:pPr>
    <w:rPr>
      <w:rFonts w:ascii="Arial" w:eastAsia="楷体_GB2312" w:hAnsi="Arial"/>
      <w:kern w:val="0"/>
      <w:sz w:val="21"/>
      <w:szCs w:val="21"/>
      <w:lang w:eastAsia="zh-CN"/>
    </w:rPr>
  </w:style>
  <w:style w:type="character" w:customStyle="1" w:styleId="AMDisplayEquation0">
    <w:name w:val="AMDisplayEquation 字符"/>
    <w:basedOn w:val="a0"/>
    <w:link w:val="AMDisplayEquation"/>
    <w:rsid w:val="001D0205"/>
    <w:rPr>
      <w:rFonts w:ascii="Arial" w:eastAsia="楷体_GB2312" w:hAnsi="Arial"/>
      <w:sz w:val="21"/>
      <w:szCs w:val="21"/>
    </w:rPr>
  </w:style>
  <w:style w:type="character" w:customStyle="1" w:styleId="AMEquationSection">
    <w:name w:val="AMEquationSection"/>
    <w:basedOn w:val="a0"/>
    <w:rsid w:val="001E5939"/>
    <w:rPr>
      <w:rFonts w:eastAsiaTheme="minorEastAsia"/>
      <w:vanish/>
      <w:color w:val="FF0000"/>
      <w:sz w:val="13"/>
      <w:szCs w:val="13"/>
      <w:lang w:eastAsia="zh-CN"/>
    </w:rPr>
  </w:style>
  <w:style w:type="paragraph" w:styleId="aff5">
    <w:name w:val="footnote text"/>
    <w:basedOn w:val="a"/>
    <w:link w:val="aff6"/>
    <w:semiHidden/>
    <w:unhideWhenUsed/>
    <w:rsid w:val="007252B0"/>
    <w:pPr>
      <w:snapToGrid w:val="0"/>
    </w:pPr>
    <w:rPr>
      <w:sz w:val="18"/>
      <w:szCs w:val="18"/>
    </w:rPr>
  </w:style>
  <w:style w:type="character" w:customStyle="1" w:styleId="aff6">
    <w:name w:val="脚注文本 字符"/>
    <w:basedOn w:val="a0"/>
    <w:link w:val="aff5"/>
    <w:semiHidden/>
    <w:rsid w:val="007252B0"/>
    <w:rPr>
      <w:rFonts w:eastAsia="PMingLiU"/>
      <w:kern w:val="2"/>
      <w:sz w:val="18"/>
      <w:szCs w:val="18"/>
      <w:lang w:eastAsia="zh-TW"/>
    </w:rPr>
  </w:style>
  <w:style w:type="character" w:styleId="aff7">
    <w:name w:val="footnote reference"/>
    <w:basedOn w:val="a0"/>
    <w:semiHidden/>
    <w:unhideWhenUsed/>
    <w:rsid w:val="00725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3912065">
      <w:bodyDiv w:val="1"/>
      <w:marLeft w:val="0"/>
      <w:marRight w:val="0"/>
      <w:marTop w:val="0"/>
      <w:marBottom w:val="0"/>
      <w:divBdr>
        <w:top w:val="none" w:sz="0" w:space="0" w:color="auto"/>
        <w:left w:val="none" w:sz="0" w:space="0" w:color="auto"/>
        <w:bottom w:val="none" w:sz="0" w:space="0" w:color="auto"/>
        <w:right w:val="none" w:sz="0" w:space="0" w:color="auto"/>
      </w:divBdr>
    </w:div>
    <w:div w:id="160853116">
      <w:bodyDiv w:val="1"/>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329143336">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471705743">
      <w:bodyDiv w:val="1"/>
      <w:marLeft w:val="0"/>
      <w:marRight w:val="0"/>
      <w:marTop w:val="0"/>
      <w:marBottom w:val="0"/>
      <w:divBdr>
        <w:top w:val="none" w:sz="0" w:space="0" w:color="auto"/>
        <w:left w:val="none" w:sz="0" w:space="0" w:color="auto"/>
        <w:bottom w:val="none" w:sz="0" w:space="0" w:color="auto"/>
        <w:right w:val="none" w:sz="0" w:space="0" w:color="auto"/>
      </w:divBdr>
    </w:div>
    <w:div w:id="1603107969">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 w:id="20595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117" Type="http://schemas.openxmlformats.org/officeDocument/2006/relationships/chart" Target="charts/chart6.xml"/><Relationship Id="rId21" Type="http://schemas.openxmlformats.org/officeDocument/2006/relationships/image" Target="media/image14.wmf"/><Relationship Id="rId42" Type="http://schemas.openxmlformats.org/officeDocument/2006/relationships/oleObject" Target="embeddings/oleObject4.bin"/><Relationship Id="rId47" Type="http://schemas.openxmlformats.org/officeDocument/2006/relationships/oleObject" Target="embeddings/oleObject7.bin"/><Relationship Id="rId63" Type="http://schemas.openxmlformats.org/officeDocument/2006/relationships/oleObject" Target="embeddings/oleObject16.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29.bin"/><Relationship Id="rId112" Type="http://schemas.openxmlformats.org/officeDocument/2006/relationships/chart" Target="charts/chart1.xml"/><Relationship Id="rId133" Type="http://schemas.openxmlformats.org/officeDocument/2006/relationships/chart" Target="charts/chart22.xml"/><Relationship Id="rId16"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image" Target="media/image4.wmf"/><Relationship Id="rId32" Type="http://schemas.openxmlformats.org/officeDocument/2006/relationships/footer" Target="footer1.xml"/><Relationship Id="rId37" Type="http://schemas.openxmlformats.org/officeDocument/2006/relationships/image" Target="media/image22.wmf"/><Relationship Id="rId53" Type="http://schemas.openxmlformats.org/officeDocument/2006/relationships/image" Target="media/image29.wmf"/><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24.bin"/><Relationship Id="rId102" Type="http://schemas.openxmlformats.org/officeDocument/2006/relationships/image" Target="media/image53.wmf"/><Relationship Id="rId123" Type="http://schemas.openxmlformats.org/officeDocument/2006/relationships/chart" Target="charts/chart12.xml"/><Relationship Id="rId128" Type="http://schemas.openxmlformats.org/officeDocument/2006/relationships/chart" Target="charts/chart17.xml"/><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2.bin"/><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13.png"/><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image" Target="media/image34.wmf"/><Relationship Id="rId69"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52.wmf"/><Relationship Id="rId105" Type="http://schemas.openxmlformats.org/officeDocument/2006/relationships/oleObject" Target="embeddings/oleObject37.bin"/><Relationship Id="rId113" Type="http://schemas.openxmlformats.org/officeDocument/2006/relationships/chart" Target="charts/chart2.xml"/><Relationship Id="rId118" Type="http://schemas.openxmlformats.org/officeDocument/2006/relationships/chart" Target="charts/chart7.xml"/><Relationship Id="rId126" Type="http://schemas.openxmlformats.org/officeDocument/2006/relationships/chart" Target="charts/chart15.xml"/><Relationship Id="rId134" Type="http://schemas.openxmlformats.org/officeDocument/2006/relationships/chart" Target="charts/chart23.xml"/><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image" Target="media/image51.wmf"/><Relationship Id="rId121" Type="http://schemas.openxmlformats.org/officeDocument/2006/relationships/chart" Target="charts/chart10.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header" Target="header2.xm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oleObject" Target="embeddings/oleObject14.bin"/><Relationship Id="rId67" Type="http://schemas.openxmlformats.org/officeDocument/2006/relationships/oleObject" Target="embeddings/oleObject18.bin"/><Relationship Id="rId103" Type="http://schemas.openxmlformats.org/officeDocument/2006/relationships/oleObject" Target="embeddings/oleObject36.bin"/><Relationship Id="rId108" Type="http://schemas.openxmlformats.org/officeDocument/2006/relationships/image" Target="media/image56.wmf"/><Relationship Id="rId116" Type="http://schemas.openxmlformats.org/officeDocument/2006/relationships/chart" Target="charts/chart5.xml"/><Relationship Id="rId124" Type="http://schemas.openxmlformats.org/officeDocument/2006/relationships/chart" Target="charts/chart13.xml"/><Relationship Id="rId129" Type="http://schemas.openxmlformats.org/officeDocument/2006/relationships/chart" Target="charts/chart18.xml"/><Relationship Id="rId20" Type="http://schemas.openxmlformats.org/officeDocument/2006/relationships/image" Target="media/image13.wmf"/><Relationship Id="rId41" Type="http://schemas.openxmlformats.org/officeDocument/2006/relationships/image" Target="media/image24.wmf"/><Relationship Id="rId54" Type="http://schemas.openxmlformats.org/officeDocument/2006/relationships/oleObject" Target="embeddings/oleObject11.bin"/><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46.wmf"/><Relationship Id="rId91" Type="http://schemas.openxmlformats.org/officeDocument/2006/relationships/oleObject" Target="embeddings/oleObject30.bin"/><Relationship Id="rId96" Type="http://schemas.openxmlformats.org/officeDocument/2006/relationships/image" Target="media/image50.wmf"/><Relationship Id="rId111" Type="http://schemas.openxmlformats.org/officeDocument/2006/relationships/oleObject" Target="embeddings/oleObject40.bin"/><Relationship Id="rId132"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11.png"/><Relationship Id="rId36" Type="http://schemas.openxmlformats.org/officeDocument/2006/relationships/oleObject" Target="embeddings/oleObject1.bin"/><Relationship Id="rId49" Type="http://schemas.openxmlformats.org/officeDocument/2006/relationships/image" Target="media/image27.wmf"/><Relationship Id="rId57" Type="http://schemas.openxmlformats.org/officeDocument/2006/relationships/oleObject" Target="embeddings/oleObject13.bin"/><Relationship Id="rId106" Type="http://schemas.openxmlformats.org/officeDocument/2006/relationships/image" Target="media/image55.wmf"/><Relationship Id="rId114" Type="http://schemas.openxmlformats.org/officeDocument/2006/relationships/chart" Target="charts/chart3.xml"/><Relationship Id="rId119" Type="http://schemas.openxmlformats.org/officeDocument/2006/relationships/chart" Target="charts/chart8.xml"/><Relationship Id="rId127" Type="http://schemas.openxmlformats.org/officeDocument/2006/relationships/chart" Target="charts/chart16.xml"/><Relationship Id="rId10" Type="http://schemas.openxmlformats.org/officeDocument/2006/relationships/image" Target="media/image3.wmf"/><Relationship Id="rId31" Type="http://schemas.openxmlformats.org/officeDocument/2006/relationships/header" Target="header1.xml"/><Relationship Id="rId44" Type="http://schemas.openxmlformats.org/officeDocument/2006/relationships/oleObject" Target="embeddings/oleObject5.bin"/><Relationship Id="rId52" Type="http://schemas.openxmlformats.org/officeDocument/2006/relationships/oleObject" Target="embeddings/oleObject10.bin"/><Relationship Id="rId60" Type="http://schemas.openxmlformats.org/officeDocument/2006/relationships/image" Target="media/image32.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1.wmf"/><Relationship Id="rId81" Type="http://schemas.openxmlformats.org/officeDocument/2006/relationships/oleObject" Target="embeddings/oleObject25.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chart" Target="charts/chart11.xml"/><Relationship Id="rId130" Type="http://schemas.openxmlformats.org/officeDocument/2006/relationships/chart" Target="charts/chart19.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23.wmf"/><Relationship Id="rId109" Type="http://schemas.openxmlformats.org/officeDocument/2006/relationships/oleObject" Target="embeddings/oleObject39.bin"/><Relationship Id="rId34" Type="http://schemas.openxmlformats.org/officeDocument/2006/relationships/footer" Target="footer2.xml"/><Relationship Id="rId50" Type="http://schemas.openxmlformats.org/officeDocument/2006/relationships/oleObject" Target="embeddings/oleObject9.bin"/><Relationship Id="rId55" Type="http://schemas.openxmlformats.org/officeDocument/2006/relationships/image" Target="media/image30.wmf"/><Relationship Id="rId76" Type="http://schemas.openxmlformats.org/officeDocument/2006/relationships/image" Target="media/image40.wmf"/><Relationship Id="rId97" Type="http://schemas.openxmlformats.org/officeDocument/2006/relationships/oleObject" Target="embeddings/oleObject33.bin"/><Relationship Id="rId104" Type="http://schemas.openxmlformats.org/officeDocument/2006/relationships/image" Target="media/image54.wmf"/><Relationship Id="rId120" Type="http://schemas.openxmlformats.org/officeDocument/2006/relationships/chart" Target="charts/chart9.xml"/><Relationship Id="rId125" Type="http://schemas.openxmlformats.org/officeDocument/2006/relationships/chart" Target="charts/chart14.xml"/><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17.wmf"/><Relationship Id="rId40" Type="http://schemas.openxmlformats.org/officeDocument/2006/relationships/oleObject" Target="embeddings/oleObject3.bin"/><Relationship Id="rId45" Type="http://schemas.openxmlformats.org/officeDocument/2006/relationships/image" Target="media/image26.wmf"/><Relationship Id="rId66" Type="http://schemas.openxmlformats.org/officeDocument/2006/relationships/image" Target="media/image35.wmf"/><Relationship Id="rId87" Type="http://schemas.openxmlformats.org/officeDocument/2006/relationships/oleObject" Target="embeddings/oleObject28.bin"/><Relationship Id="rId110" Type="http://schemas.openxmlformats.org/officeDocument/2006/relationships/image" Target="media/image57.wmf"/><Relationship Id="rId115" Type="http://schemas.openxmlformats.org/officeDocument/2006/relationships/chart" Target="charts/chart4.xml"/><Relationship Id="rId131" Type="http://schemas.openxmlformats.org/officeDocument/2006/relationships/chart" Target="charts/chart20.xml"/><Relationship Id="rId136" Type="http://schemas.openxmlformats.org/officeDocument/2006/relationships/theme" Target="theme/theme1.xml"/><Relationship Id="rId61" Type="http://schemas.openxmlformats.org/officeDocument/2006/relationships/oleObject" Target="embeddings/oleObject15.bin"/><Relationship Id="rId82" Type="http://schemas.openxmlformats.org/officeDocument/2006/relationships/image" Target="media/image43.wmf"/><Relationship Id="rId19"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0.xml"/><Relationship Id="rId1" Type="http://schemas.microsoft.com/office/2011/relationships/chartStyle" Target="style10.xml"/></Relationships>
</file>

<file path=word/charts/_rels/chart1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1.xml"/><Relationship Id="rId1" Type="http://schemas.microsoft.com/office/2011/relationships/chartStyle" Target="style11.xml"/></Relationships>
</file>

<file path=word/charts/_rels/chart1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2.xml"/><Relationship Id="rId1" Type="http://schemas.microsoft.com/office/2011/relationships/chartStyle" Target="style12.xml"/></Relationships>
</file>

<file path=word/charts/_rels/chart1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3.xml"/><Relationship Id="rId1" Type="http://schemas.microsoft.com/office/2011/relationships/chartStyle" Target="style13.xml"/></Relationships>
</file>

<file path=word/charts/_rels/chart1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4.xml"/><Relationship Id="rId1" Type="http://schemas.microsoft.com/office/2011/relationships/chartStyle" Target="style14.xml"/></Relationships>
</file>

<file path=word/charts/_rels/chart1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5.xml"/><Relationship Id="rId1" Type="http://schemas.microsoft.com/office/2011/relationships/chartStyle" Target="style15.xml"/></Relationships>
</file>

<file path=word/charts/_rels/chart1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7.xml"/><Relationship Id="rId1" Type="http://schemas.microsoft.com/office/2011/relationships/chartStyle" Target="style17.xml"/></Relationships>
</file>

<file path=word/charts/_rels/chart2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8.xml"/><Relationship Id="rId1" Type="http://schemas.microsoft.com/office/2011/relationships/chartStyle" Target="style18.xml"/></Relationships>
</file>

<file path=word/charts/_rels/chart2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9.xml"/><Relationship Id="rId1" Type="http://schemas.microsoft.com/office/2011/relationships/chartStyle" Target="style19.xml"/></Relationships>
</file>

<file path=word/charts/_rels/chart2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Wind一级分类</c:v>
          </c:tx>
          <c:dLbls>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中国基金分类情况统计!$D$2:$D$6</c:f>
              <c:strCache>
                <c:ptCount val="5"/>
                <c:pt idx="0">
                  <c:v>混合型基金</c:v>
                </c:pt>
                <c:pt idx="1">
                  <c:v>债券型基金</c:v>
                </c:pt>
                <c:pt idx="2">
                  <c:v>股票型基金</c:v>
                </c:pt>
                <c:pt idx="3">
                  <c:v>货币市场型基金</c:v>
                </c:pt>
                <c:pt idx="4">
                  <c:v>国际(QDII)基金</c:v>
                </c:pt>
              </c:strCache>
            </c:strRef>
          </c:cat>
          <c:val>
            <c:numRef>
              <c:f>中国基金分类情况统计!$E$2:$E$6</c:f>
              <c:numCache>
                <c:formatCode>General</c:formatCode>
                <c:ptCount val="5"/>
                <c:pt idx="0">
                  <c:v>4835</c:v>
                </c:pt>
                <c:pt idx="1">
                  <c:v>3771</c:v>
                </c:pt>
                <c:pt idx="2">
                  <c:v>1875</c:v>
                </c:pt>
                <c:pt idx="3">
                  <c:v>693</c:v>
                </c:pt>
                <c:pt idx="4">
                  <c:v>309</c:v>
                </c:pt>
              </c:numCache>
            </c:numRef>
          </c:val>
          <c:extLst>
            <c:ext xmlns:c16="http://schemas.microsoft.com/office/drawing/2014/chart" uri="{C3380CC4-5D6E-409C-BE32-E72D297353CC}">
              <c16:uniqueId val="{00000000-9756-4AB5-89E9-0283A32680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'基金二级分类业绩评价基准-股指基准和债指基准统计'!$B$17:$B$21</c:f>
              <c:strCache>
                <c:ptCount val="5"/>
                <c:pt idx="0">
                  <c:v>沪深300指数收益率</c:v>
                </c:pt>
                <c:pt idx="1">
                  <c:v>中证800指数收益率</c:v>
                </c:pt>
                <c:pt idx="2">
                  <c:v>中证500指数收益率</c:v>
                </c:pt>
                <c:pt idx="3">
                  <c:v>中证股票型基金指数收益率</c:v>
                </c:pt>
                <c:pt idx="4">
                  <c:v>固定利率0.02</c:v>
                </c:pt>
              </c:strCache>
            </c:strRef>
          </c:cat>
          <c:val>
            <c:numRef>
              <c:f>'基金二级分类业绩评价基准-股指基准和债指基准统计'!$C$17:$C$21</c:f>
              <c:numCache>
                <c:formatCode>General</c:formatCode>
                <c:ptCount val="5"/>
                <c:pt idx="0">
                  <c:v>631</c:v>
                </c:pt>
                <c:pt idx="1">
                  <c:v>66</c:v>
                </c:pt>
                <c:pt idx="2">
                  <c:v>9</c:v>
                </c:pt>
                <c:pt idx="3">
                  <c:v>8</c:v>
                </c:pt>
                <c:pt idx="4">
                  <c:v>7</c:v>
                </c:pt>
              </c:numCache>
            </c:numRef>
          </c:val>
          <c:extLst>
            <c:ext xmlns:c16="http://schemas.microsoft.com/office/drawing/2014/chart" uri="{C3380CC4-5D6E-409C-BE32-E72D297353CC}">
              <c16:uniqueId val="{00000000-20DC-48B4-AA6D-3A0817986ACC}"/>
            </c:ext>
          </c:extLst>
        </c:ser>
        <c:dLbls>
          <c:showLegendKey val="0"/>
          <c:showVal val="0"/>
          <c:showCatName val="0"/>
          <c:showSerName val="0"/>
          <c:showPercent val="0"/>
          <c:showBubbleSize val="0"/>
        </c:dLbls>
        <c:gapWidth val="182"/>
        <c:axId val="1289520368"/>
        <c:axId val="1289520696"/>
      </c:barChart>
      <c:catAx>
        <c:axId val="1289520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696"/>
        <c:crosses val="autoZero"/>
        <c:auto val="1"/>
        <c:lblAlgn val="ctr"/>
        <c:lblOffset val="100"/>
        <c:noMultiLvlLbl val="0"/>
      </c:catAx>
      <c:valAx>
        <c:axId val="1289520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'基金二级分类业绩评价基准-股指基准和债指基准统计'!$E$17:$E$21</c:f>
              <c:strCache>
                <c:ptCount val="5"/>
                <c:pt idx="0">
                  <c:v>中债综合指数收益率</c:v>
                </c:pt>
                <c:pt idx="1">
                  <c:v>中证全债指数收益率</c:v>
                </c:pt>
                <c:pt idx="2">
                  <c:v>中债综合财富(总值)指数收益率</c:v>
                </c:pt>
                <c:pt idx="3">
                  <c:v>上证国债指数收益率</c:v>
                </c:pt>
                <c:pt idx="4">
                  <c:v>中证综合债指数收益率</c:v>
                </c:pt>
              </c:strCache>
            </c:strRef>
          </c:cat>
          <c:val>
            <c:numRef>
              <c:f>'基金二级分类业绩评价基准-股指基准和债指基准统计'!$F$17:$F$21</c:f>
              <c:numCache>
                <c:formatCode>General</c:formatCode>
                <c:ptCount val="5"/>
                <c:pt idx="0">
                  <c:v>152</c:v>
                </c:pt>
                <c:pt idx="1">
                  <c:v>118</c:v>
                </c:pt>
                <c:pt idx="2">
                  <c:v>63</c:v>
                </c:pt>
                <c:pt idx="3">
                  <c:v>54</c:v>
                </c:pt>
                <c:pt idx="4">
                  <c:v>50</c:v>
                </c:pt>
              </c:numCache>
            </c:numRef>
          </c:val>
          <c:extLst>
            <c:ext xmlns:c16="http://schemas.microsoft.com/office/drawing/2014/chart" uri="{C3380CC4-5D6E-409C-BE32-E72D297353CC}">
              <c16:uniqueId val="{00000000-1DFA-4F3E-9F34-D94895D7D0CE}"/>
            </c:ext>
          </c:extLst>
        </c:ser>
        <c:dLbls>
          <c:showLegendKey val="0"/>
          <c:showVal val="0"/>
          <c:showCatName val="0"/>
          <c:showSerName val="0"/>
          <c:showPercent val="0"/>
          <c:showBubbleSize val="0"/>
        </c:dLbls>
        <c:gapWidth val="182"/>
        <c:axId val="1301142320"/>
        <c:axId val="1301142648"/>
      </c:barChart>
      <c:catAx>
        <c:axId val="1301142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301142648"/>
        <c:crosses val="autoZero"/>
        <c:auto val="1"/>
        <c:lblAlgn val="ctr"/>
        <c:lblOffset val="100"/>
        <c:noMultiLvlLbl val="0"/>
      </c:catAx>
      <c:valAx>
        <c:axId val="1301142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30114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'基金行业主题分类业绩评价基准-股指基准和债指基准统计'!$T$2:$T$11</c:f>
              <c:strCache>
                <c:ptCount val="10"/>
                <c:pt idx="0">
                  <c:v>沪深300指数收益率</c:v>
                </c:pt>
                <c:pt idx="1">
                  <c:v>中证800指数收益率</c:v>
                </c:pt>
                <c:pt idx="2">
                  <c:v>中证内地消费主题指数收益率</c:v>
                </c:pt>
                <c:pt idx="3">
                  <c:v>中证100指数收益率</c:v>
                </c:pt>
                <c:pt idx="4">
                  <c:v>中证主要消费指数收益率</c:v>
                </c:pt>
                <c:pt idx="5">
                  <c:v>中证服务业指数收益率</c:v>
                </c:pt>
                <c:pt idx="6">
                  <c:v>中证红利指数收益率</c:v>
                </c:pt>
                <c:pt idx="7">
                  <c:v>中证食品饮料指数收益率</c:v>
                </c:pt>
                <c:pt idx="8">
                  <c:v>中证500指数收益率</c:v>
                </c:pt>
                <c:pt idx="9">
                  <c:v>申银万国消费品指数</c:v>
                </c:pt>
              </c:strCache>
            </c:strRef>
          </c:cat>
          <c:val>
            <c:numRef>
              <c:f>'基金行业主题分类业绩评价基准-股指基准和债指基准统计'!$U$2:$U$11</c:f>
              <c:numCache>
                <c:formatCode>General</c:formatCode>
                <c:ptCount val="10"/>
                <c:pt idx="0">
                  <c:v>240</c:v>
                </c:pt>
                <c:pt idx="1">
                  <c:v>38</c:v>
                </c:pt>
                <c:pt idx="2">
                  <c:v>26</c:v>
                </c:pt>
                <c:pt idx="3">
                  <c:v>19</c:v>
                </c:pt>
                <c:pt idx="4">
                  <c:v>8</c:v>
                </c:pt>
                <c:pt idx="5">
                  <c:v>6</c:v>
                </c:pt>
                <c:pt idx="6">
                  <c:v>4</c:v>
                </c:pt>
                <c:pt idx="7">
                  <c:v>4</c:v>
                </c:pt>
                <c:pt idx="8">
                  <c:v>3</c:v>
                </c:pt>
                <c:pt idx="9">
                  <c:v>3</c:v>
                </c:pt>
              </c:numCache>
            </c:numRef>
          </c:val>
          <c:extLst>
            <c:ext xmlns:c16="http://schemas.microsoft.com/office/drawing/2014/chart" uri="{C3380CC4-5D6E-409C-BE32-E72D297353CC}">
              <c16:uniqueId val="{00000000-1308-48E0-A4E0-362A6A8B66C3}"/>
            </c:ext>
          </c:extLst>
        </c:ser>
        <c:dLbls>
          <c:showLegendKey val="0"/>
          <c:showVal val="0"/>
          <c:showCatName val="0"/>
          <c:showSerName val="0"/>
          <c:showPercent val="0"/>
          <c:showBubbleSize val="0"/>
        </c:dLbls>
        <c:gapWidth val="182"/>
        <c:axId val="1301131168"/>
        <c:axId val="1301129200"/>
      </c:barChart>
      <c:catAx>
        <c:axId val="130113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129200"/>
        <c:crosses val="autoZero"/>
        <c:auto val="1"/>
        <c:lblAlgn val="ctr"/>
        <c:lblOffset val="100"/>
        <c:noMultiLvlLbl val="0"/>
      </c:catAx>
      <c:valAx>
        <c:axId val="130112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0113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'基金行业主题分类业绩评价基准-股指基准和债指基准统计'!$W$2:$W$11</c:f>
              <c:strCache>
                <c:ptCount val="10"/>
                <c:pt idx="0">
                  <c:v>中证全债指数收益率</c:v>
                </c:pt>
                <c:pt idx="1">
                  <c:v>中债综合指数收益率</c:v>
                </c:pt>
                <c:pt idx="2">
                  <c:v>上证国债指数收益率</c:v>
                </c:pt>
                <c:pt idx="3">
                  <c:v>中证综合债指数收益率</c:v>
                </c:pt>
                <c:pt idx="4">
                  <c:v>银行活期存款利率(税后)</c:v>
                </c:pt>
                <c:pt idx="5">
                  <c:v>中债综合全价指数收益率</c:v>
                </c:pt>
                <c:pt idx="6">
                  <c:v>中国债券总指数收益率</c:v>
                </c:pt>
                <c:pt idx="7">
                  <c:v>恒生指数收益率</c:v>
                </c:pt>
                <c:pt idx="8">
                  <c:v>中证综合债券指数收益率</c:v>
                </c:pt>
                <c:pt idx="9">
                  <c:v>中债总指数收益率</c:v>
                </c:pt>
              </c:strCache>
            </c:strRef>
          </c:cat>
          <c:val>
            <c:numRef>
              <c:f>'基金行业主题分类业绩评价基准-股指基准和债指基准统计'!$X$2:$X$11</c:f>
              <c:numCache>
                <c:formatCode>General</c:formatCode>
                <c:ptCount val="10"/>
                <c:pt idx="0">
                  <c:v>62</c:v>
                </c:pt>
                <c:pt idx="1">
                  <c:v>44</c:v>
                </c:pt>
                <c:pt idx="2">
                  <c:v>43</c:v>
                </c:pt>
                <c:pt idx="3">
                  <c:v>31</c:v>
                </c:pt>
                <c:pt idx="4">
                  <c:v>21</c:v>
                </c:pt>
                <c:pt idx="5">
                  <c:v>20</c:v>
                </c:pt>
                <c:pt idx="6">
                  <c:v>17</c:v>
                </c:pt>
                <c:pt idx="7">
                  <c:v>16</c:v>
                </c:pt>
                <c:pt idx="8">
                  <c:v>15</c:v>
                </c:pt>
                <c:pt idx="9">
                  <c:v>10</c:v>
                </c:pt>
              </c:numCache>
            </c:numRef>
          </c:val>
          <c:extLst>
            <c:ext xmlns:c16="http://schemas.microsoft.com/office/drawing/2014/chart" uri="{C3380CC4-5D6E-409C-BE32-E72D297353CC}">
              <c16:uniqueId val="{00000000-E566-4A71-B273-932AF5769BD0}"/>
            </c:ext>
          </c:extLst>
        </c:ser>
        <c:dLbls>
          <c:showLegendKey val="0"/>
          <c:showVal val="0"/>
          <c:showCatName val="0"/>
          <c:showSerName val="0"/>
          <c:showPercent val="0"/>
          <c:showBubbleSize val="0"/>
        </c:dLbls>
        <c:gapWidth val="182"/>
        <c:axId val="1097350256"/>
        <c:axId val="1097347632"/>
      </c:barChart>
      <c:catAx>
        <c:axId val="109735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7347632"/>
        <c:crosses val="autoZero"/>
        <c:auto val="1"/>
        <c:lblAlgn val="ctr"/>
        <c:lblOffset val="100"/>
        <c:noMultiLvlLbl val="0"/>
      </c:catAx>
      <c:valAx>
        <c:axId val="1097347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7350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'基金行业主题分类业绩评价基准-股指基准和债指基准统计'!$T$13:$T$23</c:f>
              <c:strCache>
                <c:ptCount val="11"/>
                <c:pt idx="0">
                  <c:v>沪深300指数收益率</c:v>
                </c:pt>
                <c:pt idx="1">
                  <c:v>中证800指数收益率</c:v>
                </c:pt>
                <c:pt idx="2">
                  <c:v>中国战略新兴产业成份指数收益率</c:v>
                </c:pt>
                <c:pt idx="3">
                  <c:v>中证500指数收益率</c:v>
                </c:pt>
                <c:pt idx="4">
                  <c:v>中证人工智能主题指数收益率</c:v>
                </c:pt>
                <c:pt idx="5">
                  <c:v>中证TMT产业主题指数收益率</c:v>
                </c:pt>
                <c:pt idx="6">
                  <c:v>中证全指指数收益率</c:v>
                </c:pt>
                <c:pt idx="7">
                  <c:v>中证信息技术指数收益率</c:v>
                </c:pt>
                <c:pt idx="8">
                  <c:v>中证全指信息技术指数收益率</c:v>
                </c:pt>
                <c:pt idx="9">
                  <c:v>中证军工指数收益率</c:v>
                </c:pt>
                <c:pt idx="10">
                  <c:v>中证700指数收益率</c:v>
                </c:pt>
              </c:strCache>
            </c:strRef>
          </c:cat>
          <c:val>
            <c:numRef>
              <c:f>'基金行业主题分类业绩评价基准-股指基准和债指基准统计'!$U$13:$U$23</c:f>
              <c:numCache>
                <c:formatCode>General</c:formatCode>
                <c:ptCount val="11"/>
                <c:pt idx="0">
                  <c:v>157</c:v>
                </c:pt>
                <c:pt idx="1">
                  <c:v>37</c:v>
                </c:pt>
                <c:pt idx="2">
                  <c:v>23</c:v>
                </c:pt>
                <c:pt idx="3">
                  <c:v>10</c:v>
                </c:pt>
                <c:pt idx="4">
                  <c:v>10</c:v>
                </c:pt>
                <c:pt idx="5">
                  <c:v>7</c:v>
                </c:pt>
                <c:pt idx="6">
                  <c:v>5</c:v>
                </c:pt>
                <c:pt idx="7">
                  <c:v>5</c:v>
                </c:pt>
                <c:pt idx="8">
                  <c:v>4</c:v>
                </c:pt>
                <c:pt idx="9">
                  <c:v>4</c:v>
                </c:pt>
                <c:pt idx="10">
                  <c:v>4</c:v>
                </c:pt>
              </c:numCache>
            </c:numRef>
          </c:val>
          <c:extLst>
            <c:ext xmlns:c16="http://schemas.microsoft.com/office/drawing/2014/chart" uri="{C3380CC4-5D6E-409C-BE32-E72D297353CC}">
              <c16:uniqueId val="{00000000-AB31-4A23-89C4-5A1502A3BB19}"/>
            </c:ext>
          </c:extLst>
        </c:ser>
        <c:dLbls>
          <c:showLegendKey val="0"/>
          <c:showVal val="0"/>
          <c:showCatName val="0"/>
          <c:showSerName val="0"/>
          <c:showPercent val="0"/>
          <c:showBubbleSize val="0"/>
        </c:dLbls>
        <c:gapWidth val="182"/>
        <c:axId val="1301681872"/>
        <c:axId val="1301683840"/>
      </c:barChart>
      <c:catAx>
        <c:axId val="1301681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3840"/>
        <c:crosses val="autoZero"/>
        <c:auto val="1"/>
        <c:lblAlgn val="ctr"/>
        <c:lblOffset val="100"/>
        <c:noMultiLvlLbl val="0"/>
      </c:catAx>
      <c:valAx>
        <c:axId val="130168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'基金行业主题分类业绩评价基准-股指基准和债指基准统计'!$W$13:$W$23</c:f>
              <c:strCache>
                <c:ptCount val="11"/>
                <c:pt idx="0">
                  <c:v>上证国债指数收益率</c:v>
                </c:pt>
                <c:pt idx="1">
                  <c:v>中证全债指数收益率</c:v>
                </c:pt>
                <c:pt idx="2">
                  <c:v>中证综合债指数收益率</c:v>
                </c:pt>
                <c:pt idx="3">
                  <c:v>中债综合全价(总值)指数收益率</c:v>
                </c:pt>
                <c:pt idx="4">
                  <c:v>中证综合债券指数收益率</c:v>
                </c:pt>
                <c:pt idx="5">
                  <c:v>银行活期存款利率(税后)</c:v>
                </c:pt>
                <c:pt idx="6">
                  <c:v>中债综合指数收益率</c:v>
                </c:pt>
                <c:pt idx="7">
                  <c:v>中国债券总指数收益率</c:v>
                </c:pt>
                <c:pt idx="8">
                  <c:v>中债综合财富(总值)指数收益率</c:v>
                </c:pt>
                <c:pt idx="9">
                  <c:v>中债总指数收益率</c:v>
                </c:pt>
                <c:pt idx="10">
                  <c:v>恒生指数收益率</c:v>
                </c:pt>
              </c:strCache>
            </c:strRef>
          </c:cat>
          <c:val>
            <c:numRef>
              <c:f>'基金行业主题分类业绩评价基准-股指基准和债指基准统计'!$X$13:$X$23</c:f>
              <c:numCache>
                <c:formatCode>General</c:formatCode>
                <c:ptCount val="11"/>
                <c:pt idx="0">
                  <c:v>58</c:v>
                </c:pt>
                <c:pt idx="1">
                  <c:v>58</c:v>
                </c:pt>
                <c:pt idx="2">
                  <c:v>31</c:v>
                </c:pt>
                <c:pt idx="3">
                  <c:v>25</c:v>
                </c:pt>
                <c:pt idx="4">
                  <c:v>23</c:v>
                </c:pt>
                <c:pt idx="5">
                  <c:v>21</c:v>
                </c:pt>
                <c:pt idx="6">
                  <c:v>18</c:v>
                </c:pt>
                <c:pt idx="7">
                  <c:v>10</c:v>
                </c:pt>
                <c:pt idx="8">
                  <c:v>10</c:v>
                </c:pt>
                <c:pt idx="9">
                  <c:v>9</c:v>
                </c:pt>
                <c:pt idx="10">
                  <c:v>7</c:v>
                </c:pt>
              </c:numCache>
            </c:numRef>
          </c:val>
          <c:extLst>
            <c:ext xmlns:c16="http://schemas.microsoft.com/office/drawing/2014/chart" uri="{C3380CC4-5D6E-409C-BE32-E72D297353CC}">
              <c16:uniqueId val="{00000000-6D33-4ABA-B06C-DE73721A7625}"/>
            </c:ext>
          </c:extLst>
        </c:ser>
        <c:dLbls>
          <c:showLegendKey val="0"/>
          <c:showVal val="0"/>
          <c:showCatName val="0"/>
          <c:showSerName val="0"/>
          <c:showPercent val="0"/>
          <c:showBubbleSize val="0"/>
        </c:dLbls>
        <c:gapWidth val="182"/>
        <c:axId val="1414485960"/>
        <c:axId val="1414477104"/>
      </c:barChart>
      <c:catAx>
        <c:axId val="1414485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77104"/>
        <c:crosses val="autoZero"/>
        <c:auto val="1"/>
        <c:lblAlgn val="ctr"/>
        <c:lblOffset val="100"/>
        <c:noMultiLvlLbl val="0"/>
      </c:catAx>
      <c:valAx>
        <c:axId val="141447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'基金行业主题分类业绩评价基准-股指基准和债指基准统计'!$T$25:$T$34</c:f>
              <c:strCache>
                <c:ptCount val="10"/>
                <c:pt idx="0">
                  <c:v>沪深300指数收益率</c:v>
                </c:pt>
                <c:pt idx="1">
                  <c:v>创业板指数收益率</c:v>
                </c:pt>
                <c:pt idx="2">
                  <c:v>中证新能源汽车指数收益率</c:v>
                </c:pt>
                <c:pt idx="3">
                  <c:v>中证800指数收益率</c:v>
                </c:pt>
                <c:pt idx="4">
                  <c:v>创业板50指数收益率</c:v>
                </c:pt>
                <c:pt idx="5">
                  <c:v>中国战略新兴产业成份指数收益率</c:v>
                </c:pt>
                <c:pt idx="6">
                  <c:v>中证环保产业指数收益率</c:v>
                </c:pt>
                <c:pt idx="7">
                  <c:v>中证新能源汽车产业指数收益率</c:v>
                </c:pt>
                <c:pt idx="8">
                  <c:v>中证新能源指数收益率</c:v>
                </c:pt>
                <c:pt idx="9">
                  <c:v>中证内地低碳经济主题指数收益率</c:v>
                </c:pt>
              </c:strCache>
            </c:strRef>
          </c:cat>
          <c:val>
            <c:numRef>
              <c:f>'基金行业主题分类业绩评价基准-股指基准和债指基准统计'!$U$25:$U$34</c:f>
              <c:numCache>
                <c:formatCode>General</c:formatCode>
                <c:ptCount val="10"/>
                <c:pt idx="0">
                  <c:v>63</c:v>
                </c:pt>
                <c:pt idx="1">
                  <c:v>40</c:v>
                </c:pt>
                <c:pt idx="2">
                  <c:v>12</c:v>
                </c:pt>
                <c:pt idx="3">
                  <c:v>10</c:v>
                </c:pt>
                <c:pt idx="4">
                  <c:v>6</c:v>
                </c:pt>
                <c:pt idx="5">
                  <c:v>5</c:v>
                </c:pt>
                <c:pt idx="6">
                  <c:v>5</c:v>
                </c:pt>
                <c:pt idx="7">
                  <c:v>5</c:v>
                </c:pt>
                <c:pt idx="8">
                  <c:v>4</c:v>
                </c:pt>
                <c:pt idx="9">
                  <c:v>3</c:v>
                </c:pt>
              </c:numCache>
            </c:numRef>
          </c:val>
          <c:extLst>
            <c:ext xmlns:c16="http://schemas.microsoft.com/office/drawing/2014/chart" uri="{C3380CC4-5D6E-409C-BE32-E72D297353CC}">
              <c16:uniqueId val="{00000000-171A-422E-80F4-67BF5C718CDA}"/>
            </c:ext>
          </c:extLst>
        </c:ser>
        <c:dLbls>
          <c:showLegendKey val="0"/>
          <c:showVal val="0"/>
          <c:showCatName val="0"/>
          <c:showSerName val="0"/>
          <c:showPercent val="0"/>
          <c:showBubbleSize val="0"/>
        </c:dLbls>
        <c:gapWidth val="182"/>
        <c:axId val="901409392"/>
        <c:axId val="901411360"/>
      </c:barChart>
      <c:catAx>
        <c:axId val="90140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11360"/>
        <c:crosses val="autoZero"/>
        <c:auto val="1"/>
        <c:lblAlgn val="ctr"/>
        <c:lblOffset val="100"/>
        <c:noMultiLvlLbl val="0"/>
      </c:catAx>
      <c:valAx>
        <c:axId val="90141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0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'基金行业主题分类业绩评价基准-股指基准和债指基准统计'!$W$25:$W$34</c:f>
              <c:strCache>
                <c:ptCount val="10"/>
                <c:pt idx="0">
                  <c:v>上证国债指数收益率</c:v>
                </c:pt>
                <c:pt idx="1">
                  <c:v>银行活期存款利率(税后)</c:v>
                </c:pt>
                <c:pt idx="2">
                  <c:v>中证全债指数收益率</c:v>
                </c:pt>
                <c:pt idx="3">
                  <c:v>银行人民币活期存款利率(税后)</c:v>
                </c:pt>
                <c:pt idx="4">
                  <c:v>中债综合指数收益率</c:v>
                </c:pt>
                <c:pt idx="5">
                  <c:v>中证综合债指数收益率</c:v>
                </c:pt>
                <c:pt idx="6">
                  <c:v>中国债券总指数收益率</c:v>
                </c:pt>
                <c:pt idx="7">
                  <c:v>中债综合指数收益率(全价)</c:v>
                </c:pt>
                <c:pt idx="8">
                  <c:v>恒生指数收益率(使用估值汇率折算)</c:v>
                </c:pt>
                <c:pt idx="9">
                  <c:v>中债总指数收益率</c:v>
                </c:pt>
              </c:strCache>
            </c:strRef>
          </c:cat>
          <c:val>
            <c:numRef>
              <c:f>'基金行业主题分类业绩评价基准-股指基准和债指基准统计'!$X$25:$X$34</c:f>
              <c:numCache>
                <c:formatCode>General</c:formatCode>
                <c:ptCount val="10"/>
                <c:pt idx="0">
                  <c:v>29</c:v>
                </c:pt>
                <c:pt idx="1">
                  <c:v>24</c:v>
                </c:pt>
                <c:pt idx="2">
                  <c:v>14</c:v>
                </c:pt>
                <c:pt idx="3">
                  <c:v>17</c:v>
                </c:pt>
                <c:pt idx="4">
                  <c:v>10</c:v>
                </c:pt>
                <c:pt idx="5">
                  <c:v>8</c:v>
                </c:pt>
                <c:pt idx="6">
                  <c:v>8</c:v>
                </c:pt>
                <c:pt idx="7">
                  <c:v>7</c:v>
                </c:pt>
                <c:pt idx="8">
                  <c:v>5</c:v>
                </c:pt>
                <c:pt idx="9">
                  <c:v>5</c:v>
                </c:pt>
              </c:numCache>
            </c:numRef>
          </c:val>
          <c:extLst>
            <c:ext xmlns:c16="http://schemas.microsoft.com/office/drawing/2014/chart" uri="{C3380CC4-5D6E-409C-BE32-E72D297353CC}">
              <c16:uniqueId val="{00000000-BFE6-4102-966F-D47B7FC2B9AB}"/>
            </c:ext>
          </c:extLst>
        </c:ser>
        <c:dLbls>
          <c:showLegendKey val="0"/>
          <c:showVal val="0"/>
          <c:showCatName val="0"/>
          <c:showSerName val="0"/>
          <c:showPercent val="0"/>
          <c:showBubbleSize val="0"/>
        </c:dLbls>
        <c:gapWidth val="182"/>
        <c:axId val="1299338808"/>
        <c:axId val="1299334544"/>
      </c:barChart>
      <c:catAx>
        <c:axId val="1299338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4544"/>
        <c:crosses val="autoZero"/>
        <c:auto val="1"/>
        <c:lblAlgn val="ctr"/>
        <c:lblOffset val="100"/>
        <c:noMultiLvlLbl val="0"/>
      </c:catAx>
      <c:valAx>
        <c:axId val="129933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8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'基金行业主题分类业绩评价基准-股指基准和债指基准统计'!$T$36:$T$45</c:f>
              <c:strCache>
                <c:ptCount val="10"/>
                <c:pt idx="0">
                  <c:v>沪深300指数收益率</c:v>
                </c:pt>
                <c:pt idx="1">
                  <c:v>中证800指数收益率</c:v>
                </c:pt>
                <c:pt idx="2">
                  <c:v>中国战略新兴产业成份指数收益率</c:v>
                </c:pt>
                <c:pt idx="3">
                  <c:v>中证TMT产业主题指数收益率</c:v>
                </c:pt>
                <c:pt idx="4">
                  <c:v>中证5G通信主题指数收益率</c:v>
                </c:pt>
                <c:pt idx="5">
                  <c:v>国证半导体芯片指数收益率</c:v>
                </c:pt>
                <c:pt idx="6">
                  <c:v>中证新能源指数收益率</c:v>
                </c:pt>
                <c:pt idx="7">
                  <c:v>中证高端装备制造指数收益率</c:v>
                </c:pt>
                <c:pt idx="8">
                  <c:v>中华交易服务半导体芯片行业指数收益率</c:v>
                </c:pt>
                <c:pt idx="9">
                  <c:v>中证工业4.0指数收益率</c:v>
                </c:pt>
              </c:strCache>
            </c:strRef>
          </c:cat>
          <c:val>
            <c:numRef>
              <c:f>'基金行业主题分类业绩评价基准-股指基准和债指基准统计'!$U$36:$U$45</c:f>
              <c:numCache>
                <c:formatCode>General</c:formatCode>
                <c:ptCount val="10"/>
                <c:pt idx="0">
                  <c:v>68</c:v>
                </c:pt>
                <c:pt idx="1">
                  <c:v>11</c:v>
                </c:pt>
                <c:pt idx="2">
                  <c:v>10</c:v>
                </c:pt>
                <c:pt idx="3">
                  <c:v>5</c:v>
                </c:pt>
                <c:pt idx="4">
                  <c:v>5</c:v>
                </c:pt>
                <c:pt idx="5">
                  <c:v>5</c:v>
                </c:pt>
                <c:pt idx="6">
                  <c:v>4</c:v>
                </c:pt>
                <c:pt idx="7">
                  <c:v>4</c:v>
                </c:pt>
                <c:pt idx="8">
                  <c:v>3</c:v>
                </c:pt>
                <c:pt idx="9">
                  <c:v>3</c:v>
                </c:pt>
              </c:numCache>
            </c:numRef>
          </c:val>
          <c:extLst>
            <c:ext xmlns:c16="http://schemas.microsoft.com/office/drawing/2014/chart" uri="{C3380CC4-5D6E-409C-BE32-E72D297353CC}">
              <c16:uniqueId val="{00000000-5E0C-409A-8E76-89FBB7BA4579}"/>
            </c:ext>
          </c:extLst>
        </c:ser>
        <c:dLbls>
          <c:showLegendKey val="0"/>
          <c:showVal val="0"/>
          <c:showCatName val="0"/>
          <c:showSerName val="0"/>
          <c:showPercent val="0"/>
          <c:showBubbleSize val="0"/>
        </c:dLbls>
        <c:gapWidth val="182"/>
        <c:axId val="1289484288"/>
        <c:axId val="1289479040"/>
      </c:barChart>
      <c:catAx>
        <c:axId val="1289484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479040"/>
        <c:crosses val="autoZero"/>
        <c:auto val="1"/>
        <c:lblAlgn val="ctr"/>
        <c:lblOffset val="100"/>
        <c:noMultiLvlLbl val="0"/>
      </c:catAx>
      <c:valAx>
        <c:axId val="1289479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48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'基金行业主题分类业绩评价基准-股指基准和债指基准统计'!$W$36:$W$45</c:f>
              <c:strCache>
                <c:ptCount val="10"/>
                <c:pt idx="0">
                  <c:v>中证全债指数收益率</c:v>
                </c:pt>
                <c:pt idx="1">
                  <c:v>上证国债指数收益率</c:v>
                </c:pt>
                <c:pt idx="2">
                  <c:v>中证综合债指数收益率</c:v>
                </c:pt>
                <c:pt idx="3">
                  <c:v>人民币活期存款利率(税后)</c:v>
                </c:pt>
                <c:pt idx="4">
                  <c:v>中债综合指数收益率</c:v>
                </c:pt>
                <c:pt idx="5">
                  <c:v>中债综合财富指数收益率</c:v>
                </c:pt>
                <c:pt idx="6">
                  <c:v>中债总全价指数收益率</c:v>
                </c:pt>
                <c:pt idx="7">
                  <c:v>中债总指数收益率</c:v>
                </c:pt>
                <c:pt idx="8">
                  <c:v>同业存款利率(税后)</c:v>
                </c:pt>
                <c:pt idx="9">
                  <c:v>中债总财富指数收益率</c:v>
                </c:pt>
              </c:strCache>
            </c:strRef>
          </c:cat>
          <c:val>
            <c:numRef>
              <c:f>'基金行业主题分类业绩评价基准-股指基准和债指基准统计'!$X$36:$X$45</c:f>
              <c:numCache>
                <c:formatCode>General</c:formatCode>
                <c:ptCount val="10"/>
                <c:pt idx="0">
                  <c:v>32</c:v>
                </c:pt>
                <c:pt idx="1">
                  <c:v>27</c:v>
                </c:pt>
                <c:pt idx="2">
                  <c:v>21</c:v>
                </c:pt>
                <c:pt idx="3">
                  <c:v>12</c:v>
                </c:pt>
                <c:pt idx="4">
                  <c:v>5</c:v>
                </c:pt>
                <c:pt idx="5">
                  <c:v>5</c:v>
                </c:pt>
                <c:pt idx="6">
                  <c:v>5</c:v>
                </c:pt>
                <c:pt idx="7">
                  <c:v>4</c:v>
                </c:pt>
                <c:pt idx="8">
                  <c:v>4</c:v>
                </c:pt>
                <c:pt idx="9">
                  <c:v>3</c:v>
                </c:pt>
              </c:numCache>
            </c:numRef>
          </c:val>
          <c:extLst>
            <c:ext xmlns:c16="http://schemas.microsoft.com/office/drawing/2014/chart" uri="{C3380CC4-5D6E-409C-BE32-E72D297353CC}">
              <c16:uniqueId val="{00000000-4FE6-49BA-8153-4A7F64E4DD64}"/>
            </c:ext>
          </c:extLst>
        </c:ser>
        <c:dLbls>
          <c:showLegendKey val="0"/>
          <c:showVal val="0"/>
          <c:showCatName val="0"/>
          <c:showSerName val="0"/>
          <c:showPercent val="0"/>
          <c:showBubbleSize val="0"/>
        </c:dLbls>
        <c:gapWidth val="182"/>
        <c:axId val="1087278024"/>
        <c:axId val="1062110960"/>
      </c:barChart>
      <c:catAx>
        <c:axId val="1087278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62110960"/>
        <c:crosses val="autoZero"/>
        <c:auto val="1"/>
        <c:lblAlgn val="ctr"/>
        <c:lblOffset val="100"/>
        <c:noMultiLvlLbl val="0"/>
      </c:catAx>
      <c:valAx>
        <c:axId val="106211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87278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Wind二级分类</c:v>
          </c:tx>
          <c:dLbls>
            <c:dLbl>
              <c:idx val="0"/>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8FD2-4167-A7FD-2A2642D4661F}"/>
                </c:ext>
              </c:extLst>
            </c:dLbl>
            <c:dLbl>
              <c:idx val="1"/>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FD2-4167-A7FD-2A2642D4661F}"/>
                </c:ext>
              </c:extLst>
            </c:dLbl>
            <c:dLbl>
              <c:idx val="2"/>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8FD2-4167-A7FD-2A2642D4661F}"/>
                </c:ext>
              </c:extLst>
            </c:dLbl>
            <c:dLbl>
              <c:idx val="3"/>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FD2-4167-A7FD-2A2642D4661F}"/>
                </c:ext>
              </c:extLst>
            </c:dLbl>
            <c:dLbl>
              <c:idx val="4"/>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8FD2-4167-A7FD-2A2642D4661F}"/>
                </c:ext>
              </c:extLst>
            </c:dLbl>
            <c:dLbl>
              <c:idx val="5"/>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FD2-4167-A7FD-2A2642D4661F}"/>
                </c:ext>
              </c:extLst>
            </c:dLbl>
            <c:dLbl>
              <c:idx val="6"/>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8FD2-4167-A7FD-2A2642D4661F}"/>
                </c:ext>
              </c:extLst>
            </c:dLbl>
            <c:dLbl>
              <c:idx val="7"/>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FD2-4167-A7FD-2A2642D4661F}"/>
                </c:ext>
              </c:extLst>
            </c:dLbl>
            <c:dLbl>
              <c:idx val="8"/>
              <c:layout>
                <c:manualLayout>
                  <c:x val="1.008277151630556E-2"/>
                  <c:y val="-1.2902045780862757E-2"/>
                </c:manualLayout>
              </c:layou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8FD2-4167-A7FD-2A2642D4661F}"/>
                </c:ext>
              </c:extLst>
            </c:dLbl>
            <c:dLbl>
              <c:idx val="9"/>
              <c:delete val="1"/>
              <c:extLst>
                <c:ext xmlns:c15="http://schemas.microsoft.com/office/drawing/2012/chart" uri="{CE6537A1-D6FC-4f65-9D91-7224C49458BB}"/>
                <c:ext xmlns:c16="http://schemas.microsoft.com/office/drawing/2014/chart" uri="{C3380CC4-5D6E-409C-BE32-E72D297353CC}">
                  <c16:uniqueId val="{00000009-8FD2-4167-A7FD-2A2642D4661F}"/>
                </c:ext>
              </c:extLst>
            </c:dLbl>
            <c:dLbl>
              <c:idx val="10"/>
              <c:delete val="1"/>
              <c:extLst>
                <c:ext xmlns:c15="http://schemas.microsoft.com/office/drawing/2012/chart" uri="{CE6537A1-D6FC-4f65-9D91-7224C49458BB}"/>
                <c:ext xmlns:c16="http://schemas.microsoft.com/office/drawing/2014/chart" uri="{C3380CC4-5D6E-409C-BE32-E72D297353CC}">
                  <c16:uniqueId val="{0000000A-8FD2-4167-A7FD-2A2642D4661F}"/>
                </c:ext>
              </c:extLst>
            </c:dLbl>
            <c:dLbl>
              <c:idx val="11"/>
              <c:delete val="1"/>
              <c:extLst>
                <c:ext xmlns:c15="http://schemas.microsoft.com/office/drawing/2012/chart" uri="{CE6537A1-D6FC-4f65-9D91-7224C49458BB}"/>
                <c:ext xmlns:c16="http://schemas.microsoft.com/office/drawing/2014/chart" uri="{C3380CC4-5D6E-409C-BE32-E72D297353CC}">
                  <c16:uniqueId val="{0000000B-8FD2-4167-A7FD-2A2642D4661F}"/>
                </c:ext>
              </c:extLst>
            </c:dLbl>
            <c:dLbl>
              <c:idx val="12"/>
              <c:delete val="1"/>
              <c:extLst>
                <c:ext xmlns:c15="http://schemas.microsoft.com/office/drawing/2012/chart" uri="{CE6537A1-D6FC-4f65-9D91-7224C49458BB}"/>
                <c:ext xmlns:c16="http://schemas.microsoft.com/office/drawing/2014/chart" uri="{C3380CC4-5D6E-409C-BE32-E72D297353CC}">
                  <c16:uniqueId val="{0000000C-8FD2-4167-A7FD-2A2642D4661F}"/>
                </c:ext>
              </c:extLst>
            </c:dLbl>
            <c:dLbl>
              <c:idx val="13"/>
              <c:delete val="1"/>
              <c:extLst>
                <c:ext xmlns:c15="http://schemas.microsoft.com/office/drawing/2012/chart" uri="{CE6537A1-D6FC-4f65-9D91-7224C49458BB}"/>
                <c:ext xmlns:c16="http://schemas.microsoft.com/office/drawing/2014/chart" uri="{C3380CC4-5D6E-409C-BE32-E72D297353CC}">
                  <c16:uniqueId val="{0000000D-8FD2-4167-A7FD-2A2642D4661F}"/>
                </c:ext>
              </c:extLst>
            </c:dLbl>
            <c:dLbl>
              <c:idx val="14"/>
              <c:delete val="1"/>
              <c:extLst>
                <c:ext xmlns:c15="http://schemas.microsoft.com/office/drawing/2012/chart" uri="{CE6537A1-D6FC-4f65-9D91-7224C49458BB}"/>
                <c:ext xmlns:c16="http://schemas.microsoft.com/office/drawing/2014/chart" uri="{C3380CC4-5D6E-409C-BE32-E72D297353CC}">
                  <c16:uniqueId val="{0000000E-8FD2-4167-A7FD-2A2642D4661F}"/>
                </c:ext>
              </c:extLst>
            </c:dLbl>
            <c:dLbl>
              <c:idx val="15"/>
              <c:delete val="1"/>
              <c:extLst>
                <c:ext xmlns:c15="http://schemas.microsoft.com/office/drawing/2012/chart" uri="{CE6537A1-D6FC-4f65-9D91-7224C49458BB}"/>
                <c:ext xmlns:c16="http://schemas.microsoft.com/office/drawing/2014/chart" uri="{C3380CC4-5D6E-409C-BE32-E72D297353CC}">
                  <c16:uniqueId val="{0000000F-8FD2-4167-A7FD-2A2642D4661F}"/>
                </c:ext>
              </c:extLst>
            </c:dLbl>
            <c:dLbl>
              <c:idx val="16"/>
              <c:delete val="1"/>
              <c:extLst>
                <c:ext xmlns:c15="http://schemas.microsoft.com/office/drawing/2012/chart" uri="{CE6537A1-D6FC-4f65-9D91-7224C49458BB}"/>
                <c:ext xmlns:c16="http://schemas.microsoft.com/office/drawing/2014/chart" uri="{C3380CC4-5D6E-409C-BE32-E72D297353CC}">
                  <c16:uniqueId val="{00000010-8FD2-4167-A7FD-2A2642D4661F}"/>
                </c:ext>
              </c:extLst>
            </c:dLbl>
            <c:dLbl>
              <c:idx val="17"/>
              <c:delete val="1"/>
              <c:extLst>
                <c:ext xmlns:c15="http://schemas.microsoft.com/office/drawing/2012/chart" uri="{CE6537A1-D6FC-4f65-9D91-7224C49458BB}"/>
                <c:ext xmlns:c16="http://schemas.microsoft.com/office/drawing/2014/chart" uri="{C3380CC4-5D6E-409C-BE32-E72D297353CC}">
                  <c16:uniqueId val="{00000011-8FD2-4167-A7FD-2A2642D4661F}"/>
                </c:ext>
              </c:extLst>
            </c:dLbl>
            <c:dLbl>
              <c:idx val="18"/>
              <c:delete val="1"/>
              <c:extLst>
                <c:ext xmlns:c15="http://schemas.microsoft.com/office/drawing/2012/chart" uri="{CE6537A1-D6FC-4f65-9D91-7224C49458BB}"/>
                <c:ext xmlns:c16="http://schemas.microsoft.com/office/drawing/2014/chart" uri="{C3380CC4-5D6E-409C-BE32-E72D297353CC}">
                  <c16:uniqueId val="{00000012-8FD2-4167-A7FD-2A2642D4661F}"/>
                </c:ext>
              </c:extLst>
            </c:dLbl>
            <c:dLbl>
              <c:idx val="19"/>
              <c:delete val="1"/>
              <c:extLst>
                <c:ext xmlns:c15="http://schemas.microsoft.com/office/drawing/2012/chart" uri="{CE6537A1-D6FC-4f65-9D91-7224C49458BB}"/>
                <c:ext xmlns:c16="http://schemas.microsoft.com/office/drawing/2014/chart" uri="{C3380CC4-5D6E-409C-BE32-E72D297353CC}">
                  <c16:uniqueId val="{00000013-8FD2-4167-A7FD-2A2642D4661F}"/>
                </c:ext>
              </c:extLst>
            </c:dLbl>
            <c:dLbl>
              <c:idx val="20"/>
              <c:delete val="1"/>
              <c:extLst>
                <c:ext xmlns:c15="http://schemas.microsoft.com/office/drawing/2012/chart" uri="{CE6537A1-D6FC-4f65-9D91-7224C49458BB}"/>
                <c:ext xmlns:c16="http://schemas.microsoft.com/office/drawing/2014/chart" uri="{C3380CC4-5D6E-409C-BE32-E72D297353CC}">
                  <c16:uniqueId val="{00000014-8FD2-4167-A7FD-2A2642D4661F}"/>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中国基金分类情况统计!$A$2:$A$22</c:f>
              <c:strCache>
                <c:ptCount val="21"/>
                <c:pt idx="0">
                  <c:v>中长期纯债型基金</c:v>
                </c:pt>
                <c:pt idx="1">
                  <c:v>灵活配置型基金</c:v>
                </c:pt>
                <c:pt idx="2">
                  <c:v>偏股混合型基金</c:v>
                </c:pt>
                <c:pt idx="3">
                  <c:v>被动指数型基金</c:v>
                </c:pt>
                <c:pt idx="4">
                  <c:v>偏债混合型基金</c:v>
                </c:pt>
                <c:pt idx="5">
                  <c:v>货币市场型基金</c:v>
                </c:pt>
                <c:pt idx="6">
                  <c:v>混合债券型二级基金</c:v>
                </c:pt>
                <c:pt idx="7">
                  <c:v>普通股票型基金</c:v>
                </c:pt>
                <c:pt idx="8">
                  <c:v>短期纯债型基金</c:v>
                </c:pt>
                <c:pt idx="9">
                  <c:v>被动指数型债券基金</c:v>
                </c:pt>
                <c:pt idx="10">
                  <c:v>增强指数型基金</c:v>
                </c:pt>
                <c:pt idx="11">
                  <c:v>混合债券型一级基金</c:v>
                </c:pt>
                <c:pt idx="12">
                  <c:v>国际(QDII)股票型基金</c:v>
                </c:pt>
                <c:pt idx="13">
                  <c:v>平衡混合型基金</c:v>
                </c:pt>
                <c:pt idx="14">
                  <c:v>国际(QDII)债券型基金</c:v>
                </c:pt>
                <c:pt idx="15">
                  <c:v>国际(QDII)混合型基金</c:v>
                </c:pt>
                <c:pt idx="16">
                  <c:v>商品型基金</c:v>
                </c:pt>
                <c:pt idx="17">
                  <c:v>股票多空</c:v>
                </c:pt>
                <c:pt idx="18">
                  <c:v>国际(QDII)另类投资基金</c:v>
                </c:pt>
                <c:pt idx="19">
                  <c:v>REITs</c:v>
                </c:pt>
                <c:pt idx="20">
                  <c:v>增强指数型债券基金</c:v>
                </c:pt>
              </c:strCache>
            </c:strRef>
          </c:cat>
          <c:val>
            <c:numRef>
              <c:f>中国基金分类情况统计!$B$2:$B$22</c:f>
              <c:numCache>
                <c:formatCode>General</c:formatCode>
                <c:ptCount val="21"/>
                <c:pt idx="0">
                  <c:v>2309</c:v>
                </c:pt>
                <c:pt idx="1">
                  <c:v>2063</c:v>
                </c:pt>
                <c:pt idx="2">
                  <c:v>1855</c:v>
                </c:pt>
                <c:pt idx="3">
                  <c:v>1056</c:v>
                </c:pt>
                <c:pt idx="4">
                  <c:v>784</c:v>
                </c:pt>
                <c:pt idx="5">
                  <c:v>693</c:v>
                </c:pt>
                <c:pt idx="6">
                  <c:v>646</c:v>
                </c:pt>
                <c:pt idx="7">
                  <c:v>596</c:v>
                </c:pt>
                <c:pt idx="8">
                  <c:v>384</c:v>
                </c:pt>
                <c:pt idx="9">
                  <c:v>271</c:v>
                </c:pt>
                <c:pt idx="10">
                  <c:v>223</c:v>
                </c:pt>
                <c:pt idx="11">
                  <c:v>160</c:v>
                </c:pt>
                <c:pt idx="12">
                  <c:v>138</c:v>
                </c:pt>
                <c:pt idx="13">
                  <c:v>133</c:v>
                </c:pt>
                <c:pt idx="14">
                  <c:v>78</c:v>
                </c:pt>
                <c:pt idx="15">
                  <c:v>56</c:v>
                </c:pt>
                <c:pt idx="16">
                  <c:v>42</c:v>
                </c:pt>
                <c:pt idx="17">
                  <c:v>39</c:v>
                </c:pt>
                <c:pt idx="18">
                  <c:v>37</c:v>
                </c:pt>
                <c:pt idx="19">
                  <c:v>1</c:v>
                </c:pt>
                <c:pt idx="20">
                  <c:v>1</c:v>
                </c:pt>
              </c:numCache>
            </c:numRef>
          </c:val>
          <c:extLst>
            <c:ext xmlns:c16="http://schemas.microsoft.com/office/drawing/2014/chart" uri="{C3380CC4-5D6E-409C-BE32-E72D297353CC}">
              <c16:uniqueId val="{00000015-8FD2-4167-A7FD-2A2642D4661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'基金行业主题分类业绩评价基准-股指基准和债指基准统计'!$T$47:$T$57</c:f>
              <c:strCache>
                <c:ptCount val="11"/>
                <c:pt idx="0">
                  <c:v>中证医药卫生指数收益率</c:v>
                </c:pt>
                <c:pt idx="1">
                  <c:v>沪深300指数收益率</c:v>
                </c:pt>
                <c:pt idx="2">
                  <c:v>中证全指医药卫生指数收益率</c:v>
                </c:pt>
                <c:pt idx="3">
                  <c:v>申万医药生物行业指数收益率</c:v>
                </c:pt>
                <c:pt idx="4">
                  <c:v>中证细分医药产业主题指数收益率</c:v>
                </c:pt>
                <c:pt idx="5">
                  <c:v>中证生物医药指数收益率</c:v>
                </c:pt>
                <c:pt idx="6">
                  <c:v>中证医药100指数收益率</c:v>
                </c:pt>
                <c:pt idx="7">
                  <c:v>中证精准医疗主题指数收益率</c:v>
                </c:pt>
                <c:pt idx="8">
                  <c:v>中证生物科技主题指数收益率</c:v>
                </c:pt>
                <c:pt idx="9">
                  <c:v>中证医药指数收益率</c:v>
                </c:pt>
                <c:pt idx="10">
                  <c:v>沪深300医药卫生指数收益率</c:v>
                </c:pt>
              </c:strCache>
            </c:strRef>
          </c:cat>
          <c:val>
            <c:numRef>
              <c:f>'基金行业主题分类业绩评价基准-股指基准和债指基准统计'!$U$47:$U$57</c:f>
              <c:numCache>
                <c:formatCode>General</c:formatCode>
                <c:ptCount val="11"/>
                <c:pt idx="0">
                  <c:v>36</c:v>
                </c:pt>
                <c:pt idx="1">
                  <c:v>34</c:v>
                </c:pt>
                <c:pt idx="2">
                  <c:v>10</c:v>
                </c:pt>
                <c:pt idx="3">
                  <c:v>6</c:v>
                </c:pt>
                <c:pt idx="4">
                  <c:v>3</c:v>
                </c:pt>
                <c:pt idx="5">
                  <c:v>3</c:v>
                </c:pt>
                <c:pt idx="6">
                  <c:v>3</c:v>
                </c:pt>
                <c:pt idx="7">
                  <c:v>3</c:v>
                </c:pt>
                <c:pt idx="8">
                  <c:v>2</c:v>
                </c:pt>
                <c:pt idx="9">
                  <c:v>2</c:v>
                </c:pt>
                <c:pt idx="10">
                  <c:v>2</c:v>
                </c:pt>
              </c:numCache>
            </c:numRef>
          </c:val>
          <c:extLst>
            <c:ext xmlns:c16="http://schemas.microsoft.com/office/drawing/2014/chart" uri="{C3380CC4-5D6E-409C-BE32-E72D297353CC}">
              <c16:uniqueId val="{00000000-0778-401B-9770-82F8990A1B6F}"/>
            </c:ext>
          </c:extLst>
        </c:ser>
        <c:dLbls>
          <c:showLegendKey val="0"/>
          <c:showVal val="0"/>
          <c:showCatName val="0"/>
          <c:showSerName val="0"/>
          <c:showPercent val="0"/>
          <c:showBubbleSize val="0"/>
        </c:dLbls>
        <c:gapWidth val="182"/>
        <c:axId val="1099713320"/>
        <c:axId val="1099712008"/>
      </c:barChart>
      <c:catAx>
        <c:axId val="1099713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712008"/>
        <c:crosses val="autoZero"/>
        <c:auto val="1"/>
        <c:lblAlgn val="ctr"/>
        <c:lblOffset val="100"/>
        <c:noMultiLvlLbl val="0"/>
      </c:catAx>
      <c:valAx>
        <c:axId val="109971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13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'基金行业主题分类业绩评价基准-股指基准和债指基准统计'!$W$47:$W$57</c:f>
              <c:strCache>
                <c:ptCount val="11"/>
                <c:pt idx="0">
                  <c:v>上证国债指数收益率</c:v>
                </c:pt>
                <c:pt idx="1">
                  <c:v>中债综合指数收益率</c:v>
                </c:pt>
                <c:pt idx="2">
                  <c:v>中证全债指数收益率</c:v>
                </c:pt>
                <c:pt idx="3">
                  <c:v>中债综合全价(总值)指数收益率</c:v>
                </c:pt>
                <c:pt idx="4">
                  <c:v>银行人民币活期存款利率(税后)</c:v>
                </c:pt>
                <c:pt idx="5">
                  <c:v>中证综合债指数收益率</c:v>
                </c:pt>
                <c:pt idx="6">
                  <c:v>中债总指数收益率</c:v>
                </c:pt>
                <c:pt idx="7">
                  <c:v>商业银行活期存款利率(税后)</c:v>
                </c:pt>
                <c:pt idx="8">
                  <c:v>中债总指数(全价)收益率</c:v>
                </c:pt>
                <c:pt idx="9">
                  <c:v>活期存款利率(税后)</c:v>
                </c:pt>
                <c:pt idx="10">
                  <c:v>中债总财富(总值)指数收益率</c:v>
                </c:pt>
              </c:strCache>
            </c:strRef>
          </c:cat>
          <c:val>
            <c:numRef>
              <c:f>'基金行业主题分类业绩评价基准-股指基准和债指基准统计'!$X$47:$X$57</c:f>
              <c:numCache>
                <c:formatCode>General</c:formatCode>
                <c:ptCount val="11"/>
                <c:pt idx="0">
                  <c:v>15</c:v>
                </c:pt>
                <c:pt idx="1">
                  <c:v>14</c:v>
                </c:pt>
                <c:pt idx="2">
                  <c:v>12</c:v>
                </c:pt>
                <c:pt idx="3">
                  <c:v>8</c:v>
                </c:pt>
                <c:pt idx="4">
                  <c:v>14</c:v>
                </c:pt>
                <c:pt idx="5">
                  <c:v>9</c:v>
                </c:pt>
                <c:pt idx="6">
                  <c:v>4</c:v>
                </c:pt>
                <c:pt idx="7">
                  <c:v>4</c:v>
                </c:pt>
                <c:pt idx="8">
                  <c:v>4</c:v>
                </c:pt>
                <c:pt idx="9">
                  <c:v>3</c:v>
                </c:pt>
                <c:pt idx="10">
                  <c:v>2</c:v>
                </c:pt>
              </c:numCache>
            </c:numRef>
          </c:val>
          <c:extLst>
            <c:ext xmlns:c16="http://schemas.microsoft.com/office/drawing/2014/chart" uri="{C3380CC4-5D6E-409C-BE32-E72D297353CC}">
              <c16:uniqueId val="{00000000-7AE8-4F5B-B2DE-FA4BA33CDB36}"/>
            </c:ext>
          </c:extLst>
        </c:ser>
        <c:dLbls>
          <c:showLegendKey val="0"/>
          <c:showVal val="0"/>
          <c:showCatName val="0"/>
          <c:showSerName val="0"/>
          <c:showPercent val="0"/>
          <c:showBubbleSize val="0"/>
        </c:dLbls>
        <c:gapWidth val="182"/>
        <c:axId val="901401520"/>
        <c:axId val="901396272"/>
      </c:barChart>
      <c:catAx>
        <c:axId val="901401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396272"/>
        <c:crosses val="autoZero"/>
        <c:auto val="1"/>
        <c:lblAlgn val="ctr"/>
        <c:lblOffset val="100"/>
        <c:noMultiLvlLbl val="0"/>
      </c:catAx>
      <c:valAx>
        <c:axId val="9013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90140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'基金行业主题分类业绩评价基准-股指基准和债指基准统计'!$T$59:$T$68</c:f>
              <c:strCache>
                <c:ptCount val="10"/>
                <c:pt idx="0">
                  <c:v>沪深300指数收益率</c:v>
                </c:pt>
                <c:pt idx="1">
                  <c:v>中证银行指数收益率</c:v>
                </c:pt>
                <c:pt idx="2">
                  <c:v>中证800指数收益率</c:v>
                </c:pt>
                <c:pt idx="3">
                  <c:v>中债综合全价指数收益率</c:v>
                </c:pt>
                <c:pt idx="4">
                  <c:v>中债综合财富指数收益率</c:v>
                </c:pt>
                <c:pt idx="5">
                  <c:v>中证红利指数收益率</c:v>
                </c:pt>
                <c:pt idx="6">
                  <c:v>沪深300红利低波动指数收益率</c:v>
                </c:pt>
                <c:pt idx="7">
                  <c:v>央视财经50指数收益率</c:v>
                </c:pt>
                <c:pt idx="8">
                  <c:v>中证锐联基本面50指数收益率</c:v>
                </c:pt>
                <c:pt idx="9">
                  <c:v>中证浙江凤凰行动50指数收益率</c:v>
                </c:pt>
              </c:strCache>
            </c:strRef>
          </c:cat>
          <c:val>
            <c:numRef>
              <c:f>'基金行业主题分类业绩评价基准-股指基准和债指基准统计'!$U$59:$U$68</c:f>
              <c:numCache>
                <c:formatCode>General</c:formatCode>
                <c:ptCount val="10"/>
                <c:pt idx="0">
                  <c:v>37</c:v>
                </c:pt>
                <c:pt idx="1">
                  <c:v>21</c:v>
                </c:pt>
                <c:pt idx="2">
                  <c:v>8</c:v>
                </c:pt>
                <c:pt idx="3">
                  <c:v>6</c:v>
                </c:pt>
                <c:pt idx="4">
                  <c:v>5</c:v>
                </c:pt>
                <c:pt idx="5">
                  <c:v>4</c:v>
                </c:pt>
                <c:pt idx="6">
                  <c:v>3</c:v>
                </c:pt>
                <c:pt idx="7">
                  <c:v>3</c:v>
                </c:pt>
                <c:pt idx="8">
                  <c:v>3</c:v>
                </c:pt>
                <c:pt idx="9">
                  <c:v>2</c:v>
                </c:pt>
              </c:numCache>
            </c:numRef>
          </c:val>
          <c:extLst>
            <c:ext xmlns:c16="http://schemas.microsoft.com/office/drawing/2014/chart" uri="{C3380CC4-5D6E-409C-BE32-E72D297353CC}">
              <c16:uniqueId val="{00000000-EFE8-44ED-AE32-53AEAFD97742}"/>
            </c:ext>
          </c:extLst>
        </c:ser>
        <c:dLbls>
          <c:showLegendKey val="0"/>
          <c:showVal val="0"/>
          <c:showCatName val="0"/>
          <c:showSerName val="0"/>
          <c:showPercent val="0"/>
          <c:showBubbleSize val="0"/>
        </c:dLbls>
        <c:gapWidth val="182"/>
        <c:axId val="1099653624"/>
        <c:axId val="1099654280"/>
      </c:barChart>
      <c:catAx>
        <c:axId val="1099653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54280"/>
        <c:crosses val="autoZero"/>
        <c:auto val="1"/>
        <c:lblAlgn val="ctr"/>
        <c:lblOffset val="100"/>
        <c:noMultiLvlLbl val="0"/>
      </c:catAx>
      <c:valAx>
        <c:axId val="1099654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9653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'基金行业主题分类业绩评价基准-股指基准和债指基准统计'!$W$59:$W$68</c:f>
              <c:strCache>
                <c:ptCount val="10"/>
                <c:pt idx="0">
                  <c:v>上证国债指数收益率</c:v>
                </c:pt>
                <c:pt idx="1">
                  <c:v>中债综合指数收益率</c:v>
                </c:pt>
                <c:pt idx="2">
                  <c:v>中证全债指数收益率</c:v>
                </c:pt>
                <c:pt idx="3">
                  <c:v>银行人民币活期存款利率(税后)</c:v>
                </c:pt>
                <c:pt idx="4">
                  <c:v>中国债券总指数收益率</c:v>
                </c:pt>
                <c:pt idx="5">
                  <c:v>中债国债总指数(全价)</c:v>
                </c:pt>
                <c:pt idx="6">
                  <c:v>金融机构人民币活期存款基准利率(税后)</c:v>
                </c:pt>
                <c:pt idx="7">
                  <c:v>中债总指数(财富)</c:v>
                </c:pt>
                <c:pt idx="8">
                  <c:v>银行同业存款利率</c:v>
                </c:pt>
                <c:pt idx="9">
                  <c:v>中债综合全价指数收益率</c:v>
                </c:pt>
              </c:strCache>
            </c:strRef>
          </c:cat>
          <c:val>
            <c:numRef>
              <c:f>'基金行业主题分类业绩评价基准-股指基准和债指基准统计'!$X$59:$X$68</c:f>
              <c:numCache>
                <c:formatCode>General</c:formatCode>
                <c:ptCount val="10"/>
                <c:pt idx="0">
                  <c:v>11</c:v>
                </c:pt>
                <c:pt idx="1">
                  <c:v>10</c:v>
                </c:pt>
                <c:pt idx="2">
                  <c:v>7</c:v>
                </c:pt>
                <c:pt idx="3">
                  <c:v>11</c:v>
                </c:pt>
                <c:pt idx="4">
                  <c:v>5</c:v>
                </c:pt>
                <c:pt idx="5">
                  <c:v>5</c:v>
                </c:pt>
                <c:pt idx="6">
                  <c:v>4</c:v>
                </c:pt>
                <c:pt idx="7">
                  <c:v>4</c:v>
                </c:pt>
                <c:pt idx="8">
                  <c:v>4</c:v>
                </c:pt>
                <c:pt idx="9">
                  <c:v>3</c:v>
                </c:pt>
              </c:numCache>
            </c:numRef>
          </c:val>
          <c:extLst>
            <c:ext xmlns:c16="http://schemas.microsoft.com/office/drawing/2014/chart" uri="{C3380CC4-5D6E-409C-BE32-E72D297353CC}">
              <c16:uniqueId val="{00000000-2428-4FD5-A78F-EF86E536CACE}"/>
            </c:ext>
          </c:extLst>
        </c:ser>
        <c:dLbls>
          <c:showLegendKey val="0"/>
          <c:showVal val="0"/>
          <c:showCatName val="0"/>
          <c:showSerName val="0"/>
          <c:showPercent val="0"/>
          <c:showBubbleSize val="0"/>
        </c:dLbls>
        <c:gapWidth val="182"/>
        <c:axId val="1414478088"/>
        <c:axId val="1414485304"/>
      </c:barChart>
      <c:catAx>
        <c:axId val="1414478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304"/>
        <c:crosses val="autoZero"/>
        <c:auto val="1"/>
        <c:lblAlgn val="ctr"/>
        <c:lblOffset val="100"/>
        <c:noMultiLvlLbl val="0"/>
      </c:catAx>
      <c:valAx>
        <c:axId val="1414485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7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1"/>
              <c:layout>
                <c:manualLayout>
                  <c:x val="-5.0924639322046331E-3"/>
                  <c:y val="-7.832313643721364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7DB4-4A64-81E8-6EE853B537E6}"/>
                </c:ext>
              </c:extLst>
            </c:dLbl>
            <c:dLbl>
              <c:idx val="5"/>
              <c:showLegendKey val="0"/>
              <c:showVal val="0"/>
              <c:showCatName val="1"/>
              <c:showSerName val="0"/>
              <c:showPercent val="1"/>
              <c:showBubbleSize val="0"/>
              <c:extLst>
                <c:ext xmlns:c15="http://schemas.microsoft.com/office/drawing/2012/chart" uri="{CE6537A1-D6FC-4f65-9D91-7224C49458BB}">
                  <c15:layout>
                    <c:manualLayout>
                      <c:w val="0.17529215358931552"/>
                      <c:h val="0.26253337288638384"/>
                    </c:manualLayout>
                  </c15:layout>
                </c:ext>
                <c:ext xmlns:c16="http://schemas.microsoft.com/office/drawing/2014/chart" uri="{C3380CC4-5D6E-409C-BE32-E72D297353CC}">
                  <c16:uniqueId val="{0000002B-7DB4-4A64-81E8-6EE853B537E6}"/>
                </c:ext>
              </c:extLst>
            </c:dLbl>
            <c:dLbl>
              <c:idx val="6"/>
              <c:layout>
                <c:manualLayout>
                  <c:x val="-2.3042340909389666E-2"/>
                  <c:y val="1.70724358060997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DB4-4A64-81E8-6EE853B537E6}"/>
                </c:ext>
              </c:extLst>
            </c:dLbl>
            <c:dLbl>
              <c:idx val="7"/>
              <c:layout>
                <c:manualLayout>
                  <c:x val="-9.0424986526099926E-2"/>
                  <c:y val="-0.124731790608642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DB4-4A64-81E8-6EE853B537E6}"/>
                </c:ext>
              </c:extLst>
            </c:dLbl>
            <c:dLbl>
              <c:idx val="8"/>
              <c:delete val="1"/>
              <c:extLst>
                <c:ext xmlns:c15="http://schemas.microsoft.com/office/drawing/2012/chart" uri="{CE6537A1-D6FC-4f65-9D91-7224C49458BB}"/>
                <c:ext xmlns:c16="http://schemas.microsoft.com/office/drawing/2014/chart" uri="{C3380CC4-5D6E-409C-BE32-E72D297353CC}">
                  <c16:uniqueId val="{00000003-7DB4-4A64-81E8-6EE853B537E6}"/>
                </c:ext>
              </c:extLst>
            </c:dLbl>
            <c:dLbl>
              <c:idx val="9"/>
              <c:delete val="1"/>
              <c:extLst>
                <c:ext xmlns:c15="http://schemas.microsoft.com/office/drawing/2012/chart" uri="{CE6537A1-D6FC-4f65-9D91-7224C49458BB}"/>
                <c:ext xmlns:c16="http://schemas.microsoft.com/office/drawing/2014/chart" uri="{C3380CC4-5D6E-409C-BE32-E72D297353CC}">
                  <c16:uniqueId val="{00000004-7DB4-4A64-81E8-6EE853B537E6}"/>
                </c:ext>
              </c:extLst>
            </c:dLbl>
            <c:dLbl>
              <c:idx val="10"/>
              <c:delete val="1"/>
              <c:extLst>
                <c:ext xmlns:c15="http://schemas.microsoft.com/office/drawing/2012/chart" uri="{CE6537A1-D6FC-4f65-9D91-7224C49458BB}"/>
                <c:ext xmlns:c16="http://schemas.microsoft.com/office/drawing/2014/chart" uri="{C3380CC4-5D6E-409C-BE32-E72D297353CC}">
                  <c16:uniqueId val="{00000005-7DB4-4A64-81E8-6EE853B537E6}"/>
                </c:ext>
              </c:extLst>
            </c:dLbl>
            <c:dLbl>
              <c:idx val="11"/>
              <c:delete val="1"/>
              <c:extLst>
                <c:ext xmlns:c15="http://schemas.microsoft.com/office/drawing/2012/chart" uri="{CE6537A1-D6FC-4f65-9D91-7224C49458BB}"/>
                <c:ext xmlns:c16="http://schemas.microsoft.com/office/drawing/2014/chart" uri="{C3380CC4-5D6E-409C-BE32-E72D297353CC}">
                  <c16:uniqueId val="{00000006-7DB4-4A64-81E8-6EE853B537E6}"/>
                </c:ext>
              </c:extLst>
            </c:dLbl>
            <c:dLbl>
              <c:idx val="12"/>
              <c:delete val="1"/>
              <c:extLst>
                <c:ext xmlns:c15="http://schemas.microsoft.com/office/drawing/2012/chart" uri="{CE6537A1-D6FC-4f65-9D91-7224C49458BB}"/>
                <c:ext xmlns:c16="http://schemas.microsoft.com/office/drawing/2014/chart" uri="{C3380CC4-5D6E-409C-BE32-E72D297353CC}">
                  <c16:uniqueId val="{00000007-7DB4-4A64-81E8-6EE853B537E6}"/>
                </c:ext>
              </c:extLst>
            </c:dLbl>
            <c:dLbl>
              <c:idx val="13"/>
              <c:delete val="1"/>
              <c:extLst>
                <c:ext xmlns:c15="http://schemas.microsoft.com/office/drawing/2012/chart" uri="{CE6537A1-D6FC-4f65-9D91-7224C49458BB}"/>
                <c:ext xmlns:c16="http://schemas.microsoft.com/office/drawing/2014/chart" uri="{C3380CC4-5D6E-409C-BE32-E72D297353CC}">
                  <c16:uniqueId val="{00000008-7DB4-4A64-81E8-6EE853B537E6}"/>
                </c:ext>
              </c:extLst>
            </c:dLbl>
            <c:dLbl>
              <c:idx val="14"/>
              <c:delete val="1"/>
              <c:extLst>
                <c:ext xmlns:c15="http://schemas.microsoft.com/office/drawing/2012/chart" uri="{CE6537A1-D6FC-4f65-9D91-7224C49458BB}"/>
                <c:ext xmlns:c16="http://schemas.microsoft.com/office/drawing/2014/chart" uri="{C3380CC4-5D6E-409C-BE32-E72D297353CC}">
                  <c16:uniqueId val="{00000009-7DB4-4A64-81E8-6EE853B537E6}"/>
                </c:ext>
              </c:extLst>
            </c:dLbl>
            <c:dLbl>
              <c:idx val="15"/>
              <c:delete val="1"/>
              <c:extLst>
                <c:ext xmlns:c15="http://schemas.microsoft.com/office/drawing/2012/chart" uri="{CE6537A1-D6FC-4f65-9D91-7224C49458BB}"/>
                <c:ext xmlns:c16="http://schemas.microsoft.com/office/drawing/2014/chart" uri="{C3380CC4-5D6E-409C-BE32-E72D297353CC}">
                  <c16:uniqueId val="{0000000A-7DB4-4A64-81E8-6EE853B537E6}"/>
                </c:ext>
              </c:extLst>
            </c:dLbl>
            <c:dLbl>
              <c:idx val="16"/>
              <c:delete val="1"/>
              <c:extLst>
                <c:ext xmlns:c15="http://schemas.microsoft.com/office/drawing/2012/chart" uri="{CE6537A1-D6FC-4f65-9D91-7224C49458BB}"/>
                <c:ext xmlns:c16="http://schemas.microsoft.com/office/drawing/2014/chart" uri="{C3380CC4-5D6E-409C-BE32-E72D297353CC}">
                  <c16:uniqueId val="{0000000B-7DB4-4A64-81E8-6EE853B537E6}"/>
                </c:ext>
              </c:extLst>
            </c:dLbl>
            <c:dLbl>
              <c:idx val="17"/>
              <c:delete val="1"/>
              <c:extLst>
                <c:ext xmlns:c15="http://schemas.microsoft.com/office/drawing/2012/chart" uri="{CE6537A1-D6FC-4f65-9D91-7224C49458BB}"/>
                <c:ext xmlns:c16="http://schemas.microsoft.com/office/drawing/2014/chart" uri="{C3380CC4-5D6E-409C-BE32-E72D297353CC}">
                  <c16:uniqueId val="{0000000C-7DB4-4A64-81E8-6EE853B537E6}"/>
                </c:ext>
              </c:extLst>
            </c:dLbl>
            <c:dLbl>
              <c:idx val="18"/>
              <c:delete val="1"/>
              <c:extLst>
                <c:ext xmlns:c15="http://schemas.microsoft.com/office/drawing/2012/chart" uri="{CE6537A1-D6FC-4f65-9D91-7224C49458BB}"/>
                <c:ext xmlns:c16="http://schemas.microsoft.com/office/drawing/2014/chart" uri="{C3380CC4-5D6E-409C-BE32-E72D297353CC}">
                  <c16:uniqueId val="{0000000D-7DB4-4A64-81E8-6EE853B537E6}"/>
                </c:ext>
              </c:extLst>
            </c:dLbl>
            <c:dLbl>
              <c:idx val="19"/>
              <c:delete val="1"/>
              <c:extLst>
                <c:ext xmlns:c15="http://schemas.microsoft.com/office/drawing/2012/chart" uri="{CE6537A1-D6FC-4f65-9D91-7224C49458BB}"/>
                <c:ext xmlns:c16="http://schemas.microsoft.com/office/drawing/2014/chart" uri="{C3380CC4-5D6E-409C-BE32-E72D297353CC}">
                  <c16:uniqueId val="{0000000E-7DB4-4A64-81E8-6EE853B537E6}"/>
                </c:ext>
              </c:extLst>
            </c:dLbl>
            <c:dLbl>
              <c:idx val="20"/>
              <c:delete val="1"/>
              <c:extLst>
                <c:ext xmlns:c15="http://schemas.microsoft.com/office/drawing/2012/chart" uri="{CE6537A1-D6FC-4f65-9D91-7224C49458BB}"/>
                <c:ext xmlns:c16="http://schemas.microsoft.com/office/drawing/2014/chart" uri="{C3380CC4-5D6E-409C-BE32-E72D297353CC}">
                  <c16:uniqueId val="{0000000F-7DB4-4A64-81E8-6EE853B537E6}"/>
                </c:ext>
              </c:extLst>
            </c:dLbl>
            <c:dLbl>
              <c:idx val="21"/>
              <c:delete val="1"/>
              <c:extLst>
                <c:ext xmlns:c15="http://schemas.microsoft.com/office/drawing/2012/chart" uri="{CE6537A1-D6FC-4f65-9D91-7224C49458BB}"/>
                <c:ext xmlns:c16="http://schemas.microsoft.com/office/drawing/2014/chart" uri="{C3380CC4-5D6E-409C-BE32-E72D297353CC}">
                  <c16:uniqueId val="{00000010-7DB4-4A64-81E8-6EE853B537E6}"/>
                </c:ext>
              </c:extLst>
            </c:dLbl>
            <c:dLbl>
              <c:idx val="22"/>
              <c:delete val="1"/>
              <c:extLst>
                <c:ext xmlns:c15="http://schemas.microsoft.com/office/drawing/2012/chart" uri="{CE6537A1-D6FC-4f65-9D91-7224C49458BB}"/>
                <c:ext xmlns:c16="http://schemas.microsoft.com/office/drawing/2014/chart" uri="{C3380CC4-5D6E-409C-BE32-E72D297353CC}">
                  <c16:uniqueId val="{00000011-7DB4-4A64-81E8-6EE853B537E6}"/>
                </c:ext>
              </c:extLst>
            </c:dLbl>
            <c:dLbl>
              <c:idx val="23"/>
              <c:delete val="1"/>
              <c:extLst>
                <c:ext xmlns:c15="http://schemas.microsoft.com/office/drawing/2012/chart" uri="{CE6537A1-D6FC-4f65-9D91-7224C49458BB}"/>
                <c:ext xmlns:c16="http://schemas.microsoft.com/office/drawing/2014/chart" uri="{C3380CC4-5D6E-409C-BE32-E72D297353CC}">
                  <c16:uniqueId val="{00000012-7DB4-4A64-81E8-6EE853B537E6}"/>
                </c:ext>
              </c:extLst>
            </c:dLbl>
            <c:dLbl>
              <c:idx val="24"/>
              <c:delete val="1"/>
              <c:extLst>
                <c:ext xmlns:c15="http://schemas.microsoft.com/office/drawing/2012/chart" uri="{CE6537A1-D6FC-4f65-9D91-7224C49458BB}"/>
                <c:ext xmlns:c16="http://schemas.microsoft.com/office/drawing/2014/chart" uri="{C3380CC4-5D6E-409C-BE32-E72D297353CC}">
                  <c16:uniqueId val="{00000013-7DB4-4A64-81E8-6EE853B537E6}"/>
                </c:ext>
              </c:extLst>
            </c:dLbl>
            <c:dLbl>
              <c:idx val="25"/>
              <c:delete val="1"/>
              <c:extLst>
                <c:ext xmlns:c15="http://schemas.microsoft.com/office/drawing/2012/chart" uri="{CE6537A1-D6FC-4f65-9D91-7224C49458BB}"/>
                <c:ext xmlns:c16="http://schemas.microsoft.com/office/drawing/2014/chart" uri="{C3380CC4-5D6E-409C-BE32-E72D297353CC}">
                  <c16:uniqueId val="{00000014-7DB4-4A64-81E8-6EE853B537E6}"/>
                </c:ext>
              </c:extLst>
            </c:dLbl>
            <c:dLbl>
              <c:idx val="26"/>
              <c:delete val="1"/>
              <c:extLst>
                <c:ext xmlns:c15="http://schemas.microsoft.com/office/drawing/2012/chart" uri="{CE6537A1-D6FC-4f65-9D91-7224C49458BB}"/>
                <c:ext xmlns:c16="http://schemas.microsoft.com/office/drawing/2014/chart" uri="{C3380CC4-5D6E-409C-BE32-E72D297353CC}">
                  <c16:uniqueId val="{00000015-7DB4-4A64-81E8-6EE853B537E6}"/>
                </c:ext>
              </c:extLst>
            </c:dLbl>
            <c:dLbl>
              <c:idx val="27"/>
              <c:delete val="1"/>
              <c:extLst>
                <c:ext xmlns:c15="http://schemas.microsoft.com/office/drawing/2012/chart" uri="{CE6537A1-D6FC-4f65-9D91-7224C49458BB}"/>
                <c:ext xmlns:c16="http://schemas.microsoft.com/office/drawing/2014/chart" uri="{C3380CC4-5D6E-409C-BE32-E72D297353CC}">
                  <c16:uniqueId val="{00000016-7DB4-4A64-81E8-6EE853B537E6}"/>
                </c:ext>
              </c:extLst>
            </c:dLbl>
            <c:dLbl>
              <c:idx val="28"/>
              <c:delete val="1"/>
              <c:extLst>
                <c:ext xmlns:c15="http://schemas.microsoft.com/office/drawing/2012/chart" uri="{CE6537A1-D6FC-4f65-9D91-7224C49458BB}"/>
                <c:ext xmlns:c16="http://schemas.microsoft.com/office/drawing/2014/chart" uri="{C3380CC4-5D6E-409C-BE32-E72D297353CC}">
                  <c16:uniqueId val="{00000017-7DB4-4A64-81E8-6EE853B537E6}"/>
                </c:ext>
              </c:extLst>
            </c:dLbl>
            <c:dLbl>
              <c:idx val="29"/>
              <c:delete val="1"/>
              <c:extLst>
                <c:ext xmlns:c15="http://schemas.microsoft.com/office/drawing/2012/chart" uri="{CE6537A1-D6FC-4f65-9D91-7224C49458BB}"/>
                <c:ext xmlns:c16="http://schemas.microsoft.com/office/drawing/2014/chart" uri="{C3380CC4-5D6E-409C-BE32-E72D297353CC}">
                  <c16:uniqueId val="{00000018-7DB4-4A64-81E8-6EE853B537E6}"/>
                </c:ext>
              </c:extLst>
            </c:dLbl>
            <c:dLbl>
              <c:idx val="30"/>
              <c:delete val="1"/>
              <c:extLst>
                <c:ext xmlns:c15="http://schemas.microsoft.com/office/drawing/2012/chart" uri="{CE6537A1-D6FC-4f65-9D91-7224C49458BB}"/>
                <c:ext xmlns:c16="http://schemas.microsoft.com/office/drawing/2014/chart" uri="{C3380CC4-5D6E-409C-BE32-E72D297353CC}">
                  <c16:uniqueId val="{00000019-7DB4-4A64-81E8-6EE853B537E6}"/>
                </c:ext>
              </c:extLst>
            </c:dLbl>
            <c:dLbl>
              <c:idx val="31"/>
              <c:delete val="1"/>
              <c:extLst>
                <c:ext xmlns:c15="http://schemas.microsoft.com/office/drawing/2012/chart" uri="{CE6537A1-D6FC-4f65-9D91-7224C49458BB}"/>
                <c:ext xmlns:c16="http://schemas.microsoft.com/office/drawing/2014/chart" uri="{C3380CC4-5D6E-409C-BE32-E72D297353CC}">
                  <c16:uniqueId val="{0000001A-7DB4-4A64-81E8-6EE853B537E6}"/>
                </c:ext>
              </c:extLst>
            </c:dLbl>
            <c:dLbl>
              <c:idx val="32"/>
              <c:delete val="1"/>
              <c:extLst>
                <c:ext xmlns:c15="http://schemas.microsoft.com/office/drawing/2012/chart" uri="{CE6537A1-D6FC-4f65-9D91-7224C49458BB}"/>
                <c:ext xmlns:c16="http://schemas.microsoft.com/office/drawing/2014/chart" uri="{C3380CC4-5D6E-409C-BE32-E72D297353CC}">
                  <c16:uniqueId val="{0000001B-7DB4-4A64-81E8-6EE853B537E6}"/>
                </c:ext>
              </c:extLst>
            </c:dLbl>
            <c:dLbl>
              <c:idx val="33"/>
              <c:delete val="1"/>
              <c:extLst>
                <c:ext xmlns:c15="http://schemas.microsoft.com/office/drawing/2012/chart" uri="{CE6537A1-D6FC-4f65-9D91-7224C49458BB}"/>
                <c:ext xmlns:c16="http://schemas.microsoft.com/office/drawing/2014/chart" uri="{C3380CC4-5D6E-409C-BE32-E72D297353CC}">
                  <c16:uniqueId val="{0000001C-7DB4-4A64-81E8-6EE853B537E6}"/>
                </c:ext>
              </c:extLst>
            </c:dLbl>
            <c:dLbl>
              <c:idx val="34"/>
              <c:delete val="1"/>
              <c:extLst>
                <c:ext xmlns:c15="http://schemas.microsoft.com/office/drawing/2012/chart" uri="{CE6537A1-D6FC-4f65-9D91-7224C49458BB}"/>
                <c:ext xmlns:c16="http://schemas.microsoft.com/office/drawing/2014/chart" uri="{C3380CC4-5D6E-409C-BE32-E72D297353CC}">
                  <c16:uniqueId val="{0000001D-7DB4-4A64-81E8-6EE853B537E6}"/>
                </c:ext>
              </c:extLst>
            </c:dLbl>
            <c:dLbl>
              <c:idx val="35"/>
              <c:delete val="1"/>
              <c:extLst>
                <c:ext xmlns:c15="http://schemas.microsoft.com/office/drawing/2012/chart" uri="{CE6537A1-D6FC-4f65-9D91-7224C49458BB}"/>
                <c:ext xmlns:c16="http://schemas.microsoft.com/office/drawing/2014/chart" uri="{C3380CC4-5D6E-409C-BE32-E72D297353CC}">
                  <c16:uniqueId val="{0000001E-7DB4-4A64-81E8-6EE853B537E6}"/>
                </c:ext>
              </c:extLst>
            </c:dLbl>
            <c:dLbl>
              <c:idx val="36"/>
              <c:delete val="1"/>
              <c:extLst>
                <c:ext xmlns:c15="http://schemas.microsoft.com/office/drawing/2012/chart" uri="{CE6537A1-D6FC-4f65-9D91-7224C49458BB}"/>
                <c:ext xmlns:c16="http://schemas.microsoft.com/office/drawing/2014/chart" uri="{C3380CC4-5D6E-409C-BE32-E72D297353CC}">
                  <c16:uniqueId val="{0000001F-7DB4-4A64-81E8-6EE853B537E6}"/>
                </c:ext>
              </c:extLst>
            </c:dLbl>
            <c:dLbl>
              <c:idx val="37"/>
              <c:delete val="1"/>
              <c:extLst>
                <c:ext xmlns:c15="http://schemas.microsoft.com/office/drawing/2012/chart" uri="{CE6537A1-D6FC-4f65-9D91-7224C49458BB}"/>
                <c:ext xmlns:c16="http://schemas.microsoft.com/office/drawing/2014/chart" uri="{C3380CC4-5D6E-409C-BE32-E72D297353CC}">
                  <c16:uniqueId val="{00000020-7DB4-4A64-81E8-6EE853B537E6}"/>
                </c:ext>
              </c:extLst>
            </c:dLbl>
            <c:dLbl>
              <c:idx val="38"/>
              <c:delete val="1"/>
              <c:extLst>
                <c:ext xmlns:c15="http://schemas.microsoft.com/office/drawing/2012/chart" uri="{CE6537A1-D6FC-4f65-9D91-7224C49458BB}"/>
                <c:ext xmlns:c16="http://schemas.microsoft.com/office/drawing/2014/chart" uri="{C3380CC4-5D6E-409C-BE32-E72D297353CC}">
                  <c16:uniqueId val="{00000021-7DB4-4A64-81E8-6EE853B537E6}"/>
                </c:ext>
              </c:extLst>
            </c:dLbl>
            <c:dLbl>
              <c:idx val="39"/>
              <c:delete val="1"/>
              <c:extLst>
                <c:ext xmlns:c15="http://schemas.microsoft.com/office/drawing/2012/chart" uri="{CE6537A1-D6FC-4f65-9D91-7224C49458BB}"/>
                <c:ext xmlns:c16="http://schemas.microsoft.com/office/drawing/2014/chart" uri="{C3380CC4-5D6E-409C-BE32-E72D297353CC}">
                  <c16:uniqueId val="{00000022-7DB4-4A64-81E8-6EE853B537E6}"/>
                </c:ext>
              </c:extLst>
            </c:dLbl>
            <c:dLbl>
              <c:idx val="40"/>
              <c:delete val="1"/>
              <c:extLst>
                <c:ext xmlns:c15="http://schemas.microsoft.com/office/drawing/2012/chart" uri="{CE6537A1-D6FC-4f65-9D91-7224C49458BB}"/>
                <c:ext xmlns:c16="http://schemas.microsoft.com/office/drawing/2014/chart" uri="{C3380CC4-5D6E-409C-BE32-E72D297353CC}">
                  <c16:uniqueId val="{00000023-7DB4-4A64-81E8-6EE853B537E6}"/>
                </c:ext>
              </c:extLst>
            </c:dLbl>
            <c:dLbl>
              <c:idx val="41"/>
              <c:delete val="1"/>
              <c:extLst>
                <c:ext xmlns:c15="http://schemas.microsoft.com/office/drawing/2012/chart" uri="{CE6537A1-D6FC-4f65-9D91-7224C49458BB}"/>
                <c:ext xmlns:c16="http://schemas.microsoft.com/office/drawing/2014/chart" uri="{C3380CC4-5D6E-409C-BE32-E72D297353CC}">
                  <c16:uniqueId val="{00000024-7DB4-4A64-81E8-6EE853B537E6}"/>
                </c:ext>
              </c:extLst>
            </c:dLbl>
            <c:dLbl>
              <c:idx val="42"/>
              <c:delete val="1"/>
              <c:extLst>
                <c:ext xmlns:c15="http://schemas.microsoft.com/office/drawing/2012/chart" uri="{CE6537A1-D6FC-4f65-9D91-7224C49458BB}"/>
                <c:ext xmlns:c16="http://schemas.microsoft.com/office/drawing/2014/chart" uri="{C3380CC4-5D6E-409C-BE32-E72D297353CC}">
                  <c16:uniqueId val="{00000025-7DB4-4A64-81E8-6EE853B537E6}"/>
                </c:ext>
              </c:extLst>
            </c:dLbl>
            <c:dLbl>
              <c:idx val="43"/>
              <c:delete val="1"/>
              <c:extLst>
                <c:ext xmlns:c15="http://schemas.microsoft.com/office/drawing/2012/chart" uri="{CE6537A1-D6FC-4f65-9D91-7224C49458BB}"/>
                <c:ext xmlns:c16="http://schemas.microsoft.com/office/drawing/2014/chart" uri="{C3380CC4-5D6E-409C-BE32-E72D297353CC}">
                  <c16:uniqueId val="{00000026-7DB4-4A64-81E8-6EE853B537E6}"/>
                </c:ext>
              </c:extLst>
            </c:dLbl>
            <c:dLbl>
              <c:idx val="44"/>
              <c:delete val="1"/>
              <c:extLst>
                <c:ext xmlns:c15="http://schemas.microsoft.com/office/drawing/2012/chart" uri="{CE6537A1-D6FC-4f65-9D91-7224C49458BB}"/>
                <c:ext xmlns:c16="http://schemas.microsoft.com/office/drawing/2014/chart" uri="{C3380CC4-5D6E-409C-BE32-E72D297353CC}">
                  <c16:uniqueId val="{00000027-7DB4-4A64-81E8-6EE853B537E6}"/>
                </c:ext>
              </c:extLst>
            </c:dLbl>
            <c:dLbl>
              <c:idx val="45"/>
              <c:delete val="1"/>
              <c:extLst>
                <c:ext xmlns:c15="http://schemas.microsoft.com/office/drawing/2012/chart" uri="{CE6537A1-D6FC-4f65-9D91-7224C49458BB}"/>
                <c:ext xmlns:c16="http://schemas.microsoft.com/office/drawing/2014/chart" uri="{C3380CC4-5D6E-409C-BE32-E72D297353CC}">
                  <c16:uniqueId val="{00000028-7DB4-4A64-81E8-6EE853B537E6}"/>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中国基金分类情况统计!$G$2:$G$47</c:f>
              <c:strCache>
                <c:ptCount val="46"/>
                <c:pt idx="0">
                  <c:v>酒类行业主题基金</c:v>
                </c:pt>
                <c:pt idx="1">
                  <c:v>电子元器件行业主题基金</c:v>
                </c:pt>
                <c:pt idx="2">
                  <c:v>电工电网行业主题基金</c:v>
                </c:pt>
                <c:pt idx="3">
                  <c:v>半导体行业主题基金</c:v>
                </c:pt>
                <c:pt idx="4">
                  <c:v>生物科技行业主题基金</c:v>
                </c:pt>
                <c:pt idx="5">
                  <c:v>银行行业主题基金</c:v>
                </c:pt>
                <c:pt idx="6">
                  <c:v>家用电器行业主题基金</c:v>
                </c:pt>
                <c:pt idx="7">
                  <c:v>保险行业主题基金</c:v>
                </c:pt>
                <c:pt idx="8">
                  <c:v>房地产行业主题基金</c:v>
                </c:pt>
                <c:pt idx="9">
                  <c:v>券商行业主题基金</c:v>
                </c:pt>
                <c:pt idx="10">
                  <c:v>软件行业主题基金</c:v>
                </c:pt>
                <c:pt idx="11">
                  <c:v>制药行业主题基金</c:v>
                </c:pt>
                <c:pt idx="12">
                  <c:v>医疗保健行业主题基金</c:v>
                </c:pt>
                <c:pt idx="13">
                  <c:v>贵金属行业主题基金</c:v>
                </c:pt>
                <c:pt idx="14">
                  <c:v>食品行业主题基金</c:v>
                </c:pt>
                <c:pt idx="15">
                  <c:v>工业机械行业主题基金</c:v>
                </c:pt>
                <c:pt idx="16">
                  <c:v>互联网行业主题基金</c:v>
                </c:pt>
                <c:pt idx="17">
                  <c:v>航天军工行业主题基金</c:v>
                </c:pt>
                <c:pt idx="18">
                  <c:v>建筑行业主题基金</c:v>
                </c:pt>
                <c:pt idx="19">
                  <c:v>农业行业主题基金</c:v>
                </c:pt>
                <c:pt idx="20">
                  <c:v>建材行业主题基金</c:v>
                </c:pt>
                <c:pt idx="21">
                  <c:v>文化传媒行业主题基金</c:v>
                </c:pt>
                <c:pt idx="22">
                  <c:v>精细化工行业主题基金</c:v>
                </c:pt>
                <c:pt idx="23">
                  <c:v>餐饮旅游行业主题基金</c:v>
                </c:pt>
                <c:pt idx="24">
                  <c:v>基本金属行业主题基金</c:v>
                </c:pt>
                <c:pt idx="25">
                  <c:v>汽车零部件行业主题基金</c:v>
                </c:pt>
                <c:pt idx="26">
                  <c:v>零售行业主题基金</c:v>
                </c:pt>
                <c:pt idx="27">
                  <c:v>电脑硬件行业主题基金</c:v>
                </c:pt>
                <c:pt idx="28">
                  <c:v>航空行业主题基金</c:v>
                </c:pt>
                <c:pt idx="29">
                  <c:v>煤炭行业主题基金</c:v>
                </c:pt>
                <c:pt idx="30">
                  <c:v>汽车行业主题基金</c:v>
                </c:pt>
                <c:pt idx="31">
                  <c:v>发电设备行业主题基金</c:v>
                </c:pt>
                <c:pt idx="32">
                  <c:v>化工原料行业主题基金</c:v>
                </c:pt>
                <c:pt idx="33">
                  <c:v>钢铁行业主题基金</c:v>
                </c:pt>
                <c:pt idx="34">
                  <c:v>家居用品行业主题基金</c:v>
                </c:pt>
                <c:pt idx="35">
                  <c:v>通信设备行业主题基金</c:v>
                </c:pt>
                <c:pt idx="36">
                  <c:v>化肥农药行业主题基金</c:v>
                </c:pt>
                <c:pt idx="37">
                  <c:v>电力行业主题基金</c:v>
                </c:pt>
                <c:pt idx="38">
                  <c:v>工程机械行业主题基金</c:v>
                </c:pt>
                <c:pt idx="39">
                  <c:v>环保行业主题基金</c:v>
                </c:pt>
                <c:pt idx="40">
                  <c:v>商业服务行业主题基金</c:v>
                </c:pt>
                <c:pt idx="41">
                  <c:v>包装行业主题基金</c:v>
                </c:pt>
                <c:pt idx="42">
                  <c:v>纺织服装行业主题基金</c:v>
                </c:pt>
                <c:pt idx="43">
                  <c:v>机场行业主题基金</c:v>
                </c:pt>
                <c:pt idx="44">
                  <c:v>重型机械行业主题基金</c:v>
                </c:pt>
                <c:pt idx="45">
                  <c:v>日用化工行业主题基金</c:v>
                </c:pt>
              </c:strCache>
            </c:strRef>
          </c:cat>
          <c:val>
            <c:numRef>
              <c:f>中国基金分类情况统计!$H$2:$H$47</c:f>
              <c:numCache>
                <c:formatCode>General</c:formatCode>
                <c:ptCount val="46"/>
                <c:pt idx="0">
                  <c:v>470</c:v>
                </c:pt>
                <c:pt idx="1">
                  <c:v>381</c:v>
                </c:pt>
                <c:pt idx="2">
                  <c:v>183</c:v>
                </c:pt>
                <c:pt idx="3">
                  <c:v>164</c:v>
                </c:pt>
                <c:pt idx="4">
                  <c:v>123</c:v>
                </c:pt>
                <c:pt idx="5">
                  <c:v>119</c:v>
                </c:pt>
                <c:pt idx="6">
                  <c:v>116</c:v>
                </c:pt>
                <c:pt idx="7">
                  <c:v>86</c:v>
                </c:pt>
                <c:pt idx="8">
                  <c:v>85</c:v>
                </c:pt>
                <c:pt idx="9">
                  <c:v>77</c:v>
                </c:pt>
                <c:pt idx="10">
                  <c:v>77</c:v>
                </c:pt>
                <c:pt idx="11">
                  <c:v>72</c:v>
                </c:pt>
                <c:pt idx="12">
                  <c:v>61</c:v>
                </c:pt>
                <c:pt idx="13">
                  <c:v>38</c:v>
                </c:pt>
                <c:pt idx="14">
                  <c:v>35</c:v>
                </c:pt>
                <c:pt idx="15">
                  <c:v>33</c:v>
                </c:pt>
                <c:pt idx="16">
                  <c:v>29</c:v>
                </c:pt>
                <c:pt idx="17">
                  <c:v>25</c:v>
                </c:pt>
                <c:pt idx="18">
                  <c:v>24</c:v>
                </c:pt>
                <c:pt idx="19">
                  <c:v>20</c:v>
                </c:pt>
                <c:pt idx="20">
                  <c:v>18</c:v>
                </c:pt>
                <c:pt idx="21">
                  <c:v>14</c:v>
                </c:pt>
                <c:pt idx="22">
                  <c:v>13</c:v>
                </c:pt>
                <c:pt idx="23">
                  <c:v>12</c:v>
                </c:pt>
                <c:pt idx="24">
                  <c:v>12</c:v>
                </c:pt>
                <c:pt idx="25">
                  <c:v>12</c:v>
                </c:pt>
                <c:pt idx="26">
                  <c:v>11</c:v>
                </c:pt>
                <c:pt idx="27">
                  <c:v>10</c:v>
                </c:pt>
                <c:pt idx="28">
                  <c:v>9</c:v>
                </c:pt>
                <c:pt idx="29">
                  <c:v>9</c:v>
                </c:pt>
                <c:pt idx="30">
                  <c:v>8</c:v>
                </c:pt>
                <c:pt idx="31">
                  <c:v>7</c:v>
                </c:pt>
                <c:pt idx="32">
                  <c:v>7</c:v>
                </c:pt>
                <c:pt idx="33">
                  <c:v>6</c:v>
                </c:pt>
                <c:pt idx="34">
                  <c:v>6</c:v>
                </c:pt>
                <c:pt idx="35">
                  <c:v>6</c:v>
                </c:pt>
                <c:pt idx="36">
                  <c:v>5</c:v>
                </c:pt>
                <c:pt idx="37">
                  <c:v>4</c:v>
                </c:pt>
                <c:pt idx="38">
                  <c:v>3</c:v>
                </c:pt>
                <c:pt idx="39">
                  <c:v>3</c:v>
                </c:pt>
                <c:pt idx="40">
                  <c:v>3</c:v>
                </c:pt>
                <c:pt idx="41">
                  <c:v>2</c:v>
                </c:pt>
                <c:pt idx="42">
                  <c:v>2</c:v>
                </c:pt>
                <c:pt idx="43">
                  <c:v>2</c:v>
                </c:pt>
                <c:pt idx="44">
                  <c:v>2</c:v>
                </c:pt>
                <c:pt idx="45">
                  <c:v>1</c:v>
                </c:pt>
              </c:numCache>
            </c:numRef>
          </c:val>
          <c:extLst>
            <c:ext xmlns:c16="http://schemas.microsoft.com/office/drawing/2014/chart" uri="{C3380CC4-5D6E-409C-BE32-E72D297353CC}">
              <c16:uniqueId val="{00000029-7DB4-4A64-81E8-6EE853B537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'基金二级分类业绩评价基准-股指基准和债指基准统计'!$C$1</c:f>
              <c:strCache>
                <c:ptCount val="1"/>
                <c:pt idx="0">
                  <c:v>第一基准对应的基金数目</c:v>
                </c:pt>
              </c:strCache>
            </c:strRef>
          </c:tx>
          <c:spPr>
            <a:solidFill>
              <a:schemeClr val="accent1"/>
            </a:solidFill>
            <a:ln>
              <a:noFill/>
            </a:ln>
            <a:effectLst/>
          </c:spPr>
          <c:invertIfNegative val="0"/>
          <c:cat>
            <c:strRef>
              <c:f>'基金二级分类业绩评价基准-股指基准和债指基准统计'!$B$2:$B$6</c:f>
              <c:strCache>
                <c:ptCount val="5"/>
                <c:pt idx="0">
                  <c:v>沪深300指数收益率</c:v>
                </c:pt>
                <c:pt idx="1">
                  <c:v>中证800指数收益率</c:v>
                </c:pt>
                <c:pt idx="2">
                  <c:v>中证500指数收益率</c:v>
                </c:pt>
                <c:pt idx="3">
                  <c:v>中国战略新兴产业成份指数收益率</c:v>
                </c:pt>
                <c:pt idx="4">
                  <c:v>中证医药卫生指数收益率</c:v>
                </c:pt>
              </c:strCache>
            </c:strRef>
          </c:cat>
          <c:val>
            <c:numRef>
              <c:f>'基金二级分类业绩评价基准-股指基准和债指基准统计'!$C$2:$C$6</c:f>
              <c:numCache>
                <c:formatCode>General</c:formatCode>
                <c:ptCount val="5"/>
                <c:pt idx="0">
                  <c:v>947</c:v>
                </c:pt>
                <c:pt idx="1">
                  <c:v>278</c:v>
                </c:pt>
                <c:pt idx="2">
                  <c:v>71</c:v>
                </c:pt>
                <c:pt idx="3">
                  <c:v>67</c:v>
                </c:pt>
                <c:pt idx="4">
                  <c:v>34</c:v>
                </c:pt>
              </c:numCache>
            </c:numRef>
          </c:val>
          <c:extLst>
            <c:ext xmlns:c16="http://schemas.microsoft.com/office/drawing/2014/chart" uri="{C3380CC4-5D6E-409C-BE32-E72D297353CC}">
              <c16:uniqueId val="{00000000-5167-48B6-B451-B350973A2945}"/>
            </c:ext>
          </c:extLst>
        </c:ser>
        <c:dLbls>
          <c:showLegendKey val="0"/>
          <c:showVal val="0"/>
          <c:showCatName val="0"/>
          <c:showSerName val="0"/>
          <c:showPercent val="0"/>
          <c:showBubbleSize val="0"/>
        </c:dLbls>
        <c:gapWidth val="182"/>
        <c:axId val="1289516104"/>
        <c:axId val="1289522008"/>
      </c:barChart>
      <c:catAx>
        <c:axId val="1289516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2008"/>
        <c:crosses val="autoZero"/>
        <c:auto val="1"/>
        <c:lblAlgn val="ctr"/>
        <c:lblOffset val="100"/>
        <c:noMultiLvlLbl val="0"/>
      </c:catAx>
      <c:valAx>
        <c:axId val="128952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16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'基金二级分类业绩评价基准-股指基准和债指基准统计'!$F$1</c:f>
              <c:strCache>
                <c:ptCount val="1"/>
                <c:pt idx="0">
                  <c:v>第二基准对应的基金数目</c:v>
                </c:pt>
              </c:strCache>
            </c:strRef>
          </c:tx>
          <c:spPr>
            <a:solidFill>
              <a:schemeClr val="accent1"/>
            </a:solidFill>
            <a:ln>
              <a:noFill/>
            </a:ln>
            <a:effectLst/>
          </c:spPr>
          <c:invertIfNegative val="0"/>
          <c:cat>
            <c:strRef>
              <c:f>'基金二级分类业绩评价基准-股指基准和债指基准统计'!$E$2:$E$6</c:f>
              <c:strCache>
                <c:ptCount val="5"/>
                <c:pt idx="0">
                  <c:v>上证国债指数收益率</c:v>
                </c:pt>
                <c:pt idx="1">
                  <c:v>中债综合指数收益率</c:v>
                </c:pt>
                <c:pt idx="2">
                  <c:v>中证全债指数收益率</c:v>
                </c:pt>
                <c:pt idx="3">
                  <c:v>中证综合债指数收益率</c:v>
                </c:pt>
                <c:pt idx="4">
                  <c:v>中债综合全价指数收益率</c:v>
                </c:pt>
              </c:strCache>
            </c:strRef>
          </c:cat>
          <c:val>
            <c:numRef>
              <c:f>'基金二级分类业绩评价基准-股指基准和债指基准统计'!$F$2:$F$6</c:f>
              <c:numCache>
                <c:formatCode>General</c:formatCode>
                <c:ptCount val="5"/>
                <c:pt idx="0">
                  <c:v>239</c:v>
                </c:pt>
                <c:pt idx="1">
                  <c:v>212</c:v>
                </c:pt>
                <c:pt idx="2">
                  <c:v>169</c:v>
                </c:pt>
                <c:pt idx="3">
                  <c:v>115</c:v>
                </c:pt>
                <c:pt idx="4">
                  <c:v>99</c:v>
                </c:pt>
              </c:numCache>
            </c:numRef>
          </c:val>
          <c:extLst>
            <c:ext xmlns:c16="http://schemas.microsoft.com/office/drawing/2014/chart" uri="{C3380CC4-5D6E-409C-BE32-E72D297353CC}">
              <c16:uniqueId val="{00000000-B5A2-49A9-AFA0-EBE5EA8D046E}"/>
            </c:ext>
          </c:extLst>
        </c:ser>
        <c:dLbls>
          <c:showLegendKey val="0"/>
          <c:showVal val="0"/>
          <c:showCatName val="0"/>
          <c:showSerName val="0"/>
          <c:showPercent val="0"/>
          <c:showBubbleSize val="0"/>
        </c:dLbls>
        <c:gapWidth val="182"/>
        <c:axId val="1099658216"/>
        <c:axId val="1099663464"/>
      </c:barChart>
      <c:catAx>
        <c:axId val="1099658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63464"/>
        <c:crosses val="autoZero"/>
        <c:auto val="1"/>
        <c:lblAlgn val="ctr"/>
        <c:lblOffset val="100"/>
        <c:noMultiLvlLbl val="0"/>
      </c:catAx>
      <c:valAx>
        <c:axId val="109966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58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'基金二级分类业绩评价基准-股指基准和债指基准统计'!$B$7:$B$11</c:f>
              <c:strCache>
                <c:ptCount val="5"/>
                <c:pt idx="0">
                  <c:v>沪深300指数收益率</c:v>
                </c:pt>
                <c:pt idx="1">
                  <c:v>中证800指数收益率</c:v>
                </c:pt>
                <c:pt idx="2">
                  <c:v>中证全债指数收益率</c:v>
                </c:pt>
                <c:pt idx="3">
                  <c:v>一年期银行定期存款利率(税后)</c:v>
                </c:pt>
                <c:pt idx="4">
                  <c:v>中证综合债指数收益率</c:v>
                </c:pt>
              </c:strCache>
            </c:strRef>
          </c:cat>
          <c:val>
            <c:numRef>
              <c:f>'基金二级分类业绩评价基准-股指基准和债指基准统计'!$C$7:$C$11</c:f>
              <c:numCache>
                <c:formatCode>General</c:formatCode>
                <c:ptCount val="5"/>
                <c:pt idx="0">
                  <c:v>1220</c:v>
                </c:pt>
                <c:pt idx="1">
                  <c:v>131</c:v>
                </c:pt>
                <c:pt idx="2">
                  <c:v>56</c:v>
                </c:pt>
                <c:pt idx="3">
                  <c:v>49</c:v>
                </c:pt>
                <c:pt idx="4">
                  <c:v>39</c:v>
                </c:pt>
              </c:numCache>
            </c:numRef>
          </c:val>
          <c:extLst>
            <c:ext xmlns:c16="http://schemas.microsoft.com/office/drawing/2014/chart" uri="{C3380CC4-5D6E-409C-BE32-E72D297353CC}">
              <c16:uniqueId val="{00000000-3326-4F40-86FE-E748A6D6D2A9}"/>
            </c:ext>
          </c:extLst>
        </c:ser>
        <c:dLbls>
          <c:showLegendKey val="0"/>
          <c:showVal val="0"/>
          <c:showCatName val="0"/>
          <c:showSerName val="0"/>
          <c:showPercent val="0"/>
          <c:showBubbleSize val="0"/>
        </c:dLbls>
        <c:gapWidth val="182"/>
        <c:axId val="1289502000"/>
        <c:axId val="1289505280"/>
      </c:barChart>
      <c:catAx>
        <c:axId val="1289502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5280"/>
        <c:crosses val="autoZero"/>
        <c:auto val="1"/>
        <c:lblAlgn val="ctr"/>
        <c:lblOffset val="100"/>
        <c:noMultiLvlLbl val="0"/>
      </c:catAx>
      <c:valAx>
        <c:axId val="128950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'基金二级分类业绩评价基准-股指基准和债指基准统计'!$E$7:$E$11</c:f>
              <c:strCache>
                <c:ptCount val="5"/>
                <c:pt idx="0">
                  <c:v>上证国债指数收益率</c:v>
                </c:pt>
                <c:pt idx="1">
                  <c:v>中证全债指数收益率</c:v>
                </c:pt>
                <c:pt idx="2">
                  <c:v>中债综合指数收益率</c:v>
                </c:pt>
                <c:pt idx="3">
                  <c:v>沪深300指数收益率</c:v>
                </c:pt>
                <c:pt idx="4">
                  <c:v>中证综合债指数收益率</c:v>
                </c:pt>
              </c:strCache>
            </c:strRef>
          </c:cat>
          <c:val>
            <c:numRef>
              <c:f>'基金二级分类业绩评价基准-股指基准和债指基准统计'!$F$7:$F$11</c:f>
              <c:numCache>
                <c:formatCode>General</c:formatCode>
                <c:ptCount val="5"/>
                <c:pt idx="0">
                  <c:v>261</c:v>
                </c:pt>
                <c:pt idx="1">
                  <c:v>251</c:v>
                </c:pt>
                <c:pt idx="2">
                  <c:v>226</c:v>
                </c:pt>
                <c:pt idx="3">
                  <c:v>222</c:v>
                </c:pt>
                <c:pt idx="4">
                  <c:v>135</c:v>
                </c:pt>
              </c:numCache>
            </c:numRef>
          </c:val>
          <c:extLst>
            <c:ext xmlns:c16="http://schemas.microsoft.com/office/drawing/2014/chart" uri="{C3380CC4-5D6E-409C-BE32-E72D297353CC}">
              <c16:uniqueId val="{00000000-2DB2-412A-AB02-5B9977D69E95}"/>
            </c:ext>
          </c:extLst>
        </c:ser>
        <c:dLbls>
          <c:showLegendKey val="0"/>
          <c:showVal val="0"/>
          <c:showCatName val="0"/>
          <c:showSerName val="0"/>
          <c:showPercent val="0"/>
          <c:showBubbleSize val="0"/>
        </c:dLbls>
        <c:gapWidth val="182"/>
        <c:axId val="1414497112"/>
        <c:axId val="1414488584"/>
      </c:barChart>
      <c:catAx>
        <c:axId val="1414497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88584"/>
        <c:crosses val="autoZero"/>
        <c:auto val="1"/>
        <c:lblAlgn val="ctr"/>
        <c:lblOffset val="100"/>
        <c:noMultiLvlLbl val="0"/>
      </c:catAx>
      <c:valAx>
        <c:axId val="1414488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97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'基金二级分类业绩评价基准-股指基准和债指基准统计'!$B$12:$B$16</c:f>
              <c:strCache>
                <c:ptCount val="5"/>
                <c:pt idx="0">
                  <c:v>沪深300指数收益率</c:v>
                </c:pt>
                <c:pt idx="1">
                  <c:v>中证800指数收益率</c:v>
                </c:pt>
                <c:pt idx="2">
                  <c:v>中证500指数收益率</c:v>
                </c:pt>
                <c:pt idx="3">
                  <c:v>中证医药卫生指数收益率</c:v>
                </c:pt>
                <c:pt idx="4">
                  <c:v>中证内地消费主题指数收益率</c:v>
                </c:pt>
              </c:strCache>
            </c:strRef>
          </c:cat>
          <c:val>
            <c:numRef>
              <c:f>'基金二级分类业绩评价基准-股指基准和债指基准统计'!$C$12:$C$16</c:f>
              <c:numCache>
                <c:formatCode>General</c:formatCode>
                <c:ptCount val="5"/>
                <c:pt idx="0">
                  <c:v>163</c:v>
                </c:pt>
                <c:pt idx="1">
                  <c:v>69</c:v>
                </c:pt>
                <c:pt idx="2">
                  <c:v>41</c:v>
                </c:pt>
                <c:pt idx="3">
                  <c:v>31</c:v>
                </c:pt>
                <c:pt idx="4">
                  <c:v>27</c:v>
                </c:pt>
              </c:numCache>
            </c:numRef>
          </c:val>
          <c:extLst>
            <c:ext xmlns:c16="http://schemas.microsoft.com/office/drawing/2014/chart" uri="{C3380CC4-5D6E-409C-BE32-E72D297353CC}">
              <c16:uniqueId val="{00000000-2BB2-49C1-89DD-373A4F740D9E}"/>
            </c:ext>
          </c:extLst>
        </c:ser>
        <c:dLbls>
          <c:showLegendKey val="0"/>
          <c:showVal val="0"/>
          <c:showCatName val="0"/>
          <c:showSerName val="0"/>
          <c:showPercent val="0"/>
          <c:showBubbleSize val="0"/>
        </c:dLbls>
        <c:gapWidth val="182"/>
        <c:axId val="1099704464"/>
        <c:axId val="1099704792"/>
      </c:barChart>
      <c:catAx>
        <c:axId val="1099704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792"/>
        <c:crosses val="autoZero"/>
        <c:auto val="1"/>
        <c:lblAlgn val="ctr"/>
        <c:lblOffset val="100"/>
        <c:noMultiLvlLbl val="0"/>
      </c:catAx>
      <c:valAx>
        <c:axId val="109970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'基金二级分类业绩评价基准-股指基准和债指基准统计'!$E$12:$E$16</c:f>
              <c:strCache>
                <c:ptCount val="5"/>
                <c:pt idx="0">
                  <c:v>中证全债指数收益率</c:v>
                </c:pt>
                <c:pt idx="1">
                  <c:v>上证国债指数收益率</c:v>
                </c:pt>
                <c:pt idx="2">
                  <c:v>中债综合指数收益率</c:v>
                </c:pt>
                <c:pt idx="3">
                  <c:v>中证综合债指数收益率</c:v>
                </c:pt>
                <c:pt idx="4">
                  <c:v>中证综合债券指数收益率</c:v>
                </c:pt>
              </c:strCache>
            </c:strRef>
          </c:cat>
          <c:val>
            <c:numRef>
              <c:f>'基金二级分类业绩评价基准-股指基准和债指基准统计'!$F$12:$F$16</c:f>
              <c:numCache>
                <c:formatCode>General</c:formatCode>
                <c:ptCount val="5"/>
                <c:pt idx="0">
                  <c:v>56</c:v>
                </c:pt>
                <c:pt idx="1">
                  <c:v>48</c:v>
                </c:pt>
                <c:pt idx="2">
                  <c:v>45</c:v>
                </c:pt>
                <c:pt idx="3">
                  <c:v>38</c:v>
                </c:pt>
                <c:pt idx="4">
                  <c:v>34</c:v>
                </c:pt>
              </c:numCache>
            </c:numRef>
          </c:val>
          <c:extLst>
            <c:ext xmlns:c16="http://schemas.microsoft.com/office/drawing/2014/chart" uri="{C3380CC4-5D6E-409C-BE32-E72D297353CC}">
              <c16:uniqueId val="{00000000-E753-40F1-8BF9-77775A04EE5C}"/>
            </c:ext>
          </c:extLst>
        </c:ser>
        <c:dLbls>
          <c:showLegendKey val="0"/>
          <c:showVal val="0"/>
          <c:showCatName val="0"/>
          <c:showSerName val="0"/>
          <c:showPercent val="0"/>
          <c:showBubbleSize val="0"/>
        </c:dLbls>
        <c:gapWidth val="182"/>
        <c:axId val="1099705448"/>
        <c:axId val="1099698232"/>
      </c:barChart>
      <c:catAx>
        <c:axId val="1099705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98232"/>
        <c:crosses val="autoZero"/>
        <c:auto val="1"/>
        <c:lblAlgn val="ctr"/>
        <c:lblOffset val="100"/>
        <c:noMultiLvlLbl val="0"/>
      </c:catAx>
      <c:valAx>
        <c:axId val="1099698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JSW00610.dotx</Template>
  <TotalTime>19</TotalTime>
  <Pages>21</Pages>
  <Words>3682</Words>
  <Characters>20991</Characters>
  <Application>Microsoft Office Word</Application>
  <DocSecurity>0</DocSecurity>
  <Lines>174</Lines>
  <Paragraphs>49</Paragraphs>
  <ScaleCrop>false</ScaleCrop>
  <Company>Microsoft</Company>
  <LinksUpToDate>false</LinksUpToDate>
  <CharactersWithSpaces>24624</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subject/>
  <dc:creator>Noir</dc:creator>
  <cp:keywords/>
  <dc:description/>
  <cp:lastModifiedBy>Jenny</cp:lastModifiedBy>
  <cp:revision>3</cp:revision>
  <cp:lastPrinted>2012-05-31T01:49:00Z</cp:lastPrinted>
  <dcterms:created xsi:type="dcterms:W3CDTF">2021-03-04T17:11:00Z</dcterms:created>
  <dcterms:modified xsi:type="dcterms:W3CDTF">2021-03-05T01:09:00Z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y fmtid="{D5CDD505-2E9C-101B-9397-08002B2CF9AE}" pid="29" name="AMWinEqns">
    <vt:bool>true</vt:bool>
  </property>
  <property fmtid="{D5CDD505-2E9C-101B-9397-08002B2CF9AE}" pid="30" name="AMEquationNumber2">
    <vt:lpwstr>(#S1.#E1)</vt:lpwstr>
  </property>
  <property fmtid="{D5CDD505-2E9C-101B-9397-08002B2CF9AE}" pid="31" name="AMEquationSection">
    <vt:lpwstr>1</vt:lpwstr>
  </property>
</Properties>
</file>