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40511" w14:textId="330B07DD" w:rsidR="000D68E2" w:rsidRPr="00CD3F04" w:rsidRDefault="00CD3F04" w:rsidP="00CD3F04">
      <w:pPr>
        <w:jc w:val="center"/>
        <w:rPr>
          <w:b/>
          <w:bCs/>
          <w:sz w:val="28"/>
          <w:szCs w:val="32"/>
        </w:rPr>
      </w:pPr>
      <w:r w:rsidRPr="00CD3F04">
        <w:rPr>
          <w:rFonts w:hint="eastAsia"/>
          <w:b/>
          <w:bCs/>
          <w:sz w:val="28"/>
          <w:szCs w:val="32"/>
        </w:rPr>
        <w:t>主动基金业绩比较基准选择研究</w:t>
      </w:r>
    </w:p>
    <w:p w14:paraId="2BAB1616" w14:textId="7D23EB09" w:rsidR="00B90DE9" w:rsidRDefault="00CD3F04" w:rsidP="00B90DE9">
      <w:r>
        <w:tab/>
      </w:r>
      <w:r w:rsidR="00B90DE9">
        <w:rPr>
          <w:rFonts w:hint="eastAsia"/>
        </w:rPr>
        <w:t>业绩比较基准的前身是“预期收益率”，由于监管要求不得使用“预期收益率”且将采取“实质重于形式”的判断方式，</w:t>
      </w:r>
      <w:r w:rsidR="00B90DE9" w:rsidRPr="00B90DE9">
        <w:rPr>
          <w:rFonts w:hint="eastAsia"/>
        </w:rPr>
        <w:t>管理人可以约定“业绩比较基准”或“业绩报酬计提标准”，但相关概念的使用应当与其合理内涵一致。</w:t>
      </w:r>
      <w:r w:rsidR="00B90DE9">
        <w:rPr>
          <w:rFonts w:hint="eastAsia"/>
        </w:rPr>
        <w:t>市场上的业绩比较基准主要有单一数值型、区间数值型、基准利率或市场化利率上做加减和指数或指数组合。</w:t>
      </w:r>
      <w:r w:rsidR="001C63CC">
        <w:rPr>
          <w:rFonts w:hint="eastAsia"/>
        </w:rPr>
        <w:t>业绩比较基准的含义是“及格线”，不同基金的业绩比较基准差异相对较大，</w:t>
      </w:r>
      <w:r w:rsidR="001C63CC" w:rsidRPr="001C63CC">
        <w:rPr>
          <w:rFonts w:hint="eastAsia"/>
        </w:rPr>
        <w:t>一般来说债券基金和货币基金的业绩比较基准会与某些债券指数或存款利率挂钩；而股票型基金和混合型基金等权益类基金的业绩比较基准通常是由某个股票指数和债券指数复合而成。对于非指数类的基金，我们可以通过实战业绩和业绩比较基准之间的差额来判断一个基金经理的主动管理能力。</w:t>
      </w:r>
    </w:p>
    <w:p w14:paraId="29A49221" w14:textId="091CD4E9" w:rsidR="001C63CC" w:rsidRDefault="001C63CC" w:rsidP="001C63CC">
      <w:r>
        <w:tab/>
      </w:r>
      <w:r>
        <w:rPr>
          <w:rFonts w:hint="eastAsia"/>
        </w:rPr>
        <w:t>业绩比较基准可以传递关于基金的一些额外的信息，</w:t>
      </w:r>
      <w:r w:rsidRPr="001C63CC">
        <w:rPr>
          <w:rFonts w:hint="eastAsia"/>
        </w:rPr>
        <w:t>包括基金的风险等级、基金经理管理能力、还有基金的投资风格等</w:t>
      </w:r>
      <w:r>
        <w:rPr>
          <w:rFonts w:hint="eastAsia"/>
        </w:rPr>
        <w:t>。比如</w:t>
      </w:r>
      <w:r w:rsidRPr="001C63CC">
        <w:rPr>
          <w:rFonts w:hint="eastAsia"/>
        </w:rPr>
        <w:t>A</w:t>
      </w:r>
      <w:r w:rsidRPr="001C63CC">
        <w:rPr>
          <w:rFonts w:hint="eastAsia"/>
        </w:rPr>
        <w:t>基金的业绩比较基准为：</w:t>
      </w:r>
      <w:r w:rsidRPr="001C63CC">
        <w:rPr>
          <w:rFonts w:hint="eastAsia"/>
        </w:rPr>
        <w:t>75%</w:t>
      </w:r>
      <w:r w:rsidRPr="001C63CC">
        <w:rPr>
          <w:rFonts w:hint="eastAsia"/>
        </w:rPr>
        <w:t>×沪深</w:t>
      </w:r>
      <w:r w:rsidRPr="001C63CC">
        <w:rPr>
          <w:rFonts w:hint="eastAsia"/>
        </w:rPr>
        <w:t>300</w:t>
      </w:r>
      <w:r w:rsidRPr="001C63CC">
        <w:rPr>
          <w:rFonts w:hint="eastAsia"/>
        </w:rPr>
        <w:t>指数收益率</w:t>
      </w:r>
      <w:r w:rsidRPr="001C63CC">
        <w:rPr>
          <w:rFonts w:hint="eastAsia"/>
        </w:rPr>
        <w:t>+25%</w:t>
      </w:r>
      <w:r w:rsidRPr="001C63CC">
        <w:rPr>
          <w:rFonts w:hint="eastAsia"/>
        </w:rPr>
        <w:t>×中</w:t>
      </w:r>
      <w:proofErr w:type="gramStart"/>
      <w:r w:rsidRPr="001C63CC">
        <w:rPr>
          <w:rFonts w:hint="eastAsia"/>
        </w:rPr>
        <w:t>证全债指数</w:t>
      </w:r>
      <w:proofErr w:type="gramEnd"/>
      <w:r w:rsidRPr="001C63CC">
        <w:rPr>
          <w:rFonts w:hint="eastAsia"/>
        </w:rPr>
        <w:t>收益率</w:t>
      </w:r>
      <w:r>
        <w:rPr>
          <w:rFonts w:hint="eastAsia"/>
        </w:rPr>
        <w:t>，</w:t>
      </w:r>
      <w:r w:rsidRPr="001C63CC">
        <w:rPr>
          <w:rFonts w:hint="eastAsia"/>
        </w:rPr>
        <w:t>B</w:t>
      </w:r>
      <w:r w:rsidRPr="001C63CC">
        <w:rPr>
          <w:rFonts w:hint="eastAsia"/>
        </w:rPr>
        <w:t>基金的业绩比较基准为：沪深</w:t>
      </w:r>
      <w:r w:rsidRPr="001C63CC">
        <w:rPr>
          <w:rFonts w:hint="eastAsia"/>
        </w:rPr>
        <w:t>300</w:t>
      </w:r>
      <w:r w:rsidRPr="001C63CC">
        <w:rPr>
          <w:rFonts w:hint="eastAsia"/>
        </w:rPr>
        <w:t>指数收益率×</w:t>
      </w:r>
      <w:r w:rsidRPr="001C63CC">
        <w:rPr>
          <w:rFonts w:hint="eastAsia"/>
        </w:rPr>
        <w:t>20%+</w:t>
      </w:r>
      <w:r w:rsidRPr="001C63CC">
        <w:rPr>
          <w:rFonts w:hint="eastAsia"/>
        </w:rPr>
        <w:t>中</w:t>
      </w:r>
      <w:proofErr w:type="gramStart"/>
      <w:r w:rsidRPr="001C63CC">
        <w:rPr>
          <w:rFonts w:hint="eastAsia"/>
        </w:rPr>
        <w:t>债总全价指数</w:t>
      </w:r>
      <w:proofErr w:type="gramEnd"/>
      <w:r w:rsidRPr="001C63CC">
        <w:rPr>
          <w:rFonts w:hint="eastAsia"/>
        </w:rPr>
        <w:t>收益率×</w:t>
      </w:r>
      <w:r w:rsidRPr="001C63CC">
        <w:rPr>
          <w:rFonts w:hint="eastAsia"/>
        </w:rPr>
        <w:t>80%</w:t>
      </w:r>
      <w:r>
        <w:rPr>
          <w:rFonts w:hint="eastAsia"/>
        </w:rPr>
        <w:t>，前者</w:t>
      </w:r>
      <w:proofErr w:type="gramStart"/>
      <w:r>
        <w:rPr>
          <w:rFonts w:hint="eastAsia"/>
        </w:rPr>
        <w:t>为</w:t>
      </w:r>
      <w:r w:rsidRPr="001C63CC">
        <w:rPr>
          <w:rFonts w:hint="eastAsia"/>
        </w:rPr>
        <w:t>偏股混合型</w:t>
      </w:r>
      <w:proofErr w:type="gramEnd"/>
      <w:r w:rsidRPr="001C63CC">
        <w:rPr>
          <w:rFonts w:hint="eastAsia"/>
        </w:rPr>
        <w:t>基金</w:t>
      </w:r>
      <w:r>
        <w:rPr>
          <w:rFonts w:hint="eastAsia"/>
        </w:rPr>
        <w:t>，后者</w:t>
      </w:r>
      <w:proofErr w:type="gramStart"/>
      <w:r>
        <w:rPr>
          <w:rFonts w:hint="eastAsia"/>
        </w:rPr>
        <w:t>为</w:t>
      </w:r>
      <w:r w:rsidRPr="001C63CC">
        <w:rPr>
          <w:rFonts w:hint="eastAsia"/>
        </w:rPr>
        <w:t>偏债混合型</w:t>
      </w:r>
      <w:proofErr w:type="gramEnd"/>
      <w:r w:rsidRPr="001C63CC">
        <w:rPr>
          <w:rFonts w:hint="eastAsia"/>
        </w:rPr>
        <w:t>基金</w:t>
      </w:r>
      <w:r>
        <w:rPr>
          <w:rFonts w:hint="eastAsia"/>
        </w:rPr>
        <w:t>，虽然所选用的股指基准相同，但是总得来说</w:t>
      </w:r>
      <w:r>
        <w:rPr>
          <w:rFonts w:hint="eastAsia"/>
        </w:rPr>
        <w:t>B</w:t>
      </w:r>
      <w:r>
        <w:rPr>
          <w:rFonts w:hint="eastAsia"/>
        </w:rPr>
        <w:t>基金的基准股票</w:t>
      </w:r>
      <w:proofErr w:type="gramStart"/>
      <w:r>
        <w:rPr>
          <w:rFonts w:hint="eastAsia"/>
        </w:rPr>
        <w:t>仓位</w:t>
      </w:r>
      <w:proofErr w:type="gramEnd"/>
      <w:r>
        <w:rPr>
          <w:rFonts w:hint="eastAsia"/>
        </w:rPr>
        <w:t>为</w:t>
      </w:r>
      <w:r>
        <w:rPr>
          <w:rFonts w:hint="eastAsia"/>
        </w:rPr>
        <w:t>2</w:t>
      </w:r>
      <w:r>
        <w:t>0</w:t>
      </w:r>
      <w:r>
        <w:rPr>
          <w:rFonts w:hint="eastAsia"/>
        </w:rPr>
        <w:t>%</w:t>
      </w:r>
      <w:r>
        <w:rPr>
          <w:rFonts w:hint="eastAsia"/>
        </w:rPr>
        <w:t>为</w:t>
      </w:r>
      <w:r>
        <w:rPr>
          <w:rFonts w:hint="eastAsia"/>
        </w:rPr>
        <w:t>A</w:t>
      </w:r>
      <w:r>
        <w:rPr>
          <w:rFonts w:hint="eastAsia"/>
        </w:rPr>
        <w:t>基金为</w:t>
      </w:r>
      <w:r>
        <w:rPr>
          <w:rFonts w:hint="eastAsia"/>
        </w:rPr>
        <w:t>7</w:t>
      </w:r>
      <w:r>
        <w:t>5</w:t>
      </w:r>
      <w:r>
        <w:rPr>
          <w:rFonts w:hint="eastAsia"/>
        </w:rPr>
        <w:t>%</w:t>
      </w:r>
      <w:r>
        <w:rPr>
          <w:rFonts w:hint="eastAsia"/>
        </w:rPr>
        <w:t>。基准同时提供了基金与相应的系统性风险的关系，</w:t>
      </w:r>
      <w:r w:rsidRPr="001C63CC">
        <w:rPr>
          <w:rFonts w:hint="eastAsia"/>
        </w:rPr>
        <w:t>不同的基金因投资范围、风格特征、资产配置比例等因素会有相对应的不同的系统性风险。不能简单地用是否跑赢大盘来评判基金管理团队的能力。而业绩比较基准却能帮助投资者弄清该基金与相应系统风险的关系，客观评价基金的管理团队能力的高低。</w:t>
      </w:r>
      <w:r>
        <w:rPr>
          <w:rFonts w:hint="eastAsia"/>
        </w:rPr>
        <w:t>选用的基准的指数代表了基金的操作风格，</w:t>
      </w:r>
      <w:r w:rsidRPr="001C63CC">
        <w:rPr>
          <w:rFonts w:hint="eastAsia"/>
        </w:rPr>
        <w:t>是基金风格的量化体现，因此业绩比较基准可以帮助投资者判断基金的投资风格</w:t>
      </w:r>
      <w:r>
        <w:rPr>
          <w:rFonts w:hint="eastAsia"/>
        </w:rPr>
        <w:t>，比如</w:t>
      </w:r>
      <w:r w:rsidRPr="001C63CC">
        <w:rPr>
          <w:rFonts w:hint="eastAsia"/>
        </w:rPr>
        <w:t>投资中小盘股的基金，一般会采用中小盘指数作为业绩比较基准的组成部分之一。</w:t>
      </w:r>
    </w:p>
    <w:p w14:paraId="3220AE69" w14:textId="2963C537" w:rsidR="006A41AF" w:rsidRDefault="006A41AF" w:rsidP="001C63CC">
      <w:r>
        <w:tab/>
      </w:r>
      <w:r w:rsidRPr="006A41AF">
        <w:rPr>
          <w:rFonts w:hint="eastAsia"/>
        </w:rPr>
        <w:t>主动型投资组合设置恰当的业绩比较基准呢，一般来说，当主动型投资组合经理在没有任何信息或者对于投资范围内证券的未来表现没有任何判断的情况下，他愿意持有的组合就是这个主动型投资组合的业绩比较基准了。换句话说，这个时候的业绩比较基准其实就是主动型投资组合经理的中性持仓（</w:t>
      </w:r>
      <w:r w:rsidRPr="006A41AF">
        <w:rPr>
          <w:rFonts w:hint="eastAsia"/>
        </w:rPr>
        <w:t>neutral positioning</w:t>
      </w:r>
      <w:r w:rsidRPr="006A41AF">
        <w:rPr>
          <w:rFonts w:hint="eastAsia"/>
        </w:rPr>
        <w:t>）了，在没有合理理由的情况下，投资组合是不应该偏离业绩比较基准所代表的组合的。</w:t>
      </w:r>
    </w:p>
    <w:p w14:paraId="7391A419" w14:textId="1637332A" w:rsidR="00F37097" w:rsidRDefault="00F37097" w:rsidP="001C63CC">
      <w:r>
        <w:tab/>
      </w:r>
      <w:r>
        <w:rPr>
          <w:rFonts w:hint="eastAsia"/>
        </w:rPr>
        <w:t>国外的共同基金业绩比较基准，除了</w:t>
      </w:r>
      <w:r w:rsidRPr="00F37097">
        <w:rPr>
          <w:rFonts w:hint="eastAsia"/>
        </w:rPr>
        <w:t>一致被动型指数</w:t>
      </w:r>
      <w:r>
        <w:rPr>
          <w:rFonts w:hint="eastAsia"/>
        </w:rPr>
        <w:t>、单资产投资组合、还可以是复制的模拟组合或者用估值技术计算出来的模拟的指数，比如房地产指数。</w:t>
      </w:r>
    </w:p>
    <w:p w14:paraId="5EB28A4D" w14:textId="27B53D28" w:rsidR="00402571" w:rsidRDefault="00402571" w:rsidP="001C63CC">
      <w:r>
        <w:tab/>
      </w:r>
      <w:r>
        <w:rPr>
          <w:rFonts w:hint="eastAsia"/>
        </w:rPr>
        <w:t>对于</w:t>
      </w:r>
      <w:r w:rsidR="00672DF2">
        <w:rPr>
          <w:rFonts w:hint="eastAsia"/>
        </w:rPr>
        <w:t>复合型业绩比较基准，我们需要再平衡机制（</w:t>
      </w:r>
      <w:r w:rsidR="00672DF2">
        <w:rPr>
          <w:rFonts w:hint="eastAsia"/>
        </w:rPr>
        <w:t>rebalance</w:t>
      </w:r>
      <w:r w:rsidR="00672DF2">
        <w:rPr>
          <w:rFonts w:hint="eastAsia"/>
        </w:rPr>
        <w:t>）因为其中的各类资产的权重会随着时间的推移改变。有三种方式进行再平衡，首先是根据目标权重连续对业绩比较基准进行再平衡，这个主要是由于不通过资产涨跌不一致、投资组合的资产配置比例偏离业绩遍及欧基准或者被动型指数和资产对应的指数表现不一致所导致的；其次是</w:t>
      </w:r>
      <w:r w:rsidR="00672DF2" w:rsidRPr="00672DF2">
        <w:rPr>
          <w:rFonts w:hint="eastAsia"/>
        </w:rPr>
        <w:t>根据不同资产指数的收益情况调整业绩比较基准的资产配置比例，长期来看，这种方法可能更加准确。周期性业绩比较基准再平衡或者重置（</w:t>
      </w:r>
      <w:proofErr w:type="gramStart"/>
      <w:r w:rsidR="00672DF2" w:rsidRPr="00672DF2">
        <w:rPr>
          <w:rFonts w:hint="eastAsia"/>
        </w:rPr>
        <w:t>重置回目标</w:t>
      </w:r>
      <w:proofErr w:type="gramEnd"/>
      <w:r w:rsidR="00672DF2" w:rsidRPr="00672DF2">
        <w:rPr>
          <w:rFonts w:hint="eastAsia"/>
        </w:rPr>
        <w:t>比例）应该与投资组合的调整保持同步</w:t>
      </w:r>
      <w:r w:rsidR="00672DF2">
        <w:rPr>
          <w:rFonts w:hint="eastAsia"/>
        </w:rPr>
        <w:t>；再次是加入负债的价值比如考虑</w:t>
      </w:r>
      <w:proofErr w:type="gramStart"/>
      <w:r w:rsidR="00672DF2">
        <w:rPr>
          <w:rFonts w:hint="eastAsia"/>
        </w:rPr>
        <w:t>负债久期的</w:t>
      </w:r>
      <w:proofErr w:type="gramEnd"/>
      <w:r w:rsidR="00672DF2">
        <w:rPr>
          <w:rFonts w:hint="eastAsia"/>
        </w:rPr>
        <w:t>影响，或者</w:t>
      </w:r>
      <w:r w:rsidR="00672DF2" w:rsidRPr="00672DF2">
        <w:rPr>
          <w:rFonts w:hint="eastAsia"/>
        </w:rPr>
        <w:t>基于投资目标的最优资产配置（</w:t>
      </w:r>
      <w:r w:rsidR="00672DF2" w:rsidRPr="00672DF2">
        <w:t>optimized</w:t>
      </w:r>
      <w:r w:rsidR="00672DF2" w:rsidRPr="00672DF2">
        <w:rPr>
          <w:rFonts w:hint="eastAsia"/>
        </w:rPr>
        <w:t xml:space="preserve"> asset allocation</w:t>
      </w:r>
      <w:r w:rsidR="00672DF2" w:rsidRPr="00672DF2">
        <w:rPr>
          <w:rFonts w:hint="eastAsia"/>
        </w:rPr>
        <w:t>）</w:t>
      </w:r>
      <w:r w:rsidR="00672DF2">
        <w:rPr>
          <w:rFonts w:hint="eastAsia"/>
        </w:rPr>
        <w:t>和</w:t>
      </w:r>
      <w:r w:rsidR="00672DF2">
        <w:rPr>
          <w:rFonts w:hint="eastAsia"/>
        </w:rPr>
        <w:t>A</w:t>
      </w:r>
      <w:r w:rsidR="00672DF2">
        <w:t>LM</w:t>
      </w:r>
      <w:r w:rsidR="00672DF2">
        <w:rPr>
          <w:rFonts w:hint="eastAsia"/>
        </w:rPr>
        <w:t>（</w:t>
      </w:r>
      <w:r w:rsidR="00672DF2">
        <w:rPr>
          <w:rFonts w:hint="eastAsia"/>
        </w:rPr>
        <w:t>Asset</w:t>
      </w:r>
      <w:r w:rsidR="00672DF2">
        <w:t xml:space="preserve"> L</w:t>
      </w:r>
      <w:r w:rsidR="00672DF2">
        <w:rPr>
          <w:rFonts w:hint="eastAsia"/>
        </w:rPr>
        <w:t>iability</w:t>
      </w:r>
      <w:r w:rsidR="00672DF2">
        <w:t xml:space="preserve"> M</w:t>
      </w:r>
      <w:r w:rsidR="00672DF2">
        <w:rPr>
          <w:rFonts w:hint="eastAsia"/>
        </w:rPr>
        <w:t>odel</w:t>
      </w:r>
      <w:r w:rsidR="00672DF2">
        <w:rPr>
          <w:rFonts w:hint="eastAsia"/>
        </w:rPr>
        <w:t>）模型。</w:t>
      </w:r>
    </w:p>
    <w:p w14:paraId="193E138E" w14:textId="5EA04DBE" w:rsidR="00672DF2" w:rsidRDefault="00672DF2" w:rsidP="00672DF2">
      <w:r>
        <w:tab/>
      </w:r>
      <w:r>
        <w:rPr>
          <w:rFonts w:hint="eastAsia"/>
        </w:rPr>
        <w:t>有效的业绩比较基准应该具备以下特征：</w:t>
      </w:r>
    </w:p>
    <w:p w14:paraId="574BC071" w14:textId="46D34E56" w:rsidR="00672DF2" w:rsidRDefault="00672DF2" w:rsidP="00672DF2">
      <w:pPr>
        <w:pStyle w:val="a6"/>
        <w:numPr>
          <w:ilvl w:val="0"/>
          <w:numId w:val="1"/>
        </w:numPr>
        <w:ind w:firstLineChars="0"/>
      </w:pPr>
      <w:r>
        <w:rPr>
          <w:rFonts w:hint="eastAsia"/>
        </w:rPr>
        <w:t>清晰。构成业绩比较基准的指数的成份证券是市场公认的，并且指数的在基准中的权重构成是清晰的。</w:t>
      </w:r>
    </w:p>
    <w:p w14:paraId="1829A1A8" w14:textId="33710AB1" w:rsidR="00672DF2" w:rsidRDefault="00672DF2" w:rsidP="00672DF2">
      <w:pPr>
        <w:pStyle w:val="a6"/>
        <w:numPr>
          <w:ilvl w:val="0"/>
          <w:numId w:val="1"/>
        </w:numPr>
        <w:ind w:firstLineChars="0"/>
      </w:pPr>
      <w:r>
        <w:rPr>
          <w:rFonts w:hint="eastAsia"/>
        </w:rPr>
        <w:t>可投资。可以越过主动管理直接使用指数</w:t>
      </w:r>
      <w:proofErr w:type="gramStart"/>
      <w:r>
        <w:rPr>
          <w:rFonts w:hint="eastAsia"/>
        </w:rPr>
        <w:t>化工具</w:t>
      </w:r>
      <w:proofErr w:type="gramEnd"/>
      <w:r>
        <w:rPr>
          <w:rFonts w:hint="eastAsia"/>
        </w:rPr>
        <w:t>复制某类资产业绩，即直接使用指数</w:t>
      </w:r>
      <w:proofErr w:type="gramStart"/>
      <w:r>
        <w:rPr>
          <w:rFonts w:hint="eastAsia"/>
        </w:rPr>
        <w:t>化工具</w:t>
      </w:r>
      <w:proofErr w:type="gramEnd"/>
      <w:r>
        <w:rPr>
          <w:rFonts w:hint="eastAsia"/>
        </w:rPr>
        <w:t>就能获得整个业绩比较基准的表现。</w:t>
      </w:r>
    </w:p>
    <w:p w14:paraId="6E46EC83" w14:textId="12B3ECCA" w:rsidR="00672DF2" w:rsidRDefault="00672DF2" w:rsidP="00672DF2">
      <w:pPr>
        <w:pStyle w:val="a6"/>
        <w:numPr>
          <w:ilvl w:val="0"/>
          <w:numId w:val="1"/>
        </w:numPr>
        <w:ind w:firstLineChars="0"/>
      </w:pPr>
      <w:r>
        <w:rPr>
          <w:rFonts w:hint="eastAsia"/>
        </w:rPr>
        <w:t>可衡量。给定时间窗口，业绩比较基准的业绩表现可以量化成数量指标。</w:t>
      </w:r>
    </w:p>
    <w:p w14:paraId="519DE019" w14:textId="1B8FB59C" w:rsidR="00672DF2" w:rsidRDefault="00672DF2" w:rsidP="00672DF2">
      <w:pPr>
        <w:pStyle w:val="a6"/>
        <w:numPr>
          <w:ilvl w:val="0"/>
          <w:numId w:val="1"/>
        </w:numPr>
        <w:ind w:firstLineChars="0"/>
      </w:pPr>
      <w:r>
        <w:rPr>
          <w:rFonts w:hint="eastAsia"/>
        </w:rPr>
        <w:t>恰当。业绩比较基准能较好的反映投资策略的表现以及组合经理的投资风格。</w:t>
      </w:r>
    </w:p>
    <w:p w14:paraId="30AB09C8" w14:textId="77777777" w:rsidR="00672DF2" w:rsidRDefault="00672DF2" w:rsidP="00672DF2">
      <w:pPr>
        <w:pStyle w:val="a6"/>
        <w:numPr>
          <w:ilvl w:val="0"/>
          <w:numId w:val="1"/>
        </w:numPr>
        <w:ind w:firstLineChars="0"/>
      </w:pPr>
      <w:r>
        <w:rPr>
          <w:rFonts w:hint="eastAsia"/>
        </w:rPr>
        <w:t>反映当前投资观点。组合经理对于构成业绩比较基准的基础证券以及因子暴露</w:t>
      </w:r>
      <w:r>
        <w:rPr>
          <w:rFonts w:hint="eastAsia"/>
        </w:rPr>
        <w:lastRenderedPageBreak/>
        <w:t>（</w:t>
      </w:r>
      <w:r>
        <w:rPr>
          <w:rFonts w:hint="eastAsia"/>
        </w:rPr>
        <w:t>factor exposures</w:t>
      </w:r>
      <w:r>
        <w:rPr>
          <w:rFonts w:hint="eastAsia"/>
        </w:rPr>
        <w:t>）有及时全面的了解。</w:t>
      </w:r>
    </w:p>
    <w:p w14:paraId="6EF7DCE1" w14:textId="7336EC4C" w:rsidR="00672DF2" w:rsidRPr="00672DF2" w:rsidRDefault="00672DF2" w:rsidP="00672DF2">
      <w:pPr>
        <w:pStyle w:val="a6"/>
        <w:numPr>
          <w:ilvl w:val="0"/>
          <w:numId w:val="1"/>
        </w:numPr>
        <w:ind w:firstLineChars="0"/>
      </w:pPr>
      <w:r>
        <w:rPr>
          <w:rFonts w:hint="eastAsia"/>
        </w:rPr>
        <w:t>提前制定。业绩比较基准的制定和公布要先于业绩评估。</w:t>
      </w:r>
    </w:p>
    <w:p w14:paraId="25D03ADA" w14:textId="6C49D951" w:rsidR="00672DF2" w:rsidRDefault="00DD4857" w:rsidP="00DD4857">
      <w:pPr>
        <w:ind w:firstLine="420"/>
      </w:pPr>
      <w:r>
        <w:rPr>
          <w:rFonts w:hint="eastAsia"/>
        </w:rPr>
        <w:t>国外的对冲基金指数主要分为不可投资型（</w:t>
      </w:r>
      <w:r>
        <w:rPr>
          <w:rFonts w:hint="eastAsia"/>
        </w:rPr>
        <w:t>non-investable</w:t>
      </w:r>
      <w:r>
        <w:rPr>
          <w:rFonts w:hint="eastAsia"/>
        </w:rPr>
        <w:t>）、可投资型（</w:t>
      </w:r>
      <w:r>
        <w:rPr>
          <w:rFonts w:hint="eastAsia"/>
        </w:rPr>
        <w:t>investable</w:t>
      </w:r>
      <w:r>
        <w:rPr>
          <w:rFonts w:hint="eastAsia"/>
        </w:rPr>
        <w:t>）、复制指数型（</w:t>
      </w:r>
      <w:r>
        <w:rPr>
          <w:rFonts w:hint="eastAsia"/>
        </w:rPr>
        <w:t>replication</w:t>
      </w:r>
      <w:r>
        <w:t xml:space="preserve"> </w:t>
      </w:r>
      <w:r>
        <w:rPr>
          <w:rFonts w:hint="eastAsia"/>
        </w:rPr>
        <w:t>indices</w:t>
      </w:r>
      <w:r>
        <w:rPr>
          <w:rFonts w:hint="eastAsia"/>
        </w:rPr>
        <w:t>）这三种。（具体内容参见报告</w:t>
      </w:r>
      <w:proofErr w:type="gramStart"/>
      <w:r>
        <w:rPr>
          <w:rFonts w:hint="eastAsia"/>
        </w:rPr>
        <w:t>《</w:t>
      </w:r>
      <w:r>
        <w:rPr>
          <w:rFonts w:hint="eastAsia"/>
        </w:rPr>
        <w:t>&lt;</w:t>
      </w:r>
      <w:r>
        <w:rPr>
          <w:rFonts w:hint="eastAsia"/>
        </w:rPr>
        <w:t>多资产投资</w:t>
      </w:r>
      <w:r>
        <w:rPr>
          <w:rFonts w:hint="eastAsia"/>
        </w:rPr>
        <w:t>&gt;-</w:t>
      </w:r>
      <w:r>
        <w:rPr>
          <w:rFonts w:hint="eastAsia"/>
        </w:rPr>
        <w:t>业绩比较基准》合晶睿智</w:t>
      </w:r>
      <w:proofErr w:type="gramEnd"/>
      <w:r>
        <w:t xml:space="preserve">https://mp.weixin.qq.com/s/nBvlTHMWDUi4INVGLv_WSg </w:t>
      </w:r>
      <w:r>
        <w:rPr>
          <w:rFonts w:hint="eastAsia"/>
        </w:rPr>
        <w:t>）而国内的对冲基金基准</w:t>
      </w:r>
      <w:r w:rsidR="00F627F4">
        <w:rPr>
          <w:rFonts w:hint="eastAsia"/>
        </w:rPr>
        <w:t>均为浮动基准加上对应的固定基准，比如</w:t>
      </w:r>
      <w:r w:rsidR="00F627F4" w:rsidRPr="00F627F4">
        <w:rPr>
          <w:rFonts w:hint="eastAsia"/>
        </w:rPr>
        <w:t>中国人民银行公布的一年期银行定期存款基准利率</w:t>
      </w:r>
      <w:r w:rsidR="00F627F4" w:rsidRPr="00F627F4">
        <w:rPr>
          <w:rFonts w:hint="eastAsia"/>
        </w:rPr>
        <w:t>(</w:t>
      </w:r>
      <w:r w:rsidR="00F627F4" w:rsidRPr="00F627F4">
        <w:rPr>
          <w:rFonts w:hint="eastAsia"/>
        </w:rPr>
        <w:t>税后</w:t>
      </w:r>
      <w:r w:rsidR="00F627F4" w:rsidRPr="00F627F4">
        <w:rPr>
          <w:rFonts w:hint="eastAsia"/>
        </w:rPr>
        <w:t>)</w:t>
      </w:r>
      <w:r w:rsidR="00F627F4">
        <w:rPr>
          <w:rFonts w:hint="eastAsia"/>
        </w:rPr>
        <w:t>+</w:t>
      </w:r>
      <w:r w:rsidR="00F627F4">
        <w:t>1</w:t>
      </w:r>
      <w:r w:rsidR="00F627F4">
        <w:rPr>
          <w:rFonts w:hint="eastAsia"/>
        </w:rPr>
        <w:t>%</w:t>
      </w:r>
      <w:r w:rsidR="00F627F4">
        <w:rPr>
          <w:rFonts w:hint="eastAsia"/>
        </w:rPr>
        <w:t>。</w:t>
      </w:r>
    </w:p>
    <w:p w14:paraId="6822DD80" w14:textId="153F5A43" w:rsidR="00F627F4" w:rsidRDefault="00F627F4" w:rsidP="00DD4857">
      <w:pPr>
        <w:ind w:firstLine="420"/>
      </w:pPr>
      <w:r w:rsidRPr="00F627F4">
        <w:rPr>
          <w:rFonts w:hint="eastAsia"/>
        </w:rPr>
        <w:t>公</w:t>
      </w:r>
      <w:proofErr w:type="gramStart"/>
      <w:r w:rsidRPr="00F627F4">
        <w:rPr>
          <w:rFonts w:hint="eastAsia"/>
        </w:rPr>
        <w:t>募基金</w:t>
      </w:r>
      <w:proofErr w:type="gramEnd"/>
      <w:r w:rsidRPr="00F627F4">
        <w:rPr>
          <w:rFonts w:hint="eastAsia"/>
        </w:rPr>
        <w:t>股票基准指数多采用市场内通用且受到广泛认知的指数产品，指数产品基于收益处理方式的差异可将股票指数分为价格指数、</w:t>
      </w:r>
      <w:proofErr w:type="gramStart"/>
      <w:r w:rsidRPr="00F627F4">
        <w:rPr>
          <w:rFonts w:hint="eastAsia"/>
        </w:rPr>
        <w:t>全收益</w:t>
      </w:r>
      <w:proofErr w:type="gramEnd"/>
      <w:r w:rsidRPr="00F627F4">
        <w:rPr>
          <w:rFonts w:hint="eastAsia"/>
        </w:rPr>
        <w:t>指数与净收益指数三类。股票价格指数反映的是一篮子股票价格水平的变动，计算过程中仅</w:t>
      </w:r>
      <w:proofErr w:type="gramStart"/>
      <w:r w:rsidRPr="00F627F4">
        <w:rPr>
          <w:rFonts w:hint="eastAsia"/>
        </w:rPr>
        <w:t>考量</w:t>
      </w:r>
      <w:proofErr w:type="gramEnd"/>
      <w:r w:rsidRPr="00F627F4">
        <w:rPr>
          <w:rFonts w:hint="eastAsia"/>
        </w:rPr>
        <w:t>股票价格的波动，而不考虑上市公司分红所带来的影响；与之相比，</w:t>
      </w:r>
      <w:proofErr w:type="gramStart"/>
      <w:r w:rsidRPr="00F627F4">
        <w:rPr>
          <w:rFonts w:hint="eastAsia"/>
        </w:rPr>
        <w:t>全收益</w:t>
      </w:r>
      <w:proofErr w:type="gramEnd"/>
      <w:r w:rsidRPr="00F627F4">
        <w:rPr>
          <w:rFonts w:hint="eastAsia"/>
        </w:rPr>
        <w:t>指数除纳入股票价格波动的计算，还包含股票</w:t>
      </w:r>
      <w:proofErr w:type="gramStart"/>
      <w:r w:rsidRPr="00F627F4">
        <w:rPr>
          <w:rFonts w:hint="eastAsia"/>
        </w:rPr>
        <w:t>分红再</w:t>
      </w:r>
      <w:proofErr w:type="gramEnd"/>
      <w:r w:rsidRPr="00F627F4">
        <w:rPr>
          <w:rFonts w:hint="eastAsia"/>
        </w:rPr>
        <w:t>投资所产生的收益，此处的指数计算主要考虑现金分红；进一步，净收益指数在</w:t>
      </w:r>
      <w:proofErr w:type="gramStart"/>
      <w:r w:rsidRPr="00F627F4">
        <w:rPr>
          <w:rFonts w:hint="eastAsia"/>
        </w:rPr>
        <w:t>全收益</w:t>
      </w:r>
      <w:proofErr w:type="gramEnd"/>
      <w:r w:rsidRPr="00F627F4">
        <w:rPr>
          <w:rFonts w:hint="eastAsia"/>
        </w:rPr>
        <w:t>指数的基础上考虑税收问题，剔除现金分红中缴税带来的影响</w:t>
      </w:r>
      <w:r w:rsidRPr="00F627F4">
        <w:rPr>
          <w:rFonts w:hint="eastAsia"/>
        </w:rPr>
        <w:t>[1]</w:t>
      </w:r>
      <w:r w:rsidRPr="00F627F4">
        <w:rPr>
          <w:rFonts w:hint="eastAsia"/>
        </w:rPr>
        <w:t>。收益指数（指</w:t>
      </w:r>
      <w:proofErr w:type="gramStart"/>
      <w:r w:rsidRPr="00F627F4">
        <w:rPr>
          <w:rFonts w:hint="eastAsia"/>
        </w:rPr>
        <w:t>代全收益</w:t>
      </w:r>
      <w:proofErr w:type="gramEnd"/>
      <w:r w:rsidRPr="00F627F4">
        <w:rPr>
          <w:rFonts w:hint="eastAsia"/>
        </w:rPr>
        <w:t>指数和净收益指数，下同）更多遵循公</w:t>
      </w:r>
      <w:proofErr w:type="gramStart"/>
      <w:r w:rsidRPr="00F627F4">
        <w:rPr>
          <w:rFonts w:hint="eastAsia"/>
        </w:rPr>
        <w:t>募基金</w:t>
      </w:r>
      <w:proofErr w:type="gramEnd"/>
      <w:r w:rsidRPr="00F627F4">
        <w:rPr>
          <w:rFonts w:hint="eastAsia"/>
        </w:rPr>
        <w:t>相似的运作模式，股利将自动重新投资到基金本身，考虑到我国上市公司股利支付水平和复利影响，长期而言价格指数和收益指数的收益率将有所差异。</w:t>
      </w:r>
    </w:p>
    <w:p w14:paraId="3A766EEB" w14:textId="0CF00EC2" w:rsidR="00F627F4" w:rsidRDefault="00AF589C" w:rsidP="00DD4857">
      <w:pPr>
        <w:ind w:firstLine="420"/>
      </w:pPr>
      <w:r w:rsidRPr="00AF589C">
        <w:rPr>
          <w:rFonts w:hint="eastAsia"/>
        </w:rPr>
        <w:t>1995</w:t>
      </w:r>
      <w:r w:rsidRPr="00AF589C">
        <w:rPr>
          <w:rFonts w:hint="eastAsia"/>
        </w:rPr>
        <w:t>年，</w:t>
      </w:r>
      <w:r w:rsidRPr="00AF589C">
        <w:rPr>
          <w:rFonts w:hint="eastAsia"/>
        </w:rPr>
        <w:t>Tierney</w:t>
      </w:r>
      <w:r w:rsidRPr="00AF589C">
        <w:rPr>
          <w:rFonts w:hint="eastAsia"/>
        </w:rPr>
        <w:t>和</w:t>
      </w:r>
      <w:r w:rsidRPr="00AF589C">
        <w:rPr>
          <w:rFonts w:hint="eastAsia"/>
        </w:rPr>
        <w:t>Bailey</w:t>
      </w:r>
      <w:r w:rsidRPr="00AF589C">
        <w:rPr>
          <w:rFonts w:hint="eastAsia"/>
        </w:rPr>
        <w:t>在原有研究的基础上，在“</w:t>
      </w:r>
      <w:r w:rsidRPr="00AF589C">
        <w:rPr>
          <w:rFonts w:hint="eastAsia"/>
        </w:rPr>
        <w:t>Benchmark Orthogonally Properties</w:t>
      </w:r>
      <w:r w:rsidRPr="00AF589C">
        <w:rPr>
          <w:rFonts w:hint="eastAsia"/>
        </w:rPr>
        <w:t>”一文中提出可应用正交属性来检测基准组合的适用性，进一步量化了适用性的判断方式。</w:t>
      </w:r>
      <w:r w:rsidR="00F627F4" w:rsidRPr="00F627F4">
        <w:rPr>
          <w:rFonts w:hint="eastAsia"/>
        </w:rPr>
        <w:t>《业绩比较基准的适用性考察——以股票型基金为例》</w:t>
      </w:r>
      <w:r w:rsidR="00F627F4">
        <w:rPr>
          <w:rFonts w:hint="eastAsia"/>
        </w:rPr>
        <w:t>这篇</w:t>
      </w:r>
      <w:r w:rsidR="00F627F4" w:rsidRPr="00F627F4">
        <w:rPr>
          <w:rFonts w:hint="eastAsia"/>
        </w:rPr>
        <w:t>报告采用正交属性判断方式探讨我国主动</w:t>
      </w:r>
      <w:proofErr w:type="gramStart"/>
      <w:r w:rsidR="00F627F4" w:rsidRPr="00F627F4">
        <w:rPr>
          <w:rFonts w:hint="eastAsia"/>
        </w:rPr>
        <w:t>股基业绩</w:t>
      </w:r>
      <w:proofErr w:type="gramEnd"/>
      <w:r w:rsidR="00F627F4" w:rsidRPr="00F627F4">
        <w:rPr>
          <w:rFonts w:hint="eastAsia"/>
        </w:rPr>
        <w:t>比较基准适用性，</w:t>
      </w:r>
      <w:r w:rsidR="00F627F4">
        <w:rPr>
          <w:rFonts w:hint="eastAsia"/>
        </w:rPr>
        <w:t>即</w:t>
      </w:r>
      <w:r w:rsidR="00F627F4" w:rsidRPr="00F627F4">
        <w:rPr>
          <w:rFonts w:hint="eastAsia"/>
        </w:rPr>
        <w:t>基金组合对基准组合的敏感系数β是否更为靠近</w:t>
      </w:r>
      <w:r w:rsidR="00F627F4" w:rsidRPr="00F627F4">
        <w:rPr>
          <w:rFonts w:hint="eastAsia"/>
        </w:rPr>
        <w:t>1</w:t>
      </w:r>
      <w:r w:rsidR="00F627F4" w:rsidRPr="00F627F4">
        <w:rPr>
          <w:rFonts w:hint="eastAsia"/>
        </w:rPr>
        <w:t>，如基准组合能够正确反映基金经理的投资风格，且能对基金组合业绩做出客观、正确的评价，则该系数应等于</w:t>
      </w:r>
      <w:r w:rsidR="00F627F4" w:rsidRPr="00F627F4">
        <w:rPr>
          <w:rFonts w:hint="eastAsia"/>
        </w:rPr>
        <w:t>1</w:t>
      </w:r>
      <w:r w:rsidR="00F627F4" w:rsidRPr="00F627F4">
        <w:rPr>
          <w:rFonts w:hint="eastAsia"/>
        </w:rPr>
        <w:t>：</w:t>
      </w:r>
    </w:p>
    <w:p w14:paraId="261EE1BA" w14:textId="1133D56C" w:rsidR="00715753" w:rsidRPr="00715753" w:rsidRDefault="00715753" w:rsidP="00715753">
      <w:pPr>
        <w:pStyle w:val="AMDisplayEquation"/>
      </w:pPr>
      <w:r>
        <w:tab/>
      </w:r>
      <w:r w:rsidRPr="00715753">
        <w:rPr>
          <w:position w:val="-24"/>
        </w:rPr>
        <w:object w:dxaOrig="4161" w:dyaOrig="600" w14:anchorId="6F653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15pt;height:30.05pt" o:ole="">
            <v:imagedata r:id="rId5" o:title=""/>
          </v:shape>
          <o:OLEObject Type="Embed" ProgID="Equation.AxMath" ShapeID="_x0000_i1025" DrawAspect="Content" ObjectID="_1675779571" r:id="rId6"/>
        </w:object>
      </w:r>
    </w:p>
    <w:p w14:paraId="70BD9C6C" w14:textId="58446A34" w:rsidR="00715753" w:rsidRDefault="00E81579" w:rsidP="001C63CC">
      <w:pPr>
        <w:ind w:firstLine="420"/>
      </w:pPr>
      <w:r>
        <w:rPr>
          <w:rFonts w:hint="eastAsia"/>
        </w:rPr>
        <w:t>相关研究实证结果表明</w:t>
      </w:r>
      <w:r w:rsidRPr="00E81579">
        <w:rPr>
          <w:rFonts w:hint="eastAsia"/>
        </w:rPr>
        <w:t>对于股票</w:t>
      </w:r>
      <w:proofErr w:type="gramStart"/>
      <w:r w:rsidRPr="00E81579">
        <w:rPr>
          <w:rFonts w:hint="eastAsia"/>
        </w:rPr>
        <w:t>仓位</w:t>
      </w:r>
      <w:proofErr w:type="gramEnd"/>
      <w:r w:rsidRPr="00E81579">
        <w:rPr>
          <w:rFonts w:hint="eastAsia"/>
        </w:rPr>
        <w:t>高且股利收入水平占比高的产品，采用净收益指数或</w:t>
      </w:r>
      <w:proofErr w:type="gramStart"/>
      <w:r w:rsidRPr="00E81579">
        <w:rPr>
          <w:rFonts w:hint="eastAsia"/>
        </w:rPr>
        <w:t>全收益</w:t>
      </w:r>
      <w:proofErr w:type="gramEnd"/>
      <w:r w:rsidRPr="00E81579">
        <w:rPr>
          <w:rFonts w:hint="eastAsia"/>
        </w:rPr>
        <w:t>指数能够较大幅度提高其基准的适用性。</w:t>
      </w:r>
    </w:p>
    <w:p w14:paraId="53AB3411" w14:textId="52065ADD" w:rsidR="00E81579" w:rsidRDefault="00E81579" w:rsidP="001C63CC">
      <w:pPr>
        <w:ind w:firstLine="420"/>
      </w:pPr>
      <w:r>
        <w:rPr>
          <w:rFonts w:hint="eastAsia"/>
        </w:rPr>
        <w:t>美国基准通常选用单一指数，横向比较便利化程序较高，只有少数共同基金产品对</w:t>
      </w:r>
      <w:proofErr w:type="gramStart"/>
      <w:r>
        <w:rPr>
          <w:rFonts w:hint="eastAsia"/>
        </w:rPr>
        <w:t>标多只指数</w:t>
      </w:r>
      <w:proofErr w:type="gramEnd"/>
      <w:r>
        <w:rPr>
          <w:rFonts w:hint="eastAsia"/>
        </w:rPr>
        <w:t>作为附加指数</w:t>
      </w:r>
      <w:r w:rsidRPr="00E81579">
        <w:rPr>
          <w:rFonts w:hint="eastAsia"/>
        </w:rPr>
        <w:t>在保障共同基金产品横向比较便利性的基础上，能够更为突出产品特定投资方向，增强相对收益的真实性与客观性。</w:t>
      </w:r>
      <w:r>
        <w:rPr>
          <w:rFonts w:hint="eastAsia"/>
        </w:rPr>
        <w:t>我国公</w:t>
      </w:r>
      <w:proofErr w:type="gramStart"/>
      <w:r>
        <w:rPr>
          <w:rFonts w:hint="eastAsia"/>
        </w:rPr>
        <w:t>募基金</w:t>
      </w:r>
      <w:proofErr w:type="gramEnd"/>
      <w:r>
        <w:rPr>
          <w:rFonts w:hint="eastAsia"/>
        </w:rPr>
        <w:t>业绩比较基准样式复杂，采用单一指数基准的情况较为少见。</w:t>
      </w:r>
      <w:r w:rsidRPr="00E81579">
        <w:rPr>
          <w:rFonts w:hint="eastAsia"/>
        </w:rPr>
        <w:t>虽然我国业绩比较基准设计呈现出多元化程度高的特征，但具体到各类资产代表指数的选取上，主动管理基金表现出了较强的趋同性，小</w:t>
      </w:r>
      <w:proofErr w:type="gramStart"/>
      <w:r w:rsidRPr="00E81579">
        <w:rPr>
          <w:rFonts w:hint="eastAsia"/>
        </w:rPr>
        <w:t>众指数</w:t>
      </w:r>
      <w:proofErr w:type="gramEnd"/>
      <w:r w:rsidRPr="00E81579">
        <w:rPr>
          <w:rFonts w:hint="eastAsia"/>
        </w:rPr>
        <w:t>少数存在。</w:t>
      </w:r>
    </w:p>
    <w:p w14:paraId="09188761" w14:textId="10CB3F09" w:rsidR="00E81579" w:rsidRDefault="00E81579" w:rsidP="001C63CC">
      <w:pPr>
        <w:ind w:firstLine="420"/>
      </w:pPr>
      <w:r>
        <w:rPr>
          <w:rFonts w:ascii="Microsoft YaHei UI" w:eastAsia="Microsoft YaHei UI" w:hAnsi="Microsoft YaHei UI" w:hint="eastAsia"/>
          <w:i/>
          <w:iCs/>
          <w:color w:val="000000"/>
          <w:sz w:val="18"/>
          <w:szCs w:val="18"/>
          <w:shd w:val="clear" w:color="auto" w:fill="FFFFFF"/>
        </w:rPr>
        <w:t>表1-1.美各类型基金债券指数选择（股票基金）</w:t>
      </w:r>
    </w:p>
    <w:tbl>
      <w:tblPr>
        <w:tblW w:w="8565" w:type="dxa"/>
        <w:shd w:val="clear" w:color="auto" w:fill="FFFFFF"/>
        <w:tblCellMar>
          <w:left w:w="0" w:type="dxa"/>
          <w:right w:w="0" w:type="dxa"/>
        </w:tblCellMar>
        <w:tblLook w:val="04A0" w:firstRow="1" w:lastRow="0" w:firstColumn="1" w:lastColumn="0" w:noHBand="0" w:noVBand="1"/>
      </w:tblPr>
      <w:tblGrid>
        <w:gridCol w:w="5712"/>
        <w:gridCol w:w="1225"/>
        <w:gridCol w:w="1628"/>
      </w:tblGrid>
      <w:tr w:rsidR="00E81579" w:rsidRPr="00E81579" w14:paraId="6666CBCE" w14:textId="77777777" w:rsidTr="00E81579">
        <w:trPr>
          <w:trHeight w:val="191"/>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59FE3CAE" w14:textId="77777777" w:rsidR="00E81579" w:rsidRPr="00E81579" w:rsidRDefault="00E81579" w:rsidP="00E81579">
            <w:pPr>
              <w:widowControl/>
              <w:wordWrap w:val="0"/>
              <w:jc w:val="center"/>
              <w:rPr>
                <w:rFonts w:ascii="Microsoft YaHei UI" w:eastAsia="Microsoft YaHei UI" w:hAnsi="Microsoft YaHei UI" w:cs="宋体"/>
                <w:b/>
                <w:bCs/>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指数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96AC4E4" w14:textId="77777777" w:rsidR="00E81579" w:rsidRPr="00E81579" w:rsidRDefault="00E81579" w:rsidP="00E81579">
            <w:pPr>
              <w:widowControl/>
              <w:wordWrap w:val="0"/>
              <w:jc w:val="center"/>
              <w:rPr>
                <w:rFonts w:ascii="Microsoft YaHei UI" w:eastAsia="Microsoft YaHei UI" w:hAnsi="Microsoft YaHei UI" w:cs="宋体"/>
                <w:b/>
                <w:bCs/>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只数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01024F6" w14:textId="77777777" w:rsidR="00E81579" w:rsidRPr="00E81579" w:rsidRDefault="00E81579" w:rsidP="00E81579">
            <w:pPr>
              <w:widowControl/>
              <w:wordWrap w:val="0"/>
              <w:jc w:val="center"/>
              <w:rPr>
                <w:rFonts w:ascii="Microsoft YaHei UI" w:eastAsia="Microsoft YaHei UI" w:hAnsi="Microsoft YaHei UI" w:cs="宋体"/>
                <w:b/>
                <w:bCs/>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占比</w:t>
            </w:r>
          </w:p>
        </w:tc>
      </w:tr>
      <w:tr w:rsidR="00E81579" w:rsidRPr="00E81579" w14:paraId="442942EB"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0A580E5"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S&amp;P 500 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84E899D"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652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8021D42"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0.2064</w:t>
            </w:r>
          </w:p>
        </w:tc>
      </w:tr>
      <w:tr w:rsidR="00E81579" w:rsidRPr="00E81579" w14:paraId="637C5702"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DF91852"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RUSSELL 2000 INDEX</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826F1A8"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213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9119B36"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0.0674</w:t>
            </w:r>
          </w:p>
        </w:tc>
      </w:tr>
      <w:tr w:rsidR="00E81579" w:rsidRPr="00E81579" w14:paraId="62F13B49"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422D340"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MSCI EAFE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70F0AD4"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156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71F32EB"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0.0494</w:t>
            </w:r>
          </w:p>
        </w:tc>
      </w:tr>
      <w:tr w:rsidR="00E81579" w:rsidRPr="00E81579" w14:paraId="0E793728"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B7C3829"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RUSSELL 1000 VALUE INDEX</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783522A"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146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13F3E3DC"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0.0462</w:t>
            </w:r>
          </w:p>
        </w:tc>
      </w:tr>
      <w:tr w:rsidR="00E81579" w:rsidRPr="00E81579" w14:paraId="69D9772E"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B45B0E7"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RUSSELL 1000 GROWTH INDX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BA070AD"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134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50F5FC1"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0.0424</w:t>
            </w:r>
          </w:p>
        </w:tc>
      </w:tr>
    </w:tbl>
    <w:p w14:paraId="14BB9585" w14:textId="3EEE6024" w:rsidR="00E81579" w:rsidRDefault="00E81579" w:rsidP="001C63CC">
      <w:pPr>
        <w:ind w:firstLine="420"/>
      </w:pPr>
    </w:p>
    <w:p w14:paraId="59EB2AAE" w14:textId="3D84D306" w:rsidR="00E81579" w:rsidRDefault="00E81579" w:rsidP="001C63CC">
      <w:pPr>
        <w:ind w:firstLine="420"/>
      </w:pPr>
      <w:r>
        <w:rPr>
          <w:rFonts w:ascii="Microsoft YaHei UI" w:eastAsia="Microsoft YaHei UI" w:hAnsi="Microsoft YaHei UI" w:hint="eastAsia"/>
          <w:i/>
          <w:iCs/>
          <w:color w:val="000000"/>
          <w:sz w:val="18"/>
          <w:szCs w:val="18"/>
          <w:shd w:val="clear" w:color="auto" w:fill="FFFFFF"/>
        </w:rPr>
        <w:t>表2.各类型基金基准组合设计多样性</w:t>
      </w:r>
    </w:p>
    <w:tbl>
      <w:tblPr>
        <w:tblW w:w="8565" w:type="dxa"/>
        <w:shd w:val="clear" w:color="auto" w:fill="FFFFFF"/>
        <w:tblCellMar>
          <w:left w:w="0" w:type="dxa"/>
          <w:right w:w="0" w:type="dxa"/>
        </w:tblCellMar>
        <w:tblLook w:val="04A0" w:firstRow="1" w:lastRow="0" w:firstColumn="1" w:lastColumn="0" w:noHBand="0" w:noVBand="1"/>
      </w:tblPr>
      <w:tblGrid>
        <w:gridCol w:w="1129"/>
        <w:gridCol w:w="971"/>
        <w:gridCol w:w="4229"/>
        <w:gridCol w:w="2236"/>
      </w:tblGrid>
      <w:tr w:rsidR="00E81579" w:rsidRPr="00E81579" w14:paraId="416494B7" w14:textId="77777777" w:rsidTr="00E8157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B4DCF32" w14:textId="77777777" w:rsidR="00E81579" w:rsidRPr="00E81579" w:rsidRDefault="00E81579" w:rsidP="00E81579">
            <w:pPr>
              <w:widowControl/>
              <w:wordWrap w:val="0"/>
              <w:jc w:val="center"/>
              <w:rPr>
                <w:rFonts w:ascii="Microsoft YaHei UI" w:eastAsia="Microsoft YaHei UI" w:hAnsi="Microsoft YaHei UI" w:cs="宋体"/>
                <w:b/>
                <w:bCs/>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lastRenderedPageBreak/>
              <w:t>基金类型</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312B483" w14:textId="77777777" w:rsidR="00E81579" w:rsidRPr="00E81579" w:rsidRDefault="00E81579" w:rsidP="00E81579">
            <w:pPr>
              <w:widowControl/>
              <w:wordWrap w:val="0"/>
              <w:jc w:val="center"/>
              <w:rPr>
                <w:rFonts w:ascii="Microsoft YaHei UI" w:eastAsia="Microsoft YaHei UI" w:hAnsi="Microsoft YaHei UI" w:cs="宋体"/>
                <w:b/>
                <w:bCs/>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产品数量</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FA3EF77" w14:textId="77777777" w:rsidR="00E81579" w:rsidRPr="00E81579" w:rsidRDefault="00E81579" w:rsidP="00E81579">
            <w:pPr>
              <w:widowControl/>
              <w:wordWrap w:val="0"/>
              <w:jc w:val="center"/>
              <w:rPr>
                <w:rFonts w:ascii="Microsoft YaHei UI" w:eastAsia="Microsoft YaHei UI" w:hAnsi="Microsoft YaHei UI" w:cs="宋体"/>
                <w:b/>
                <w:bCs/>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选用最多的基准</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F267508" w14:textId="77777777" w:rsidR="00E81579" w:rsidRPr="00E81579" w:rsidRDefault="00E81579" w:rsidP="00E81579">
            <w:pPr>
              <w:widowControl/>
              <w:wordWrap w:val="0"/>
              <w:jc w:val="center"/>
              <w:rPr>
                <w:rFonts w:ascii="Microsoft YaHei UI" w:eastAsia="Microsoft YaHei UI" w:hAnsi="Microsoft YaHei UI" w:cs="宋体"/>
                <w:b/>
                <w:bCs/>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应用该基准的产品数量占比</w:t>
            </w:r>
          </w:p>
        </w:tc>
      </w:tr>
      <w:tr w:rsidR="00E81579" w:rsidRPr="00E81579" w14:paraId="6386A0FF"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AA9FE08"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股票型基金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68352AB"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369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7075B31"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沪深300指数收益率</w:t>
            </w:r>
            <w:r w:rsidRPr="00E81579">
              <w:rPr>
                <w:rFonts w:ascii="Microsoft YaHei UI" w:eastAsia="Microsoft YaHei UI" w:hAnsi="Microsoft YaHei UI" w:cs="宋体" w:hint="eastAsia"/>
                <w:i/>
                <w:iCs/>
                <w:color w:val="333333"/>
                <w:spacing w:val="8"/>
                <w:kern w:val="0"/>
                <w:sz w:val="18"/>
                <w:szCs w:val="18"/>
              </w:rPr>
              <w:t>80%+中证综合</w:t>
            </w:r>
            <w:proofErr w:type="gramStart"/>
            <w:r w:rsidRPr="00E81579">
              <w:rPr>
                <w:rFonts w:ascii="Microsoft YaHei UI" w:eastAsia="Microsoft YaHei UI" w:hAnsi="Microsoft YaHei UI" w:cs="宋体" w:hint="eastAsia"/>
                <w:i/>
                <w:iCs/>
                <w:color w:val="333333"/>
                <w:spacing w:val="8"/>
                <w:kern w:val="0"/>
                <w:sz w:val="18"/>
                <w:szCs w:val="18"/>
              </w:rPr>
              <w:t>债指数</w:t>
            </w:r>
            <w:proofErr w:type="gramEnd"/>
            <w:r w:rsidRPr="00E81579">
              <w:rPr>
                <w:rFonts w:ascii="Microsoft YaHei UI" w:eastAsia="Microsoft YaHei UI" w:hAnsi="Microsoft YaHei UI" w:cs="宋体" w:hint="eastAsia"/>
                <w:i/>
                <w:iCs/>
                <w:color w:val="333333"/>
                <w:spacing w:val="8"/>
                <w:kern w:val="0"/>
                <w:sz w:val="18"/>
                <w:szCs w:val="18"/>
              </w:rPr>
              <w:t>收益率</w:t>
            </w:r>
            <w:r w:rsidRPr="00E81579">
              <w:rPr>
                <w:rFonts w:ascii="Microsoft YaHei UI" w:eastAsia="Microsoft YaHei UI" w:hAnsi="Microsoft YaHei UI" w:cs="宋体" w:hint="eastAsia"/>
                <w:color w:val="333333"/>
                <w:spacing w:val="8"/>
                <w:kern w:val="0"/>
                <w:sz w:val="18"/>
                <w:szCs w:val="18"/>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0421E05"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0.0407</w:t>
            </w:r>
          </w:p>
        </w:tc>
      </w:tr>
      <w:tr w:rsidR="00E81579" w:rsidRPr="00E81579" w14:paraId="0C94B0C7"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EDB4827"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债券型基金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D6BE11F"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2014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EA8641D"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中债-综合全价(总值)指数收益率*100%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D157E23"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0.2388</w:t>
            </w:r>
          </w:p>
        </w:tc>
      </w:tr>
      <w:tr w:rsidR="00E81579" w:rsidRPr="00E81579" w14:paraId="5D1096A1"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F4E6E47"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b/>
                <w:bCs/>
                <w:color w:val="333333"/>
                <w:spacing w:val="8"/>
                <w:kern w:val="0"/>
                <w:sz w:val="18"/>
                <w:szCs w:val="18"/>
              </w:rPr>
              <w:t>混合型基金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EE9652C"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2814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ADB187C"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沪深300指数收益率</w:t>
            </w:r>
            <w:r w:rsidRPr="00E81579">
              <w:rPr>
                <w:rFonts w:ascii="Microsoft YaHei UI" w:eastAsia="Microsoft YaHei UI" w:hAnsi="Microsoft YaHei UI" w:cs="宋体" w:hint="eastAsia"/>
                <w:i/>
                <w:iCs/>
                <w:color w:val="333333"/>
                <w:spacing w:val="8"/>
                <w:kern w:val="0"/>
                <w:sz w:val="18"/>
                <w:szCs w:val="18"/>
              </w:rPr>
              <w:t>50%+中</w:t>
            </w:r>
            <w:proofErr w:type="gramStart"/>
            <w:r w:rsidRPr="00E81579">
              <w:rPr>
                <w:rFonts w:ascii="Microsoft YaHei UI" w:eastAsia="Microsoft YaHei UI" w:hAnsi="Microsoft YaHei UI" w:cs="宋体" w:hint="eastAsia"/>
                <w:i/>
                <w:iCs/>
                <w:color w:val="333333"/>
                <w:spacing w:val="8"/>
                <w:kern w:val="0"/>
                <w:sz w:val="18"/>
                <w:szCs w:val="18"/>
              </w:rPr>
              <w:t>证全债指数</w:t>
            </w:r>
            <w:proofErr w:type="gramEnd"/>
            <w:r w:rsidRPr="00E81579">
              <w:rPr>
                <w:rFonts w:ascii="Microsoft YaHei UI" w:eastAsia="Microsoft YaHei UI" w:hAnsi="Microsoft YaHei UI" w:cs="宋体" w:hint="eastAsia"/>
                <w:i/>
                <w:iCs/>
                <w:color w:val="333333"/>
                <w:spacing w:val="8"/>
                <w:kern w:val="0"/>
                <w:sz w:val="18"/>
                <w:szCs w:val="18"/>
              </w:rPr>
              <w:t>收益率</w:t>
            </w:r>
            <w:r w:rsidRPr="00E81579">
              <w:rPr>
                <w:rFonts w:ascii="Microsoft YaHei UI" w:eastAsia="Microsoft YaHei UI" w:hAnsi="Microsoft YaHei UI" w:cs="宋体" w:hint="eastAsia"/>
                <w:color w:val="333333"/>
                <w:spacing w:val="8"/>
                <w:kern w:val="0"/>
                <w:sz w:val="18"/>
                <w:szCs w:val="18"/>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2471C2B" w14:textId="77777777" w:rsidR="00E81579" w:rsidRPr="00E81579" w:rsidRDefault="00E81579" w:rsidP="00E81579">
            <w:pPr>
              <w:widowControl/>
              <w:wordWrap w:val="0"/>
              <w:jc w:val="center"/>
              <w:rPr>
                <w:rFonts w:ascii="Microsoft YaHei UI" w:eastAsia="Microsoft YaHei UI" w:hAnsi="Microsoft YaHei UI" w:cs="宋体"/>
                <w:color w:val="333333"/>
                <w:spacing w:val="8"/>
                <w:kern w:val="0"/>
                <w:sz w:val="18"/>
                <w:szCs w:val="18"/>
              </w:rPr>
            </w:pPr>
            <w:r w:rsidRPr="00E81579">
              <w:rPr>
                <w:rFonts w:ascii="Microsoft YaHei UI" w:eastAsia="Microsoft YaHei UI" w:hAnsi="Microsoft YaHei UI" w:cs="宋体" w:hint="eastAsia"/>
                <w:color w:val="333333"/>
                <w:spacing w:val="8"/>
                <w:kern w:val="0"/>
                <w:sz w:val="18"/>
                <w:szCs w:val="18"/>
              </w:rPr>
              <w:t>0.0295</w:t>
            </w:r>
          </w:p>
        </w:tc>
      </w:tr>
    </w:tbl>
    <w:p w14:paraId="4EC74338" w14:textId="190F80BE" w:rsidR="00E81579" w:rsidRDefault="00E81579" w:rsidP="001C63CC">
      <w:pPr>
        <w:ind w:firstLine="420"/>
        <w:rPr>
          <w:rFonts w:ascii="Microsoft YaHei UI" w:eastAsia="Microsoft YaHei UI" w:hAnsi="Microsoft YaHei UI"/>
          <w:i/>
          <w:iCs/>
          <w:color w:val="000000"/>
          <w:sz w:val="18"/>
          <w:szCs w:val="18"/>
          <w:shd w:val="clear" w:color="auto" w:fill="FFFFFF"/>
        </w:rPr>
      </w:pPr>
      <w:r>
        <w:rPr>
          <w:rFonts w:ascii="Microsoft YaHei UI" w:eastAsia="Microsoft YaHei UI" w:hAnsi="Microsoft YaHei UI" w:hint="eastAsia"/>
          <w:i/>
          <w:iCs/>
          <w:color w:val="000000"/>
          <w:sz w:val="18"/>
          <w:szCs w:val="18"/>
          <w:shd w:val="clear" w:color="auto" w:fill="FFFFFF"/>
        </w:rPr>
        <w:t>数据来源：wind，上海证券基金评价研究中心</w:t>
      </w:r>
    </w:p>
    <w:p w14:paraId="02CAAA68" w14:textId="58D8A148" w:rsidR="00E81579" w:rsidRDefault="00E81579" w:rsidP="001C63CC">
      <w:pPr>
        <w:ind w:firstLine="420"/>
      </w:pPr>
    </w:p>
    <w:p w14:paraId="09B02E90" w14:textId="2CF5B758" w:rsidR="00E81579" w:rsidRDefault="00E81579" w:rsidP="001C63CC">
      <w:pPr>
        <w:ind w:firstLine="420"/>
      </w:pPr>
      <w:r>
        <w:rPr>
          <w:rFonts w:hint="eastAsia"/>
        </w:rPr>
        <w:t>基准中股指基准比例</w:t>
      </w:r>
      <w:r w:rsidRPr="00E81579">
        <w:rPr>
          <w:rFonts w:hint="eastAsia"/>
        </w:rPr>
        <w:t>能够较为显著的反映出其风险收益特征</w:t>
      </w:r>
      <w:r>
        <w:rPr>
          <w:rFonts w:hint="eastAsia"/>
        </w:rPr>
        <w:t>或者基金产品的</w:t>
      </w:r>
      <w:proofErr w:type="gramStart"/>
      <w:r>
        <w:rPr>
          <w:rFonts w:hint="eastAsia"/>
        </w:rPr>
        <w:t>仓位</w:t>
      </w:r>
      <w:proofErr w:type="gramEnd"/>
      <w:r>
        <w:rPr>
          <w:rFonts w:hint="eastAsia"/>
        </w:rPr>
        <w:t>水平。</w:t>
      </w:r>
      <w:r w:rsidR="00F401A2">
        <w:rPr>
          <w:rFonts w:hint="eastAsia"/>
        </w:rPr>
        <w:t>但是研究表明在</w:t>
      </w:r>
      <w:proofErr w:type="gramStart"/>
      <w:r w:rsidR="00F401A2">
        <w:rPr>
          <w:rFonts w:hint="eastAsia"/>
        </w:rPr>
        <w:t>仓位</w:t>
      </w:r>
      <w:proofErr w:type="gramEnd"/>
      <w:r w:rsidR="00F401A2">
        <w:rPr>
          <w:rFonts w:hint="eastAsia"/>
        </w:rPr>
        <w:t>水平的表示上可能存在大幅漂移。</w:t>
      </w:r>
    </w:p>
    <w:p w14:paraId="0AF142AA" w14:textId="77777777" w:rsidR="00E81579" w:rsidRPr="00E81579" w:rsidRDefault="00E81579" w:rsidP="00E81579">
      <w:pPr>
        <w:widowControl/>
        <w:shd w:val="clear" w:color="auto" w:fill="FFFFFF"/>
        <w:spacing w:line="420" w:lineRule="atLeast"/>
        <w:rPr>
          <w:rFonts w:ascii="Microsoft YaHei UI" w:eastAsia="Microsoft YaHei UI" w:hAnsi="Microsoft YaHei UI" w:cs="宋体"/>
          <w:color w:val="4A4A4A"/>
          <w:spacing w:val="8"/>
          <w:kern w:val="0"/>
          <w:szCs w:val="21"/>
        </w:rPr>
      </w:pPr>
      <w:r w:rsidRPr="00E81579">
        <w:rPr>
          <w:rFonts w:ascii="Microsoft YaHei UI" w:eastAsia="Microsoft YaHei UI" w:hAnsi="Microsoft YaHei UI" w:cs="宋体" w:hint="eastAsia"/>
          <w:i/>
          <w:iCs/>
          <w:color w:val="000000"/>
          <w:kern w:val="0"/>
          <w:sz w:val="18"/>
          <w:szCs w:val="18"/>
          <w:shd w:val="clear" w:color="auto" w:fill="FFFFFF"/>
        </w:rPr>
        <w:t>表5.各类型基金基准内股票指数占比</w:t>
      </w:r>
    </w:p>
    <w:tbl>
      <w:tblPr>
        <w:tblW w:w="8565" w:type="dxa"/>
        <w:tblCellMar>
          <w:left w:w="0" w:type="dxa"/>
          <w:right w:w="0" w:type="dxa"/>
        </w:tblCellMar>
        <w:tblLook w:val="04A0" w:firstRow="1" w:lastRow="0" w:firstColumn="1" w:lastColumn="0" w:noHBand="0" w:noVBand="1"/>
      </w:tblPr>
      <w:tblGrid>
        <w:gridCol w:w="3297"/>
        <w:gridCol w:w="1318"/>
        <w:gridCol w:w="1314"/>
        <w:gridCol w:w="1318"/>
        <w:gridCol w:w="1318"/>
      </w:tblGrid>
      <w:tr w:rsidR="00E81579" w:rsidRPr="00E81579" w14:paraId="493A5A51" w14:textId="77777777" w:rsidTr="00E8157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64972F8C" w14:textId="77777777" w:rsidR="00E81579" w:rsidRPr="00E81579" w:rsidRDefault="00E81579" w:rsidP="00E81579">
            <w:pPr>
              <w:widowControl/>
              <w:wordWrap w:val="0"/>
              <w:jc w:val="center"/>
              <w:rPr>
                <w:rFonts w:ascii="宋体" w:eastAsia="宋体" w:hAnsi="宋体" w:cs="宋体"/>
                <w:b/>
                <w:bCs/>
                <w:kern w:val="0"/>
                <w:sz w:val="18"/>
                <w:szCs w:val="18"/>
              </w:rPr>
            </w:pP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7080C1E" w14:textId="77777777" w:rsidR="00E81579" w:rsidRPr="00E81579" w:rsidRDefault="00E81579" w:rsidP="00E81579">
            <w:pPr>
              <w:widowControl/>
              <w:wordWrap w:val="0"/>
              <w:jc w:val="center"/>
              <w:rPr>
                <w:rFonts w:ascii="宋体" w:eastAsia="宋体" w:hAnsi="宋体" w:cs="宋体"/>
                <w:b/>
                <w:bCs/>
                <w:kern w:val="0"/>
                <w:sz w:val="18"/>
                <w:szCs w:val="18"/>
              </w:rPr>
            </w:pPr>
            <w:r w:rsidRPr="00E81579">
              <w:rPr>
                <w:rFonts w:ascii="宋体" w:eastAsia="宋体" w:hAnsi="宋体" w:cs="宋体"/>
                <w:b/>
                <w:bCs/>
                <w:kern w:val="0"/>
                <w:sz w:val="18"/>
                <w:szCs w:val="18"/>
              </w:rPr>
              <w:t>中位数</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2AC590D9" w14:textId="77777777" w:rsidR="00E81579" w:rsidRPr="00E81579" w:rsidRDefault="00E81579" w:rsidP="00E81579">
            <w:pPr>
              <w:widowControl/>
              <w:wordWrap w:val="0"/>
              <w:jc w:val="center"/>
              <w:rPr>
                <w:rFonts w:ascii="宋体" w:eastAsia="宋体" w:hAnsi="宋体" w:cs="宋体"/>
                <w:b/>
                <w:bCs/>
                <w:kern w:val="0"/>
                <w:sz w:val="18"/>
                <w:szCs w:val="18"/>
              </w:rPr>
            </w:pPr>
            <w:r w:rsidRPr="00E81579">
              <w:rPr>
                <w:rFonts w:ascii="宋体" w:eastAsia="宋体" w:hAnsi="宋体" w:cs="宋体"/>
                <w:b/>
                <w:bCs/>
                <w:kern w:val="0"/>
                <w:sz w:val="18"/>
                <w:szCs w:val="18"/>
              </w:rPr>
              <w:t>均值</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852A647" w14:textId="77777777" w:rsidR="00E81579" w:rsidRPr="00E81579" w:rsidRDefault="00E81579" w:rsidP="00E81579">
            <w:pPr>
              <w:widowControl/>
              <w:wordWrap w:val="0"/>
              <w:jc w:val="center"/>
              <w:rPr>
                <w:rFonts w:ascii="宋体" w:eastAsia="宋体" w:hAnsi="宋体" w:cs="宋体"/>
                <w:b/>
                <w:bCs/>
                <w:kern w:val="0"/>
                <w:sz w:val="18"/>
                <w:szCs w:val="18"/>
              </w:rPr>
            </w:pPr>
            <w:r w:rsidRPr="00E81579">
              <w:rPr>
                <w:rFonts w:ascii="宋体" w:eastAsia="宋体" w:hAnsi="宋体" w:cs="宋体"/>
                <w:b/>
                <w:bCs/>
                <w:kern w:val="0"/>
                <w:sz w:val="18"/>
                <w:szCs w:val="18"/>
              </w:rPr>
              <w:t>最大值</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5C1DCA5" w14:textId="77777777" w:rsidR="00E81579" w:rsidRPr="00E81579" w:rsidRDefault="00E81579" w:rsidP="00E81579">
            <w:pPr>
              <w:widowControl/>
              <w:wordWrap w:val="0"/>
              <w:jc w:val="center"/>
              <w:rPr>
                <w:rFonts w:ascii="宋体" w:eastAsia="宋体" w:hAnsi="宋体" w:cs="宋体"/>
                <w:b/>
                <w:bCs/>
                <w:kern w:val="0"/>
                <w:sz w:val="18"/>
                <w:szCs w:val="18"/>
              </w:rPr>
            </w:pPr>
            <w:r w:rsidRPr="00E81579">
              <w:rPr>
                <w:rFonts w:ascii="宋体" w:eastAsia="宋体" w:hAnsi="宋体" w:cs="宋体"/>
                <w:b/>
                <w:bCs/>
                <w:kern w:val="0"/>
                <w:sz w:val="18"/>
                <w:szCs w:val="18"/>
              </w:rPr>
              <w:t>最小值</w:t>
            </w:r>
          </w:p>
        </w:tc>
      </w:tr>
      <w:tr w:rsidR="00E81579" w:rsidRPr="00E81579" w14:paraId="38BCB58D"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EA7ADFD"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b/>
                <w:bCs/>
                <w:kern w:val="0"/>
                <w:sz w:val="18"/>
                <w:szCs w:val="18"/>
              </w:rPr>
              <w:t>主动管理股票基金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1CAB792"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0.85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8F15520"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0.8457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D5B747C"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89073F0"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0.7</w:t>
            </w:r>
          </w:p>
        </w:tc>
      </w:tr>
      <w:tr w:rsidR="00E81579" w:rsidRPr="00E81579" w14:paraId="6F592DA7"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A8DA343"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b/>
                <w:bCs/>
                <w:kern w:val="0"/>
                <w:sz w:val="18"/>
                <w:szCs w:val="18"/>
              </w:rPr>
              <w:t>主动管理普通债券基金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6BD0E4A"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7DDA1BA0"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0.0539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362B4CC"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CBED0B2"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w:t>
            </w:r>
          </w:p>
        </w:tc>
      </w:tr>
      <w:tr w:rsidR="00E81579" w:rsidRPr="00E81579" w14:paraId="5E0DA5DE" w14:textId="77777777" w:rsidTr="00E81579">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B395C93"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b/>
                <w:bCs/>
                <w:kern w:val="0"/>
                <w:sz w:val="18"/>
                <w:szCs w:val="18"/>
              </w:rPr>
              <w:t>主动管理混合基金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2A14572"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FF222A6"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0.5577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727F412"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2CB5877" w14:textId="77777777" w:rsidR="00E81579" w:rsidRPr="00E81579" w:rsidRDefault="00E81579" w:rsidP="00E81579">
            <w:pPr>
              <w:widowControl/>
              <w:wordWrap w:val="0"/>
              <w:jc w:val="center"/>
              <w:rPr>
                <w:rFonts w:ascii="宋体" w:eastAsia="宋体" w:hAnsi="宋体" w:cs="宋体"/>
                <w:kern w:val="0"/>
                <w:sz w:val="18"/>
                <w:szCs w:val="18"/>
              </w:rPr>
            </w:pPr>
            <w:r w:rsidRPr="00E81579">
              <w:rPr>
                <w:rFonts w:ascii="宋体" w:eastAsia="宋体" w:hAnsi="宋体" w:cs="宋体"/>
                <w:kern w:val="0"/>
                <w:sz w:val="18"/>
                <w:szCs w:val="18"/>
              </w:rPr>
              <w:t>0</w:t>
            </w:r>
          </w:p>
        </w:tc>
      </w:tr>
    </w:tbl>
    <w:p w14:paraId="4CA13148" w14:textId="77777777" w:rsidR="00E81579" w:rsidRPr="00E81579" w:rsidRDefault="00E81579" w:rsidP="00E81579">
      <w:pPr>
        <w:widowControl/>
        <w:shd w:val="clear" w:color="auto" w:fill="FFFFFF"/>
        <w:spacing w:line="420" w:lineRule="atLeast"/>
        <w:rPr>
          <w:rFonts w:ascii="Microsoft YaHei UI" w:eastAsia="Microsoft YaHei UI" w:hAnsi="Microsoft YaHei UI" w:cs="宋体"/>
          <w:color w:val="4A4A4A"/>
          <w:spacing w:val="8"/>
          <w:kern w:val="0"/>
          <w:szCs w:val="21"/>
        </w:rPr>
      </w:pPr>
      <w:r w:rsidRPr="00E81579">
        <w:rPr>
          <w:rFonts w:ascii="Microsoft YaHei UI" w:eastAsia="Microsoft YaHei UI" w:hAnsi="Microsoft YaHei UI" w:cs="宋体" w:hint="eastAsia"/>
          <w:i/>
          <w:iCs/>
          <w:color w:val="000000"/>
          <w:kern w:val="0"/>
          <w:sz w:val="18"/>
          <w:szCs w:val="18"/>
          <w:shd w:val="clear" w:color="auto" w:fill="FFFFFF"/>
        </w:rPr>
        <w:t>数据来源：wind，上海证券基金评价研究中心</w:t>
      </w:r>
    </w:p>
    <w:p w14:paraId="243739F6" w14:textId="69876556" w:rsidR="00E81579" w:rsidRDefault="00E81579" w:rsidP="001C63CC">
      <w:pPr>
        <w:ind w:firstLine="420"/>
      </w:pPr>
    </w:p>
    <w:p w14:paraId="6ABA2338" w14:textId="32187048" w:rsidR="00F401A2" w:rsidRDefault="00F401A2" w:rsidP="00F401A2">
      <w:pPr>
        <w:ind w:firstLine="420"/>
      </w:pPr>
      <w:r>
        <w:rPr>
          <w:rFonts w:hint="eastAsia"/>
        </w:rPr>
        <w:t>国内主动管理基金中也出现了可调整式基准即根据基础市场表现、目标时间临近等不同标准进行调整的基准组合样式以进行业绩比较。</w:t>
      </w:r>
    </w:p>
    <w:p w14:paraId="7046435C" w14:textId="23C75BC6" w:rsidR="00F401A2" w:rsidRDefault="00F401A2" w:rsidP="00F401A2">
      <w:pPr>
        <w:ind w:firstLine="420"/>
      </w:pPr>
      <w:r>
        <w:rPr>
          <w:rFonts w:hint="eastAsia"/>
        </w:rPr>
        <w:t>从配置角度出发，</w:t>
      </w:r>
      <w:proofErr w:type="gramStart"/>
      <w:r>
        <w:rPr>
          <w:rFonts w:hint="eastAsia"/>
        </w:rPr>
        <w:t>农银汇理</w:t>
      </w:r>
      <w:proofErr w:type="gramEnd"/>
      <w:r>
        <w:rPr>
          <w:rFonts w:hint="eastAsia"/>
        </w:rPr>
        <w:t>区间收益和农银汇理区间策略均采用可调整式基准，</w:t>
      </w:r>
      <w:proofErr w:type="gramStart"/>
      <w:r>
        <w:rPr>
          <w:rFonts w:hint="eastAsia"/>
        </w:rPr>
        <w:t>以上证</w:t>
      </w:r>
      <w:proofErr w:type="gramEnd"/>
      <w:r>
        <w:rPr>
          <w:rFonts w:hint="eastAsia"/>
        </w:rPr>
        <w:t>综指收盘点位为计算根据调整权益资产及非权益资产间的配比。从事后看，两只产品自成立以来资产配置均较为灵活，能够根据市场变化做出调整。</w:t>
      </w:r>
    </w:p>
    <w:p w14:paraId="71C4BDE2" w14:textId="20CAEBDE" w:rsidR="00F401A2" w:rsidRDefault="00F401A2" w:rsidP="00F401A2">
      <w:pPr>
        <w:ind w:firstLine="420"/>
      </w:pPr>
      <w:r>
        <w:rPr>
          <w:rFonts w:hint="eastAsia"/>
        </w:rPr>
        <w:t>而在至今已成立的目标日期</w:t>
      </w:r>
      <w:r>
        <w:rPr>
          <w:rFonts w:hint="eastAsia"/>
        </w:rPr>
        <w:t>FOF</w:t>
      </w:r>
      <w:r>
        <w:rPr>
          <w:rFonts w:hint="eastAsia"/>
        </w:rPr>
        <w:t>产品中，景顺长城养老</w:t>
      </w:r>
      <w:r>
        <w:rPr>
          <w:rFonts w:hint="eastAsia"/>
        </w:rPr>
        <w:t>2045</w:t>
      </w:r>
      <w:r>
        <w:rPr>
          <w:rFonts w:hint="eastAsia"/>
        </w:rPr>
        <w:t>以中</w:t>
      </w:r>
      <w:proofErr w:type="gramStart"/>
      <w:r>
        <w:rPr>
          <w:rFonts w:hint="eastAsia"/>
        </w:rPr>
        <w:t>证目标</w:t>
      </w:r>
      <w:proofErr w:type="gramEnd"/>
      <w:r>
        <w:rPr>
          <w:rFonts w:hint="eastAsia"/>
        </w:rPr>
        <w:t>日期</w:t>
      </w:r>
      <w:r>
        <w:rPr>
          <w:rFonts w:hint="eastAsia"/>
        </w:rPr>
        <w:t>2045</w:t>
      </w:r>
      <w:r>
        <w:rPr>
          <w:rFonts w:hint="eastAsia"/>
        </w:rPr>
        <w:t>指数为业绩比较基准，该指数是由四类资产（</w:t>
      </w:r>
      <w:r>
        <w:rPr>
          <w:rFonts w:hint="eastAsia"/>
        </w:rPr>
        <w:t>A</w:t>
      </w:r>
      <w:r>
        <w:rPr>
          <w:rFonts w:hint="eastAsia"/>
        </w:rPr>
        <w:t>股、债券、现金、</w:t>
      </w:r>
      <w:r>
        <w:rPr>
          <w:rFonts w:hint="eastAsia"/>
        </w:rPr>
        <w:t>QDII</w:t>
      </w:r>
      <w:r>
        <w:rPr>
          <w:rFonts w:hint="eastAsia"/>
        </w:rPr>
        <w:t>股票）构成的</w:t>
      </w:r>
      <w:proofErr w:type="gramStart"/>
      <w:r>
        <w:rPr>
          <w:rFonts w:hint="eastAsia"/>
        </w:rPr>
        <w:t>多资产</w:t>
      </w:r>
      <w:proofErr w:type="gramEnd"/>
      <w:r>
        <w:rPr>
          <w:rFonts w:hint="eastAsia"/>
        </w:rPr>
        <w:t>指数，每类资产由若干相应的细分类别指数（或</w:t>
      </w:r>
      <w:r>
        <w:rPr>
          <w:rFonts w:hint="eastAsia"/>
        </w:rPr>
        <w:t>ETF</w:t>
      </w:r>
      <w:r>
        <w:rPr>
          <w:rFonts w:hint="eastAsia"/>
        </w:rPr>
        <w:t>）代表，共六类细分资产券种，其权重基于</w:t>
      </w:r>
      <w:proofErr w:type="spellStart"/>
      <w:r>
        <w:rPr>
          <w:rFonts w:hint="eastAsia"/>
        </w:rPr>
        <w:t>VaR</w:t>
      </w:r>
      <w:proofErr w:type="spellEnd"/>
      <w:r>
        <w:rPr>
          <w:rFonts w:hint="eastAsia"/>
        </w:rPr>
        <w:t>模型，从资产</w:t>
      </w:r>
      <w:proofErr w:type="gramStart"/>
      <w:r>
        <w:rPr>
          <w:rFonts w:hint="eastAsia"/>
        </w:rPr>
        <w:t>预期年化收益率</w:t>
      </w:r>
      <w:proofErr w:type="gramEnd"/>
      <w:r>
        <w:rPr>
          <w:rFonts w:hint="eastAsia"/>
        </w:rPr>
        <w:t>、预期协方差矩阵求得相应权重，并每半年进行一次调整。</w:t>
      </w:r>
    </w:p>
    <w:p w14:paraId="23B57AA5" w14:textId="77777777" w:rsidR="00F401A2" w:rsidRDefault="00F401A2" w:rsidP="00F401A2">
      <w:pPr>
        <w:ind w:firstLine="420"/>
      </w:pPr>
      <w:r>
        <w:rPr>
          <w:rFonts w:hint="eastAsia"/>
        </w:rPr>
        <w:t>从目标日期角度出发，成立于</w:t>
      </w:r>
      <w:r>
        <w:rPr>
          <w:rFonts w:hint="eastAsia"/>
        </w:rPr>
        <w:t>2008</w:t>
      </w:r>
      <w:r>
        <w:rPr>
          <w:rFonts w:hint="eastAsia"/>
        </w:rPr>
        <w:t>年的汇</w:t>
      </w:r>
      <w:proofErr w:type="gramStart"/>
      <w:r>
        <w:rPr>
          <w:rFonts w:hint="eastAsia"/>
        </w:rPr>
        <w:t>丰晋信</w:t>
      </w:r>
      <w:proofErr w:type="gramEnd"/>
      <w:r>
        <w:rPr>
          <w:rFonts w:hint="eastAsia"/>
        </w:rPr>
        <w:t>2026</w:t>
      </w:r>
      <w:r>
        <w:rPr>
          <w:rFonts w:hint="eastAsia"/>
        </w:rPr>
        <w:t>生命周期基金设计初衷即随着目标时间的临近相应调整资产配置和投资策略，以进行股票、债券资产的投资。该基金在实际管理过程中阶段性资产配置如下，其基准为</w:t>
      </w:r>
      <w:r>
        <w:rPr>
          <w:rFonts w:hint="eastAsia"/>
        </w:rPr>
        <w:t>MSCI</w:t>
      </w:r>
      <w:r>
        <w:rPr>
          <w:rFonts w:hint="eastAsia"/>
        </w:rPr>
        <w:t>中国</w:t>
      </w:r>
      <w:r>
        <w:rPr>
          <w:rFonts w:hint="eastAsia"/>
        </w:rPr>
        <w:t>A</w:t>
      </w:r>
      <w:r>
        <w:rPr>
          <w:rFonts w:hint="eastAsia"/>
        </w:rPr>
        <w:t>股指数收益率</w:t>
      </w:r>
      <w:r>
        <w:rPr>
          <w:rFonts w:hint="eastAsia"/>
        </w:rPr>
        <w:t>X+</w:t>
      </w:r>
      <w:r>
        <w:rPr>
          <w:rFonts w:hint="eastAsia"/>
        </w:rPr>
        <w:t>中信标</w:t>
      </w:r>
      <w:proofErr w:type="gramStart"/>
      <w:r>
        <w:rPr>
          <w:rFonts w:hint="eastAsia"/>
        </w:rPr>
        <w:t>普全债指数</w:t>
      </w:r>
      <w:proofErr w:type="gramEnd"/>
      <w:r>
        <w:rPr>
          <w:rFonts w:hint="eastAsia"/>
        </w:rPr>
        <w:t>收益率</w:t>
      </w:r>
      <w:r>
        <w:rPr>
          <w:rFonts w:hint="eastAsia"/>
        </w:rPr>
        <w:t>(1-X)</w:t>
      </w:r>
      <w:r>
        <w:rPr>
          <w:rFonts w:hint="eastAsia"/>
        </w:rPr>
        <w:t>，其中</w:t>
      </w:r>
      <w:r>
        <w:rPr>
          <w:rFonts w:hint="eastAsia"/>
        </w:rPr>
        <w:t>X</w:t>
      </w:r>
      <w:r>
        <w:rPr>
          <w:rFonts w:hint="eastAsia"/>
        </w:rPr>
        <w:t>跟随调整如下：</w:t>
      </w:r>
    </w:p>
    <w:p w14:paraId="362D2C62" w14:textId="77777777" w:rsidR="00F401A2" w:rsidRPr="00F401A2" w:rsidRDefault="00F401A2" w:rsidP="00F401A2">
      <w:pPr>
        <w:widowControl/>
        <w:shd w:val="clear" w:color="auto" w:fill="FFFFFF"/>
        <w:spacing w:line="420" w:lineRule="atLeast"/>
        <w:rPr>
          <w:rFonts w:ascii="Microsoft YaHei UI" w:eastAsia="Microsoft YaHei UI" w:hAnsi="Microsoft YaHei UI" w:cs="宋体"/>
          <w:color w:val="4A4A4A"/>
          <w:spacing w:val="8"/>
          <w:kern w:val="0"/>
          <w:szCs w:val="21"/>
        </w:rPr>
      </w:pPr>
      <w:r w:rsidRPr="00F401A2">
        <w:rPr>
          <w:rFonts w:ascii="Microsoft YaHei UI" w:eastAsia="Microsoft YaHei UI" w:hAnsi="Microsoft YaHei UI" w:cs="宋体" w:hint="eastAsia"/>
          <w:i/>
          <w:iCs/>
          <w:color w:val="000000"/>
          <w:kern w:val="0"/>
          <w:sz w:val="18"/>
          <w:szCs w:val="18"/>
          <w:shd w:val="clear" w:color="auto" w:fill="FFFFFF"/>
        </w:rPr>
        <w:t>表8.公</w:t>
      </w:r>
      <w:proofErr w:type="gramStart"/>
      <w:r w:rsidRPr="00F401A2">
        <w:rPr>
          <w:rFonts w:ascii="Microsoft YaHei UI" w:eastAsia="Microsoft YaHei UI" w:hAnsi="Microsoft YaHei UI" w:cs="宋体" w:hint="eastAsia"/>
          <w:i/>
          <w:iCs/>
          <w:color w:val="000000"/>
          <w:kern w:val="0"/>
          <w:sz w:val="18"/>
          <w:szCs w:val="18"/>
          <w:shd w:val="clear" w:color="auto" w:fill="FFFFFF"/>
        </w:rPr>
        <w:t>募基金</w:t>
      </w:r>
      <w:proofErr w:type="gramEnd"/>
      <w:r w:rsidRPr="00F401A2">
        <w:rPr>
          <w:rFonts w:ascii="Microsoft YaHei UI" w:eastAsia="Microsoft YaHei UI" w:hAnsi="Microsoft YaHei UI" w:cs="宋体" w:hint="eastAsia"/>
          <w:i/>
          <w:iCs/>
          <w:color w:val="000000"/>
          <w:kern w:val="0"/>
          <w:sz w:val="18"/>
          <w:szCs w:val="18"/>
          <w:shd w:val="clear" w:color="auto" w:fill="FFFFFF"/>
        </w:rPr>
        <w:t>股票指数选择</w:t>
      </w:r>
    </w:p>
    <w:tbl>
      <w:tblPr>
        <w:tblW w:w="8565" w:type="dxa"/>
        <w:tblCellMar>
          <w:left w:w="0" w:type="dxa"/>
          <w:right w:w="0" w:type="dxa"/>
        </w:tblCellMar>
        <w:tblLook w:val="04A0" w:firstRow="1" w:lastRow="0" w:firstColumn="1" w:lastColumn="0" w:noHBand="0" w:noVBand="1"/>
      </w:tblPr>
      <w:tblGrid>
        <w:gridCol w:w="2691"/>
        <w:gridCol w:w="2430"/>
        <w:gridCol w:w="2646"/>
        <w:gridCol w:w="798"/>
      </w:tblGrid>
      <w:tr w:rsidR="00F401A2" w:rsidRPr="00F401A2" w14:paraId="5F156D2C" w14:textId="77777777" w:rsidTr="00F401A2">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7E0C794C" w14:textId="77777777" w:rsidR="00F401A2" w:rsidRPr="00F401A2" w:rsidRDefault="00F401A2" w:rsidP="00F401A2">
            <w:pPr>
              <w:widowControl/>
              <w:wordWrap w:val="0"/>
              <w:jc w:val="center"/>
              <w:rPr>
                <w:rFonts w:ascii="宋体" w:eastAsia="宋体" w:hAnsi="宋体" w:cs="宋体"/>
                <w:b/>
                <w:bCs/>
                <w:kern w:val="0"/>
                <w:sz w:val="18"/>
                <w:szCs w:val="18"/>
              </w:rPr>
            </w:pPr>
            <w:r w:rsidRPr="00F401A2">
              <w:rPr>
                <w:rFonts w:ascii="宋体" w:eastAsia="宋体" w:hAnsi="宋体" w:cs="宋体"/>
                <w:b/>
                <w:bCs/>
                <w:kern w:val="0"/>
                <w:sz w:val="18"/>
                <w:szCs w:val="18"/>
              </w:rPr>
              <w:t>时间段</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F9666AC" w14:textId="77777777" w:rsidR="00F401A2" w:rsidRPr="00F401A2" w:rsidRDefault="00F401A2" w:rsidP="00F401A2">
            <w:pPr>
              <w:widowControl/>
              <w:wordWrap w:val="0"/>
              <w:jc w:val="center"/>
              <w:rPr>
                <w:rFonts w:ascii="宋体" w:eastAsia="宋体" w:hAnsi="宋体" w:cs="宋体"/>
                <w:b/>
                <w:bCs/>
                <w:kern w:val="0"/>
                <w:sz w:val="18"/>
                <w:szCs w:val="18"/>
              </w:rPr>
            </w:pPr>
            <w:r w:rsidRPr="00F401A2">
              <w:rPr>
                <w:rFonts w:ascii="宋体" w:eastAsia="宋体" w:hAnsi="宋体" w:cs="宋体"/>
                <w:b/>
                <w:bCs/>
                <w:kern w:val="0"/>
                <w:sz w:val="18"/>
                <w:szCs w:val="18"/>
              </w:rPr>
              <w:t>股票类资产比例（%）</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07EDBD50" w14:textId="77777777" w:rsidR="00F401A2" w:rsidRPr="00F401A2" w:rsidRDefault="00F401A2" w:rsidP="00F401A2">
            <w:pPr>
              <w:widowControl/>
              <w:wordWrap w:val="0"/>
              <w:jc w:val="center"/>
              <w:rPr>
                <w:rFonts w:ascii="宋体" w:eastAsia="宋体" w:hAnsi="宋体" w:cs="宋体"/>
                <w:b/>
                <w:bCs/>
                <w:kern w:val="0"/>
                <w:sz w:val="18"/>
                <w:szCs w:val="18"/>
              </w:rPr>
            </w:pPr>
            <w:r w:rsidRPr="00F401A2">
              <w:rPr>
                <w:rFonts w:ascii="宋体" w:eastAsia="宋体" w:hAnsi="宋体" w:cs="宋体"/>
                <w:b/>
                <w:bCs/>
                <w:kern w:val="0"/>
                <w:sz w:val="18"/>
                <w:szCs w:val="18"/>
              </w:rPr>
              <w:t>非股票类资产比例（%）</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6845DF5" w14:textId="77777777" w:rsidR="00F401A2" w:rsidRPr="00F401A2" w:rsidRDefault="00F401A2" w:rsidP="00F401A2">
            <w:pPr>
              <w:widowControl/>
              <w:wordWrap w:val="0"/>
              <w:jc w:val="center"/>
              <w:rPr>
                <w:rFonts w:ascii="宋体" w:eastAsia="宋体" w:hAnsi="宋体" w:cs="宋体"/>
                <w:b/>
                <w:bCs/>
                <w:kern w:val="0"/>
                <w:sz w:val="18"/>
                <w:szCs w:val="18"/>
              </w:rPr>
            </w:pPr>
            <w:proofErr w:type="gramStart"/>
            <w:r w:rsidRPr="00F401A2">
              <w:rPr>
                <w:rFonts w:ascii="宋体" w:eastAsia="宋体" w:hAnsi="宋体" w:cs="宋体"/>
                <w:b/>
                <w:bCs/>
                <w:kern w:val="0"/>
                <w:sz w:val="18"/>
                <w:szCs w:val="18"/>
              </w:rPr>
              <w:t>X(</w:t>
            </w:r>
            <w:proofErr w:type="gramEnd"/>
            <w:r w:rsidRPr="00F401A2">
              <w:rPr>
                <w:rFonts w:ascii="宋体" w:eastAsia="宋体" w:hAnsi="宋体" w:cs="宋体"/>
                <w:b/>
                <w:bCs/>
                <w:kern w:val="0"/>
                <w:sz w:val="18"/>
                <w:szCs w:val="18"/>
              </w:rPr>
              <w:t>%)</w:t>
            </w:r>
          </w:p>
        </w:tc>
      </w:tr>
      <w:tr w:rsidR="00F401A2" w:rsidRPr="00F401A2" w14:paraId="71FA2FD5" w14:textId="77777777" w:rsidTr="00F401A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40A23C6"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合同生效日至2012/8/31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40B4743"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60-95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FB99122"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5-40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D019D3D"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75</w:t>
            </w:r>
          </w:p>
        </w:tc>
      </w:tr>
      <w:tr w:rsidR="00F401A2" w:rsidRPr="00F401A2" w14:paraId="65F93037" w14:textId="77777777" w:rsidTr="00F401A2">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609F631"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2012/9/1-2016/8/31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7367A5C"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50-80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00FCFB"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20-50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F5EFB1"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65</w:t>
            </w:r>
          </w:p>
        </w:tc>
      </w:tr>
      <w:tr w:rsidR="00F401A2" w:rsidRPr="00F401A2" w14:paraId="25856BDB" w14:textId="77777777" w:rsidTr="00F401A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3BBA2CC"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lastRenderedPageBreak/>
              <w:t>2016/9/1-2021/8/31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0612667"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30-65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5A0B2365"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35-70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7859BBC5"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45</w:t>
            </w:r>
          </w:p>
        </w:tc>
      </w:tr>
      <w:tr w:rsidR="00F401A2" w:rsidRPr="00F401A2" w14:paraId="5706A184" w14:textId="77777777" w:rsidTr="00F401A2">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A876AA2"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2021/9/1-2026/8/31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08127390"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10-40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6E82352"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60-90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529FC99E"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20</w:t>
            </w:r>
          </w:p>
        </w:tc>
      </w:tr>
      <w:tr w:rsidR="00F401A2" w:rsidRPr="00F401A2" w14:paraId="5D50CEE8" w14:textId="77777777" w:rsidTr="00F401A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346F2D1B"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2026/9/1起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28222AB8"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0-20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1CD9A61"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80-100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7A8444C" w14:textId="77777777" w:rsidR="00F401A2" w:rsidRPr="00F401A2" w:rsidRDefault="00F401A2" w:rsidP="00F401A2">
            <w:pPr>
              <w:widowControl/>
              <w:wordWrap w:val="0"/>
              <w:jc w:val="center"/>
              <w:rPr>
                <w:rFonts w:ascii="宋体" w:eastAsia="宋体" w:hAnsi="宋体" w:cs="宋体"/>
                <w:kern w:val="0"/>
                <w:sz w:val="18"/>
                <w:szCs w:val="18"/>
              </w:rPr>
            </w:pPr>
            <w:r w:rsidRPr="00F401A2">
              <w:rPr>
                <w:rFonts w:ascii="宋体" w:eastAsia="宋体" w:hAnsi="宋体" w:cs="宋体"/>
                <w:kern w:val="0"/>
                <w:sz w:val="18"/>
                <w:szCs w:val="18"/>
              </w:rPr>
              <w:t>0</w:t>
            </w:r>
          </w:p>
        </w:tc>
      </w:tr>
    </w:tbl>
    <w:p w14:paraId="2BA45793" w14:textId="5AC05D5F" w:rsidR="00F401A2" w:rsidRPr="00F401A2" w:rsidRDefault="00F401A2" w:rsidP="00F401A2">
      <w:pPr>
        <w:widowControl/>
        <w:shd w:val="clear" w:color="auto" w:fill="FFFFFF"/>
        <w:spacing w:line="420" w:lineRule="atLeast"/>
        <w:rPr>
          <w:rFonts w:ascii="Microsoft YaHei UI" w:eastAsia="Microsoft YaHei UI" w:hAnsi="Microsoft YaHei UI" w:cs="宋体"/>
          <w:b/>
          <w:bCs/>
          <w:color w:val="000000"/>
          <w:spacing w:val="8"/>
          <w:kern w:val="36"/>
          <w:sz w:val="36"/>
          <w:szCs w:val="36"/>
        </w:rPr>
      </w:pPr>
      <w:r w:rsidRPr="00F401A2">
        <w:rPr>
          <w:rFonts w:ascii="Microsoft YaHei UI" w:eastAsia="Microsoft YaHei UI" w:hAnsi="Microsoft YaHei UI" w:cs="宋体" w:hint="eastAsia"/>
          <w:i/>
          <w:iCs/>
          <w:color w:val="000000"/>
          <w:kern w:val="0"/>
          <w:sz w:val="18"/>
          <w:szCs w:val="18"/>
          <w:shd w:val="clear" w:color="auto" w:fill="FFFFFF"/>
        </w:rPr>
        <w:t>数据来源：wind，上海证券基金评价研究中心</w:t>
      </w:r>
    </w:p>
    <w:p w14:paraId="042EC305" w14:textId="7072F0B4" w:rsidR="00F401A2" w:rsidRDefault="00F401A2" w:rsidP="00F401A2">
      <w:pPr>
        <w:ind w:firstLine="420"/>
      </w:pPr>
    </w:p>
    <w:p w14:paraId="5679D738" w14:textId="3ED9953B" w:rsidR="00AF589C" w:rsidRDefault="00AF589C" w:rsidP="00AF589C">
      <w:pPr>
        <w:ind w:firstLine="420"/>
        <w:rPr>
          <w:rFonts w:hint="eastAsia"/>
        </w:rPr>
      </w:pPr>
      <w:r>
        <w:rPr>
          <w:rFonts w:hint="eastAsia"/>
        </w:rPr>
        <w:t>基于实证检验结果，</w:t>
      </w:r>
      <w:r>
        <w:rPr>
          <w:rFonts w:hint="eastAsia"/>
        </w:rPr>
        <w:t>《</w:t>
      </w:r>
      <w:r w:rsidRPr="00AF589C">
        <w:rPr>
          <w:rFonts w:hint="eastAsia"/>
        </w:rPr>
        <w:t>上海证券业绩比较基准系列报告（三）：业绩比较基准的适用性考察——以股票型基金为例</w:t>
      </w:r>
      <w:r>
        <w:rPr>
          <w:rFonts w:hint="eastAsia"/>
        </w:rPr>
        <w:t>》</w:t>
      </w:r>
      <w:r>
        <w:rPr>
          <w:rFonts w:hint="eastAsia"/>
        </w:rPr>
        <w:t>得出如下结论，可在基准规范研究过程中作为参考：</w:t>
      </w:r>
    </w:p>
    <w:p w14:paraId="5E4CB040" w14:textId="549E6A83" w:rsidR="00AF589C" w:rsidRDefault="00AF589C" w:rsidP="00AF589C">
      <w:pPr>
        <w:pStyle w:val="a6"/>
        <w:numPr>
          <w:ilvl w:val="0"/>
          <w:numId w:val="3"/>
        </w:numPr>
        <w:ind w:firstLineChars="0"/>
        <w:rPr>
          <w:rFonts w:hint="eastAsia"/>
        </w:rPr>
      </w:pPr>
      <w:r>
        <w:rPr>
          <w:rFonts w:hint="eastAsia"/>
        </w:rPr>
        <w:t>我国不到三成产品的业绩比较基准具有适用性，无特定主题</w:t>
      </w:r>
      <w:r>
        <w:rPr>
          <w:rFonts w:hint="eastAsia"/>
        </w:rPr>
        <w:t>/</w:t>
      </w:r>
      <w:r>
        <w:rPr>
          <w:rFonts w:hint="eastAsia"/>
        </w:rPr>
        <w:t>行业投资特征的非“另类投资”产品业绩比较基准适用性更高。非“另类投资”基金更多采用沪深</w:t>
      </w:r>
      <w:r>
        <w:rPr>
          <w:rFonts w:hint="eastAsia"/>
        </w:rPr>
        <w:t>300</w:t>
      </w:r>
      <w:r>
        <w:rPr>
          <w:rFonts w:hint="eastAsia"/>
        </w:rPr>
        <w:t>指数作为主要的业绩比较基准指数，且采用该指数的产品基准适用性更高，或由于近两年市场风格偏向大盘，主动管理股票基金风格更易与沪深</w:t>
      </w:r>
      <w:r>
        <w:rPr>
          <w:rFonts w:hint="eastAsia"/>
        </w:rPr>
        <w:t>300</w:t>
      </w:r>
      <w:r>
        <w:rPr>
          <w:rFonts w:hint="eastAsia"/>
        </w:rPr>
        <w:t>指数</w:t>
      </w:r>
      <w:proofErr w:type="gramStart"/>
      <w:r>
        <w:rPr>
          <w:rFonts w:hint="eastAsia"/>
        </w:rPr>
        <w:t>相拟</w:t>
      </w:r>
      <w:proofErr w:type="gramEnd"/>
      <w:r>
        <w:rPr>
          <w:rFonts w:hint="eastAsia"/>
        </w:rPr>
        <w:t>合。“另类投资”基金由于投资范围更为狭窄，一方面如</w:t>
      </w:r>
      <w:proofErr w:type="gramStart"/>
      <w:r>
        <w:rPr>
          <w:rFonts w:hint="eastAsia"/>
        </w:rPr>
        <w:t>应用宽基指数</w:t>
      </w:r>
      <w:proofErr w:type="gramEnd"/>
      <w:r>
        <w:rPr>
          <w:rFonts w:hint="eastAsia"/>
        </w:rPr>
        <w:t>作为业绩比较基准适用性不高；另一方面在行业轮动中更易产生风格漂移以保障收益水平，从而偏离业绩比较基准投资方向。</w:t>
      </w:r>
    </w:p>
    <w:p w14:paraId="4017D609" w14:textId="1F45D238" w:rsidR="00AF589C" w:rsidRDefault="00AF589C" w:rsidP="00AF589C">
      <w:pPr>
        <w:pStyle w:val="a6"/>
        <w:numPr>
          <w:ilvl w:val="0"/>
          <w:numId w:val="3"/>
        </w:numPr>
        <w:ind w:firstLineChars="0"/>
        <w:rPr>
          <w:rFonts w:hint="eastAsia"/>
        </w:rPr>
      </w:pPr>
      <w:r>
        <w:rPr>
          <w:rFonts w:hint="eastAsia"/>
        </w:rPr>
        <w:t>成立年份较早的产品更倾向于遵守业绩比较基准所体现的投资风格。所谓“老”基金在基金风格符合预设上相较“新”基金做的更为出色，这或是因为基金经历了多样化的市场考验，一方面其积累了一定的收益，对业绩短期波动的容忍度更高；另一方面市场早期产品设计多元化程度较之现有时点更为简单，更加遵守预设路径，且其在长期的操作过程中稳定了自身风格。</w:t>
      </w:r>
    </w:p>
    <w:p w14:paraId="2DBCAD4D" w14:textId="1FAEBA49" w:rsidR="00AF589C" w:rsidRDefault="00AF589C" w:rsidP="00AF589C">
      <w:pPr>
        <w:pStyle w:val="a6"/>
        <w:numPr>
          <w:ilvl w:val="0"/>
          <w:numId w:val="3"/>
        </w:numPr>
        <w:ind w:firstLineChars="0"/>
      </w:pPr>
      <w:r>
        <w:rPr>
          <w:rFonts w:hint="eastAsia"/>
        </w:rPr>
        <w:t>基金经理在主动管理过程中倾向于主动调整风险偏好，向更为适中的风险水平靠拢。市场风格切换过程中，基金经理保持较为中性的投资风格，可以</w:t>
      </w:r>
      <w:proofErr w:type="gramStart"/>
      <w:r>
        <w:rPr>
          <w:rFonts w:hint="eastAsia"/>
        </w:rPr>
        <w:t>更多保障</w:t>
      </w:r>
      <w:proofErr w:type="gramEnd"/>
      <w:r>
        <w:rPr>
          <w:rFonts w:hint="eastAsia"/>
        </w:rPr>
        <w:t>基金“进可攻退可守”；此外，基金经理本身对个股的偏重会导致产品较之显著的风格发生偏离。</w:t>
      </w:r>
    </w:p>
    <w:p w14:paraId="0D2D55EB" w14:textId="77777777" w:rsidR="00AF589C" w:rsidRPr="00AF589C" w:rsidRDefault="00AF589C" w:rsidP="00AF589C">
      <w:pPr>
        <w:ind w:firstLine="420"/>
        <w:rPr>
          <w:rFonts w:hint="eastAsia"/>
        </w:rPr>
      </w:pPr>
    </w:p>
    <w:p w14:paraId="388D34C6" w14:textId="0C8F4E5A" w:rsidR="00CD3F04" w:rsidRDefault="00CD3F04" w:rsidP="001C63CC">
      <w:pPr>
        <w:ind w:firstLine="420"/>
      </w:pPr>
      <w:r>
        <w:rPr>
          <w:rFonts w:hint="eastAsia"/>
        </w:rPr>
        <w:t>选择</w:t>
      </w:r>
      <w:r>
        <w:rPr>
          <w:rFonts w:hint="eastAsia"/>
        </w:rPr>
        <w:t>wind</w:t>
      </w:r>
      <w:r>
        <w:rPr>
          <w:rFonts w:hint="eastAsia"/>
        </w:rPr>
        <w:t>数据库中全部基金按照二级分类统计其基准选择情况。</w:t>
      </w:r>
      <w:proofErr w:type="gramStart"/>
      <w:r>
        <w:rPr>
          <w:rFonts w:hint="eastAsia"/>
        </w:rPr>
        <w:t>包括偏股混合型</w:t>
      </w:r>
      <w:proofErr w:type="gramEnd"/>
      <w:r>
        <w:rPr>
          <w:rFonts w:hint="eastAsia"/>
        </w:rPr>
        <w:t>基金、灵活配置型基金、增强指数型基金、普通股票型基金</w:t>
      </w:r>
      <w:proofErr w:type="gramStart"/>
      <w:r>
        <w:rPr>
          <w:rFonts w:hint="eastAsia"/>
        </w:rPr>
        <w:t>和偏债混合型</w:t>
      </w:r>
      <w:proofErr w:type="gramEnd"/>
      <w:r>
        <w:rPr>
          <w:rFonts w:hint="eastAsia"/>
        </w:rPr>
        <w:t>基金。统计不同类型的基金中所对应的股指</w:t>
      </w:r>
      <w:proofErr w:type="gramStart"/>
      <w:r>
        <w:rPr>
          <w:rFonts w:hint="eastAsia"/>
        </w:rPr>
        <w:t>基准或债指</w:t>
      </w:r>
      <w:proofErr w:type="gramEnd"/>
      <w:r>
        <w:rPr>
          <w:rFonts w:hint="eastAsia"/>
        </w:rPr>
        <w:t>基准被基金所选择的数目以及选择的指标比例大小的平均值。比如</w:t>
      </w:r>
      <w:proofErr w:type="gramStart"/>
      <w:r>
        <w:rPr>
          <w:rFonts w:hint="eastAsia"/>
        </w:rPr>
        <w:t>在偏股混合型</w:t>
      </w:r>
      <w:proofErr w:type="gramEnd"/>
      <w:r>
        <w:rPr>
          <w:rFonts w:hint="eastAsia"/>
        </w:rPr>
        <w:t>基金中，有</w:t>
      </w:r>
      <w:r>
        <w:rPr>
          <w:rFonts w:hint="eastAsia"/>
        </w:rPr>
        <w:t>4</w:t>
      </w:r>
      <w:r>
        <w:t>7</w:t>
      </w:r>
      <w:r>
        <w:rPr>
          <w:rFonts w:hint="eastAsia"/>
        </w:rPr>
        <w:t>支基金选择了以</w:t>
      </w:r>
      <w:r w:rsidRPr="00CD3F04">
        <w:rPr>
          <w:rFonts w:hint="eastAsia"/>
        </w:rPr>
        <w:t>沪深</w:t>
      </w:r>
      <w:r w:rsidRPr="00CD3F04">
        <w:rPr>
          <w:rFonts w:hint="eastAsia"/>
        </w:rPr>
        <w:t>300</w:t>
      </w:r>
      <w:r w:rsidRPr="00CD3F04">
        <w:rPr>
          <w:rFonts w:hint="eastAsia"/>
        </w:rPr>
        <w:t>指数收益率</w:t>
      </w:r>
      <w:r w:rsidRPr="00CD3F04">
        <w:rPr>
          <w:rFonts w:hint="eastAsia"/>
        </w:rPr>
        <w:t>*80%+</w:t>
      </w:r>
      <w:r w:rsidRPr="00CD3F04">
        <w:rPr>
          <w:rFonts w:hint="eastAsia"/>
        </w:rPr>
        <w:t>上证国债指数收益率</w:t>
      </w:r>
      <w:r w:rsidRPr="00CD3F04">
        <w:rPr>
          <w:rFonts w:hint="eastAsia"/>
        </w:rPr>
        <w:t>*20%</w:t>
      </w:r>
      <w:r>
        <w:rPr>
          <w:rFonts w:hint="eastAsia"/>
        </w:rPr>
        <w:t>作为业绩比较基准，那么他们对应的所选股指基准为沪深</w:t>
      </w:r>
      <w:r>
        <w:rPr>
          <w:rFonts w:hint="eastAsia"/>
        </w:rPr>
        <w:t>3</w:t>
      </w:r>
      <w:r>
        <w:t>00</w:t>
      </w:r>
      <w:r>
        <w:rPr>
          <w:rFonts w:hint="eastAsia"/>
        </w:rPr>
        <w:t>指数收益率，所选股指比例为</w:t>
      </w:r>
      <w:r>
        <w:rPr>
          <w:rFonts w:hint="eastAsia"/>
        </w:rPr>
        <w:t>8</w:t>
      </w:r>
      <w:r>
        <w:t>0</w:t>
      </w:r>
      <w:r>
        <w:rPr>
          <w:rFonts w:hint="eastAsia"/>
        </w:rPr>
        <w:t>%</w:t>
      </w:r>
      <w:r>
        <w:rPr>
          <w:rFonts w:hint="eastAsia"/>
        </w:rPr>
        <w:t>，所选债指基准为</w:t>
      </w:r>
      <w:r w:rsidRPr="00CD3F04">
        <w:rPr>
          <w:rFonts w:hint="eastAsia"/>
        </w:rPr>
        <w:t>上证国债指数收益率</w:t>
      </w:r>
      <w:r>
        <w:rPr>
          <w:rFonts w:hint="eastAsia"/>
        </w:rPr>
        <w:t>，所选债</w:t>
      </w:r>
      <w:proofErr w:type="gramStart"/>
      <w:r>
        <w:rPr>
          <w:rFonts w:hint="eastAsia"/>
        </w:rPr>
        <w:t>指比例</w:t>
      </w:r>
      <w:proofErr w:type="gramEnd"/>
      <w:r>
        <w:rPr>
          <w:rFonts w:hint="eastAsia"/>
        </w:rPr>
        <w:t>为</w:t>
      </w:r>
      <w:r>
        <w:rPr>
          <w:rFonts w:hint="eastAsia"/>
        </w:rPr>
        <w:t>2</w:t>
      </w:r>
      <w:r>
        <w:t>0</w:t>
      </w:r>
      <w:r>
        <w:rPr>
          <w:rFonts w:hint="eastAsia"/>
        </w:rPr>
        <w:t>%</w:t>
      </w:r>
      <w:r>
        <w:rPr>
          <w:rFonts w:hint="eastAsia"/>
        </w:rPr>
        <w:t>。</w:t>
      </w:r>
      <w:r w:rsidR="00644434">
        <w:rPr>
          <w:rFonts w:hint="eastAsia"/>
        </w:rPr>
        <w:t>又比如，按照所选股指基准和所选债指基准分别统计，有</w:t>
      </w:r>
      <w:proofErr w:type="gramStart"/>
      <w:r w:rsidR="00644434">
        <w:rPr>
          <w:rFonts w:hint="eastAsia"/>
        </w:rPr>
        <w:t>8</w:t>
      </w:r>
      <w:r w:rsidR="00644434">
        <w:t>26</w:t>
      </w:r>
      <w:r w:rsidR="00644434">
        <w:rPr>
          <w:rFonts w:hint="eastAsia"/>
        </w:rPr>
        <w:t>支偏股混合型</w:t>
      </w:r>
      <w:proofErr w:type="gramEnd"/>
      <w:r w:rsidR="00644434">
        <w:rPr>
          <w:rFonts w:hint="eastAsia"/>
        </w:rPr>
        <w:t>基金选择沪深</w:t>
      </w:r>
      <w:r w:rsidR="00644434">
        <w:rPr>
          <w:rFonts w:hint="eastAsia"/>
        </w:rPr>
        <w:t>3</w:t>
      </w:r>
      <w:r w:rsidR="00644434">
        <w:t>00</w:t>
      </w:r>
      <w:r w:rsidR="00644434">
        <w:rPr>
          <w:rFonts w:hint="eastAsia"/>
        </w:rPr>
        <w:t>指数收益率为股指基准，所选股指基准比例的平均数为</w:t>
      </w:r>
      <w:r w:rsidR="00644434">
        <w:rPr>
          <w:rFonts w:hint="eastAsia"/>
        </w:rPr>
        <w:t>6</w:t>
      </w:r>
      <w:r w:rsidR="00644434">
        <w:t>4.94</w:t>
      </w:r>
      <w:r w:rsidR="00644434">
        <w:rPr>
          <w:rFonts w:hint="eastAsia"/>
        </w:rPr>
        <w:t>%</w:t>
      </w:r>
      <w:r w:rsidR="00644434">
        <w:rPr>
          <w:rFonts w:hint="eastAsia"/>
        </w:rPr>
        <w:t>；有</w:t>
      </w:r>
      <w:proofErr w:type="gramStart"/>
      <w:r w:rsidR="00644434">
        <w:t>239</w:t>
      </w:r>
      <w:r w:rsidR="00644434">
        <w:rPr>
          <w:rFonts w:hint="eastAsia"/>
        </w:rPr>
        <w:t>支偏股混合型</w:t>
      </w:r>
      <w:proofErr w:type="gramEnd"/>
      <w:r w:rsidR="00644434">
        <w:rPr>
          <w:rFonts w:hint="eastAsia"/>
        </w:rPr>
        <w:t>基金选择上证国债指数</w:t>
      </w:r>
      <w:proofErr w:type="gramStart"/>
      <w:r w:rsidR="00644434">
        <w:rPr>
          <w:rFonts w:hint="eastAsia"/>
        </w:rPr>
        <w:t>收益率为债指</w:t>
      </w:r>
      <w:proofErr w:type="gramEnd"/>
      <w:r w:rsidR="00644434">
        <w:rPr>
          <w:rFonts w:hint="eastAsia"/>
        </w:rPr>
        <w:t>基准，所选股指基准比例的平均数为</w:t>
      </w:r>
      <w:r w:rsidR="00644434">
        <w:rPr>
          <w:rFonts w:hint="eastAsia"/>
        </w:rPr>
        <w:t>6</w:t>
      </w:r>
      <w:r w:rsidR="00644434">
        <w:t>9.17</w:t>
      </w:r>
      <w:r w:rsidR="00644434">
        <w:rPr>
          <w:rFonts w:hint="eastAsia"/>
        </w:rPr>
        <w:t>%</w:t>
      </w:r>
      <w:r w:rsidR="00801A70">
        <w:rPr>
          <w:rFonts w:hint="eastAsia"/>
        </w:rPr>
        <w:t>。</w:t>
      </w:r>
    </w:p>
    <w:p w14:paraId="5B731905" w14:textId="6993C7D4" w:rsidR="00801A70" w:rsidRDefault="00801A70" w:rsidP="00801A70">
      <w:pPr>
        <w:jc w:val="center"/>
      </w:pPr>
      <w:r>
        <w:rPr>
          <w:noProof/>
        </w:rPr>
        <w:lastRenderedPageBreak/>
        <w:drawing>
          <wp:inline distT="0" distB="0" distL="0" distR="0" wp14:anchorId="10C16D47" wp14:editId="276557EA">
            <wp:extent cx="4572000" cy="2743200"/>
            <wp:effectExtent l="0" t="0" r="0" b="0"/>
            <wp:docPr id="1" name="图表 1">
              <a:extLst xmlns:a="http://schemas.openxmlformats.org/drawingml/2006/main">
                <a:ext uri="{FF2B5EF4-FFF2-40B4-BE49-F238E27FC236}">
                  <a16:creationId xmlns:a16="http://schemas.microsoft.com/office/drawing/2014/main" id="{6AF66A37-86F8-4236-A6E5-5C655AE0D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C71A40" w14:textId="6566093F" w:rsidR="00801A70" w:rsidRDefault="00801A70" w:rsidP="00801A70">
      <w:pPr>
        <w:jc w:val="center"/>
      </w:pPr>
      <w:r>
        <w:rPr>
          <w:noProof/>
        </w:rPr>
        <w:drawing>
          <wp:inline distT="0" distB="0" distL="0" distR="0" wp14:anchorId="04744A35" wp14:editId="75EA7B94">
            <wp:extent cx="4595813" cy="2743200"/>
            <wp:effectExtent l="0" t="0" r="0" b="0"/>
            <wp:docPr id="2" name="图表 2">
              <a:extLst xmlns:a="http://schemas.openxmlformats.org/drawingml/2006/main">
                <a:ext uri="{FF2B5EF4-FFF2-40B4-BE49-F238E27FC236}">
                  <a16:creationId xmlns:a16="http://schemas.microsoft.com/office/drawing/2014/main" id="{71DC52FD-D514-4DBE-BCDB-D335320E6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4F2320" w14:textId="7CB220A5" w:rsidR="00CD3F04" w:rsidRDefault="004573BE" w:rsidP="004573BE">
      <w:pPr>
        <w:jc w:val="center"/>
      </w:pPr>
      <w:r>
        <w:rPr>
          <w:noProof/>
        </w:rPr>
        <w:drawing>
          <wp:inline distT="0" distB="0" distL="0" distR="0" wp14:anchorId="2DE27F0C" wp14:editId="3F93D939">
            <wp:extent cx="4572000" cy="2743200"/>
            <wp:effectExtent l="0" t="0" r="0" b="0"/>
            <wp:docPr id="4" name="图表 4">
              <a:extLst xmlns:a="http://schemas.openxmlformats.org/drawingml/2006/main">
                <a:ext uri="{FF2B5EF4-FFF2-40B4-BE49-F238E27FC236}">
                  <a16:creationId xmlns:a16="http://schemas.microsoft.com/office/drawing/2014/main" id="{CB83D094-3C67-4FDE-856C-8AF53DDDB5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77CE303D" wp14:editId="26012E4F">
            <wp:extent cx="4572000" cy="2743200"/>
            <wp:effectExtent l="0" t="0" r="0" b="0"/>
            <wp:docPr id="5" name="图表 5">
              <a:extLst xmlns:a="http://schemas.openxmlformats.org/drawingml/2006/main">
                <a:ext uri="{FF2B5EF4-FFF2-40B4-BE49-F238E27FC236}">
                  <a16:creationId xmlns:a16="http://schemas.microsoft.com/office/drawing/2014/main" id="{4BDBBE13-C31E-4CAD-BAB3-934B4E7F2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9B4A1C" w14:textId="29E4D0CD" w:rsidR="00023FFB" w:rsidRDefault="00023FFB" w:rsidP="004573BE">
      <w:pPr>
        <w:jc w:val="center"/>
        <w:rPr>
          <w:noProof/>
        </w:rPr>
      </w:pPr>
      <w:r>
        <w:rPr>
          <w:noProof/>
        </w:rPr>
        <w:drawing>
          <wp:inline distT="0" distB="0" distL="0" distR="0" wp14:anchorId="47C3BB48" wp14:editId="165A54EF">
            <wp:extent cx="4572000" cy="2743200"/>
            <wp:effectExtent l="0" t="0" r="0" b="0"/>
            <wp:docPr id="7" name="图表 7">
              <a:extLst xmlns:a="http://schemas.openxmlformats.org/drawingml/2006/main">
                <a:ext uri="{FF2B5EF4-FFF2-40B4-BE49-F238E27FC236}">
                  <a16:creationId xmlns:a16="http://schemas.microsoft.com/office/drawing/2014/main" id="{5324279B-97C2-40ED-8D1E-2DACDFD0A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23FFB">
        <w:rPr>
          <w:noProof/>
        </w:rPr>
        <w:t xml:space="preserve"> </w:t>
      </w:r>
      <w:r>
        <w:rPr>
          <w:noProof/>
        </w:rPr>
        <w:drawing>
          <wp:inline distT="0" distB="0" distL="0" distR="0" wp14:anchorId="6B9631D7" wp14:editId="22790C33">
            <wp:extent cx="4572000" cy="2743200"/>
            <wp:effectExtent l="0" t="0" r="0" b="0"/>
            <wp:docPr id="8" name="图表 8">
              <a:extLst xmlns:a="http://schemas.openxmlformats.org/drawingml/2006/main">
                <a:ext uri="{FF2B5EF4-FFF2-40B4-BE49-F238E27FC236}">
                  <a16:creationId xmlns:a16="http://schemas.microsoft.com/office/drawing/2014/main" id="{F03208D5-F540-473A-934C-079A473F72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023FFB">
        <w:rPr>
          <w:noProof/>
        </w:rPr>
        <w:t xml:space="preserve"> </w:t>
      </w:r>
      <w:r>
        <w:rPr>
          <w:noProof/>
        </w:rPr>
        <w:lastRenderedPageBreak/>
        <w:drawing>
          <wp:inline distT="0" distB="0" distL="0" distR="0" wp14:anchorId="331C0258" wp14:editId="18D5BCEC">
            <wp:extent cx="4572000" cy="2743200"/>
            <wp:effectExtent l="0" t="0" r="0" b="0"/>
            <wp:docPr id="9" name="图表 9">
              <a:extLst xmlns:a="http://schemas.openxmlformats.org/drawingml/2006/main">
                <a:ext uri="{FF2B5EF4-FFF2-40B4-BE49-F238E27FC236}">
                  <a16:creationId xmlns:a16="http://schemas.microsoft.com/office/drawing/2014/main" id="{F35D1EC4-681B-42A3-AAD0-F5235FBA1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023FFB">
        <w:rPr>
          <w:noProof/>
        </w:rPr>
        <w:t xml:space="preserve"> </w:t>
      </w:r>
      <w:r>
        <w:rPr>
          <w:noProof/>
        </w:rPr>
        <w:drawing>
          <wp:inline distT="0" distB="0" distL="0" distR="0" wp14:anchorId="505C84DE" wp14:editId="3846CFC0">
            <wp:extent cx="4572000" cy="2743200"/>
            <wp:effectExtent l="0" t="0" r="0" b="0"/>
            <wp:docPr id="10" name="图表 10">
              <a:extLst xmlns:a="http://schemas.openxmlformats.org/drawingml/2006/main">
                <a:ext uri="{FF2B5EF4-FFF2-40B4-BE49-F238E27FC236}">
                  <a16:creationId xmlns:a16="http://schemas.microsoft.com/office/drawing/2014/main" id="{8E7D6CCA-6752-4BE3-BDCA-FA20C5333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023FFB">
        <w:rPr>
          <w:noProof/>
        </w:rPr>
        <w:t xml:space="preserve"> </w:t>
      </w:r>
      <w:r>
        <w:rPr>
          <w:noProof/>
        </w:rPr>
        <w:drawing>
          <wp:inline distT="0" distB="0" distL="0" distR="0" wp14:anchorId="23F79B0C" wp14:editId="5ABD6CA5">
            <wp:extent cx="4572000" cy="2743200"/>
            <wp:effectExtent l="0" t="0" r="0" b="0"/>
            <wp:docPr id="11" name="图表 11">
              <a:extLst xmlns:a="http://schemas.openxmlformats.org/drawingml/2006/main">
                <a:ext uri="{FF2B5EF4-FFF2-40B4-BE49-F238E27FC236}">
                  <a16:creationId xmlns:a16="http://schemas.microsoft.com/office/drawing/2014/main" id="{46A08D50-3013-408F-AF69-77700E730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023FFB">
        <w:rPr>
          <w:noProof/>
        </w:rPr>
        <w:t xml:space="preserve"> </w:t>
      </w:r>
      <w:r>
        <w:rPr>
          <w:noProof/>
        </w:rPr>
        <w:lastRenderedPageBreak/>
        <w:drawing>
          <wp:inline distT="0" distB="0" distL="0" distR="0" wp14:anchorId="1C4A0168" wp14:editId="2FFDD7A6">
            <wp:extent cx="4572000" cy="2743200"/>
            <wp:effectExtent l="0" t="0" r="0" b="0"/>
            <wp:docPr id="13" name="图表 13">
              <a:extLst xmlns:a="http://schemas.openxmlformats.org/drawingml/2006/main">
                <a:ext uri="{FF2B5EF4-FFF2-40B4-BE49-F238E27FC236}">
                  <a16:creationId xmlns:a16="http://schemas.microsoft.com/office/drawing/2014/main" id="{320CF0BC-97A2-4D0C-B8B7-4D3CADEB5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2B0D1B" w14:textId="2A5E5654" w:rsidR="00B90DE9" w:rsidRDefault="00B90DE9" w:rsidP="00B90DE9">
      <w:pPr>
        <w:rPr>
          <w:noProof/>
        </w:rPr>
      </w:pPr>
      <w:r>
        <w:rPr>
          <w:rFonts w:hint="eastAsia"/>
          <w:noProof/>
        </w:rPr>
        <w:t>参考文献：</w:t>
      </w:r>
    </w:p>
    <w:p w14:paraId="67A7E67A" w14:textId="77777777" w:rsidR="009F4B55" w:rsidRDefault="009F4B55" w:rsidP="00B90DE9">
      <w:r>
        <w:rPr>
          <w:rFonts w:hint="eastAsia"/>
        </w:rPr>
        <w:t>《</w:t>
      </w:r>
      <w:r w:rsidRPr="009F4B55">
        <w:rPr>
          <w:rFonts w:hint="eastAsia"/>
        </w:rPr>
        <w:t>何为“业绩比较基准”？</w:t>
      </w:r>
      <w:r>
        <w:rPr>
          <w:rFonts w:hint="eastAsia"/>
        </w:rPr>
        <w:t>》金融监管研究院</w:t>
      </w:r>
    </w:p>
    <w:p w14:paraId="002296C2" w14:textId="0AF9B019" w:rsidR="00B90DE9" w:rsidRDefault="00AF589C" w:rsidP="00B90DE9">
      <w:hyperlink r:id="rId17" w:history="1">
        <w:r w:rsidR="009F4B55" w:rsidRPr="00650FEE">
          <w:rPr>
            <w:rStyle w:val="a3"/>
          </w:rPr>
          <w:t>https://mp.weixin.qq.com/s/Ozam_KZNhnZFNhEE674BOg</w:t>
        </w:r>
      </w:hyperlink>
    </w:p>
    <w:p w14:paraId="27E56FD2" w14:textId="3EEDEB88" w:rsidR="009F4B55" w:rsidRDefault="009F4B55" w:rsidP="00B90DE9">
      <w:r>
        <w:rPr>
          <w:rFonts w:hint="eastAsia"/>
        </w:rPr>
        <w:t>《</w:t>
      </w:r>
      <w:r w:rsidRPr="009F4B55">
        <w:rPr>
          <w:rFonts w:hint="eastAsia"/>
        </w:rPr>
        <w:t>选基必看指标—业绩比较基准</w:t>
      </w:r>
      <w:r>
        <w:rPr>
          <w:rFonts w:hint="eastAsia"/>
        </w:rPr>
        <w:t>》</w:t>
      </w:r>
      <w:proofErr w:type="gramStart"/>
      <w:r w:rsidRPr="009F4B55">
        <w:rPr>
          <w:rFonts w:hint="eastAsia"/>
        </w:rPr>
        <w:t>钜慧微</w:t>
      </w:r>
      <w:proofErr w:type="gramEnd"/>
      <w:r w:rsidRPr="009F4B55">
        <w:rPr>
          <w:rFonts w:hint="eastAsia"/>
        </w:rPr>
        <w:t>服务</w:t>
      </w:r>
    </w:p>
    <w:p w14:paraId="7333CD3C" w14:textId="48719154" w:rsidR="009F4B55" w:rsidRDefault="00AF589C" w:rsidP="00B90DE9">
      <w:hyperlink r:id="rId18" w:history="1">
        <w:r w:rsidR="009F4B55">
          <w:rPr>
            <w:rStyle w:val="a3"/>
          </w:rPr>
          <w:t>https://mp.weixin.qq.com/s/pcr_FZ59ezIrdl349yaI3g</w:t>
        </w:r>
      </w:hyperlink>
    </w:p>
    <w:p w14:paraId="47E123F3" w14:textId="4A2DBF72" w:rsidR="009F4B55" w:rsidRDefault="009F4B55" w:rsidP="00B90DE9">
      <w:r>
        <w:rPr>
          <w:rFonts w:hint="eastAsia"/>
        </w:rPr>
        <w:t>《</w:t>
      </w:r>
      <w:r w:rsidRPr="009F4B55">
        <w:rPr>
          <w:rFonts w:hint="eastAsia"/>
        </w:rPr>
        <w:t>基金业绩比较基准背后的海量信息</w:t>
      </w:r>
      <w:r>
        <w:rPr>
          <w:rFonts w:hint="eastAsia"/>
        </w:rPr>
        <w:t>》</w:t>
      </w:r>
      <w:r w:rsidRPr="009F4B55">
        <w:rPr>
          <w:rFonts w:hint="eastAsia"/>
        </w:rPr>
        <w:t>二鸟说</w:t>
      </w:r>
    </w:p>
    <w:p w14:paraId="58166522" w14:textId="5A793FAC" w:rsidR="009F4B55" w:rsidRDefault="00AF589C" w:rsidP="00B90DE9">
      <w:hyperlink r:id="rId19" w:history="1">
        <w:r w:rsidR="009F4B55">
          <w:rPr>
            <w:rStyle w:val="a3"/>
          </w:rPr>
          <w:t>https://mp.weixin.qq.com/s/EfYjcX6fFb9xtogjPt7Mtw</w:t>
        </w:r>
      </w:hyperlink>
    </w:p>
    <w:p w14:paraId="788C86C4" w14:textId="557103D4" w:rsidR="009F4B55" w:rsidRDefault="009F4B55" w:rsidP="00B90DE9">
      <w:r>
        <w:rPr>
          <w:rFonts w:hint="eastAsia"/>
        </w:rPr>
        <w:t>《</w:t>
      </w:r>
      <w:r w:rsidRPr="009F4B55">
        <w:rPr>
          <w:rFonts w:hint="eastAsia"/>
        </w:rPr>
        <w:t>由海外业绩比较基准规范化做出的中国思考</w:t>
      </w:r>
      <w:r>
        <w:rPr>
          <w:rFonts w:hint="eastAsia"/>
        </w:rPr>
        <w:t>》</w:t>
      </w:r>
      <w:r w:rsidRPr="009F4B55">
        <w:rPr>
          <w:rFonts w:hint="eastAsia"/>
        </w:rPr>
        <w:t>上海证券基金评价</w:t>
      </w:r>
    </w:p>
    <w:p w14:paraId="6BACD04D" w14:textId="54836A6E" w:rsidR="009F4B55" w:rsidRDefault="00AF589C" w:rsidP="00B90DE9">
      <w:hyperlink r:id="rId20" w:history="1">
        <w:r w:rsidR="009F4B55">
          <w:rPr>
            <w:rStyle w:val="a3"/>
          </w:rPr>
          <w:t>https://mp.weixin.qq.com/s/HX13VzzzaRQzDHZEk9pxQw</w:t>
        </w:r>
      </w:hyperlink>
    </w:p>
    <w:p w14:paraId="64ECCF43" w14:textId="702DCF73" w:rsidR="009F4B55" w:rsidRDefault="009F4B55" w:rsidP="00B90DE9">
      <w:r>
        <w:rPr>
          <w:rFonts w:hint="eastAsia"/>
        </w:rPr>
        <w:t>《</w:t>
      </w:r>
      <w:r w:rsidRPr="009F4B55">
        <w:rPr>
          <w:rFonts w:hint="eastAsia"/>
        </w:rPr>
        <w:t>上海证券业绩比较基准系列报告（二）：中美公募基金业绩比较基准设计的差异</w:t>
      </w:r>
      <w:r>
        <w:rPr>
          <w:rFonts w:hint="eastAsia"/>
        </w:rPr>
        <w:t>》</w:t>
      </w:r>
      <w:r w:rsidRPr="009F4B55">
        <w:rPr>
          <w:rFonts w:hint="eastAsia"/>
        </w:rPr>
        <w:t>上海证券基金评价</w:t>
      </w:r>
      <w:hyperlink r:id="rId21" w:history="1">
        <w:r>
          <w:rPr>
            <w:rStyle w:val="a3"/>
          </w:rPr>
          <w:t>https://mp.weixin.qq.com/s/HX13VzzzaRQzDHZEk9pxQw</w:t>
        </w:r>
      </w:hyperlink>
    </w:p>
    <w:p w14:paraId="287C6F95" w14:textId="3D2057AF" w:rsidR="009F4B55" w:rsidRDefault="009F4B55" w:rsidP="00B90DE9">
      <w:r>
        <w:rPr>
          <w:rFonts w:hint="eastAsia"/>
        </w:rPr>
        <w:t>《</w:t>
      </w:r>
      <w:r w:rsidRPr="009F4B55">
        <w:rPr>
          <w:rFonts w:hint="eastAsia"/>
        </w:rPr>
        <w:t>上海证券业绩比较基准系列报告（三）：业绩比较基准的适用性考察——以股票型基金为例</w:t>
      </w:r>
      <w:r>
        <w:rPr>
          <w:rFonts w:hint="eastAsia"/>
        </w:rPr>
        <w:t>》</w:t>
      </w:r>
      <w:r w:rsidRPr="009F4B55">
        <w:rPr>
          <w:rFonts w:hint="eastAsia"/>
        </w:rPr>
        <w:t>上海证券基金评价</w:t>
      </w:r>
      <w:hyperlink r:id="rId22" w:history="1">
        <w:r>
          <w:rPr>
            <w:rStyle w:val="a3"/>
          </w:rPr>
          <w:t>https://mp.weixin.qq.com/s/HX13VzzzaRQzDHZEk9pxQw</w:t>
        </w:r>
      </w:hyperlink>
    </w:p>
    <w:p w14:paraId="32203019" w14:textId="77777777" w:rsidR="006A41AF" w:rsidRDefault="009F4B55" w:rsidP="00B90DE9">
      <w:r>
        <w:rPr>
          <w:rFonts w:hint="eastAsia"/>
        </w:rPr>
        <w:t>《</w:t>
      </w:r>
      <w:r w:rsidRPr="009F4B55">
        <w:rPr>
          <w:rFonts w:hint="eastAsia"/>
        </w:rPr>
        <w:t>上海证券业绩比较基准系列报告（四）：基准内价格指数与收益指数应用浅析</w:t>
      </w:r>
      <w:r>
        <w:rPr>
          <w:rFonts w:hint="eastAsia"/>
        </w:rPr>
        <w:t>》</w:t>
      </w:r>
      <w:r w:rsidRPr="009F4B55">
        <w:rPr>
          <w:rFonts w:hint="eastAsia"/>
        </w:rPr>
        <w:t>上海证券基金评价</w:t>
      </w:r>
    </w:p>
    <w:p w14:paraId="3FE8557C" w14:textId="22FEFBDA" w:rsidR="006A41AF" w:rsidRDefault="00AF589C" w:rsidP="00B90DE9">
      <w:hyperlink r:id="rId23" w:anchor="rd" w:history="1">
        <w:r w:rsidR="006A41AF" w:rsidRPr="00650FEE">
          <w:rPr>
            <w:rStyle w:val="a3"/>
          </w:rPr>
          <w:t>https://mp.weixin.qq.com/s?__biz=MzA3NzU1MTg2Mg==&amp;mid=2247484523&amp;idx=1&amp;sn=9c424845994c71a48555a5fad0719f2a&amp;chksm=9f5105f2a8268ce46a6ce603cdca6b1fa073b6454e469b8a6350cc94fca7eb3fe396d6e99f2d&amp;scene=178&amp;cur_album_id=1436514385425514498#rd</w:t>
        </w:r>
      </w:hyperlink>
    </w:p>
    <w:p w14:paraId="6C97C753" w14:textId="4A965EC1" w:rsidR="006A41AF" w:rsidRDefault="006A41AF" w:rsidP="00B90DE9">
      <w:r>
        <w:rPr>
          <w:rFonts w:hint="eastAsia"/>
        </w:rPr>
        <w:t>《</w:t>
      </w:r>
      <w:r w:rsidRPr="006A41AF">
        <w:rPr>
          <w:rFonts w:hint="eastAsia"/>
        </w:rPr>
        <w:t>如何构建有效的基金业绩比较基准？</w:t>
      </w:r>
      <w:r>
        <w:rPr>
          <w:rFonts w:hint="eastAsia"/>
        </w:rPr>
        <w:t>》量化先行者</w:t>
      </w:r>
      <w:r>
        <w:rPr>
          <w:rFonts w:hint="eastAsia"/>
        </w:rPr>
        <w:t xml:space="preserve"> </w:t>
      </w:r>
    </w:p>
    <w:p w14:paraId="05BDF8B2" w14:textId="56A98F7B" w:rsidR="006A41AF" w:rsidRDefault="00AF589C" w:rsidP="00B90DE9">
      <w:hyperlink r:id="rId24" w:history="1">
        <w:r w:rsidR="006A41AF">
          <w:rPr>
            <w:rStyle w:val="a3"/>
          </w:rPr>
          <w:t>https://mp.weixin.qq.com/s/_Bagd8B70IpzQPjHvHmMcA</w:t>
        </w:r>
      </w:hyperlink>
    </w:p>
    <w:p w14:paraId="41F252D3" w14:textId="65BDC5D9" w:rsidR="006A41AF" w:rsidRDefault="006A41AF" w:rsidP="00B90DE9">
      <w:proofErr w:type="gramStart"/>
      <w:r>
        <w:rPr>
          <w:rFonts w:hint="eastAsia"/>
        </w:rPr>
        <w:t>《</w:t>
      </w:r>
      <w:r w:rsidRPr="006A41AF">
        <w:rPr>
          <w:rFonts w:hint="eastAsia"/>
        </w:rPr>
        <w:t>&lt;</w:t>
      </w:r>
      <w:r w:rsidRPr="006A41AF">
        <w:rPr>
          <w:rFonts w:hint="eastAsia"/>
        </w:rPr>
        <w:t>多资产投资</w:t>
      </w:r>
      <w:r w:rsidRPr="006A41AF">
        <w:rPr>
          <w:rFonts w:hint="eastAsia"/>
        </w:rPr>
        <w:t>&gt;-</w:t>
      </w:r>
      <w:r w:rsidRPr="006A41AF">
        <w:rPr>
          <w:rFonts w:hint="eastAsia"/>
        </w:rPr>
        <w:t>业绩比较基准</w:t>
      </w:r>
      <w:r>
        <w:rPr>
          <w:rFonts w:hint="eastAsia"/>
        </w:rPr>
        <w:t>》</w:t>
      </w:r>
      <w:r w:rsidRPr="006A41AF">
        <w:rPr>
          <w:rFonts w:hint="eastAsia"/>
        </w:rPr>
        <w:t>合晶睿智</w:t>
      </w:r>
      <w:proofErr w:type="gramEnd"/>
    </w:p>
    <w:p w14:paraId="3C5BFA3D" w14:textId="1049FDD2" w:rsidR="006A41AF" w:rsidRPr="006A41AF" w:rsidRDefault="00AF589C" w:rsidP="00B90DE9">
      <w:hyperlink r:id="rId25" w:history="1">
        <w:r w:rsidR="006A41AF">
          <w:rPr>
            <w:rStyle w:val="a3"/>
          </w:rPr>
          <w:t>https://mp.weixin.qq.com/s/nBvlTHMWDUi4INVGLv_WSg</w:t>
        </w:r>
      </w:hyperlink>
    </w:p>
    <w:sectPr w:rsidR="006A41AF" w:rsidRPr="006A41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32796"/>
    <w:multiLevelType w:val="hybridMultilevel"/>
    <w:tmpl w:val="BC6CE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497399F"/>
    <w:multiLevelType w:val="hybridMultilevel"/>
    <w:tmpl w:val="84C28A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3C371E"/>
    <w:multiLevelType w:val="multilevel"/>
    <w:tmpl w:val="4EAA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49AE"/>
    <w:rsid w:val="00023FFB"/>
    <w:rsid w:val="000D68E2"/>
    <w:rsid w:val="000F1414"/>
    <w:rsid w:val="001C63CC"/>
    <w:rsid w:val="003349AE"/>
    <w:rsid w:val="00402571"/>
    <w:rsid w:val="004573BE"/>
    <w:rsid w:val="00644434"/>
    <w:rsid w:val="00672DF2"/>
    <w:rsid w:val="006A41AF"/>
    <w:rsid w:val="00715753"/>
    <w:rsid w:val="00801A70"/>
    <w:rsid w:val="009F4B55"/>
    <w:rsid w:val="00AF589C"/>
    <w:rsid w:val="00B90DE9"/>
    <w:rsid w:val="00BA14AF"/>
    <w:rsid w:val="00CD3F04"/>
    <w:rsid w:val="00DD4857"/>
    <w:rsid w:val="00E81579"/>
    <w:rsid w:val="00F37097"/>
    <w:rsid w:val="00F401A2"/>
    <w:rsid w:val="00F62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FA0E"/>
  <w15:chartTrackingRefBased/>
  <w15:docId w15:val="{63C85CE3-717A-436E-94DF-2CD8D08E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401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B55"/>
    <w:rPr>
      <w:color w:val="0000FF"/>
      <w:u w:val="single"/>
    </w:rPr>
  </w:style>
  <w:style w:type="character" w:styleId="a4">
    <w:name w:val="Unresolved Mention"/>
    <w:basedOn w:val="a0"/>
    <w:uiPriority w:val="99"/>
    <w:semiHidden/>
    <w:unhideWhenUsed/>
    <w:rsid w:val="009F4B55"/>
    <w:rPr>
      <w:color w:val="605E5C"/>
      <w:shd w:val="clear" w:color="auto" w:fill="E1DFDD"/>
    </w:rPr>
  </w:style>
  <w:style w:type="character" w:styleId="a5">
    <w:name w:val="FollowedHyperlink"/>
    <w:basedOn w:val="a0"/>
    <w:uiPriority w:val="99"/>
    <w:semiHidden/>
    <w:unhideWhenUsed/>
    <w:rsid w:val="009F4B55"/>
    <w:rPr>
      <w:color w:val="800080" w:themeColor="followedHyperlink"/>
      <w:u w:val="single"/>
    </w:rPr>
  </w:style>
  <w:style w:type="paragraph" w:styleId="a6">
    <w:name w:val="List Paragraph"/>
    <w:basedOn w:val="a"/>
    <w:uiPriority w:val="34"/>
    <w:qFormat/>
    <w:rsid w:val="00672DF2"/>
    <w:pPr>
      <w:ind w:firstLineChars="200" w:firstLine="420"/>
    </w:pPr>
  </w:style>
  <w:style w:type="character" w:styleId="a7">
    <w:name w:val="Placeholder Text"/>
    <w:basedOn w:val="a0"/>
    <w:uiPriority w:val="99"/>
    <w:semiHidden/>
    <w:rsid w:val="00715753"/>
    <w:rPr>
      <w:color w:val="808080"/>
    </w:rPr>
  </w:style>
  <w:style w:type="paragraph" w:customStyle="1" w:styleId="AMDisplayEquation">
    <w:name w:val="AMDisplayEquation"/>
    <w:basedOn w:val="a"/>
    <w:next w:val="a"/>
    <w:link w:val="AMDisplayEquation0"/>
    <w:rsid w:val="00715753"/>
    <w:pPr>
      <w:tabs>
        <w:tab w:val="center" w:pos="4160"/>
        <w:tab w:val="right" w:pos="8300"/>
      </w:tabs>
      <w:ind w:firstLine="420"/>
    </w:pPr>
  </w:style>
  <w:style w:type="character" w:customStyle="1" w:styleId="AMDisplayEquation0">
    <w:name w:val="AMDisplayEquation 字符"/>
    <w:basedOn w:val="a0"/>
    <w:link w:val="AMDisplayEquation"/>
    <w:rsid w:val="00715753"/>
  </w:style>
  <w:style w:type="character" w:styleId="a8">
    <w:name w:val="Strong"/>
    <w:basedOn w:val="a0"/>
    <w:uiPriority w:val="22"/>
    <w:qFormat/>
    <w:rsid w:val="00E81579"/>
    <w:rPr>
      <w:b/>
      <w:bCs/>
    </w:rPr>
  </w:style>
  <w:style w:type="character" w:styleId="a9">
    <w:name w:val="Emphasis"/>
    <w:basedOn w:val="a0"/>
    <w:uiPriority w:val="20"/>
    <w:qFormat/>
    <w:rsid w:val="00E81579"/>
    <w:rPr>
      <w:i/>
      <w:iCs/>
    </w:rPr>
  </w:style>
  <w:style w:type="paragraph" w:styleId="aa">
    <w:name w:val="Normal (Web)"/>
    <w:basedOn w:val="a"/>
    <w:uiPriority w:val="99"/>
    <w:semiHidden/>
    <w:unhideWhenUsed/>
    <w:rsid w:val="00E8157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401A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570">
      <w:bodyDiv w:val="1"/>
      <w:marLeft w:val="0"/>
      <w:marRight w:val="0"/>
      <w:marTop w:val="0"/>
      <w:marBottom w:val="0"/>
      <w:divBdr>
        <w:top w:val="none" w:sz="0" w:space="0" w:color="auto"/>
        <w:left w:val="none" w:sz="0" w:space="0" w:color="auto"/>
        <w:bottom w:val="none" w:sz="0" w:space="0" w:color="auto"/>
        <w:right w:val="none" w:sz="0" w:space="0" w:color="auto"/>
      </w:divBdr>
    </w:div>
    <w:div w:id="16004491">
      <w:bodyDiv w:val="1"/>
      <w:marLeft w:val="0"/>
      <w:marRight w:val="0"/>
      <w:marTop w:val="0"/>
      <w:marBottom w:val="0"/>
      <w:divBdr>
        <w:top w:val="none" w:sz="0" w:space="0" w:color="auto"/>
        <w:left w:val="none" w:sz="0" w:space="0" w:color="auto"/>
        <w:bottom w:val="none" w:sz="0" w:space="0" w:color="auto"/>
        <w:right w:val="none" w:sz="0" w:space="0" w:color="auto"/>
      </w:divBdr>
    </w:div>
    <w:div w:id="27537075">
      <w:bodyDiv w:val="1"/>
      <w:marLeft w:val="0"/>
      <w:marRight w:val="0"/>
      <w:marTop w:val="0"/>
      <w:marBottom w:val="0"/>
      <w:divBdr>
        <w:top w:val="none" w:sz="0" w:space="0" w:color="auto"/>
        <w:left w:val="none" w:sz="0" w:space="0" w:color="auto"/>
        <w:bottom w:val="none" w:sz="0" w:space="0" w:color="auto"/>
        <w:right w:val="none" w:sz="0" w:space="0" w:color="auto"/>
      </w:divBdr>
    </w:div>
    <w:div w:id="91049842">
      <w:bodyDiv w:val="1"/>
      <w:marLeft w:val="0"/>
      <w:marRight w:val="0"/>
      <w:marTop w:val="0"/>
      <w:marBottom w:val="0"/>
      <w:divBdr>
        <w:top w:val="none" w:sz="0" w:space="0" w:color="auto"/>
        <w:left w:val="none" w:sz="0" w:space="0" w:color="auto"/>
        <w:bottom w:val="none" w:sz="0" w:space="0" w:color="auto"/>
        <w:right w:val="none" w:sz="0" w:space="0" w:color="auto"/>
      </w:divBdr>
    </w:div>
    <w:div w:id="102069449">
      <w:bodyDiv w:val="1"/>
      <w:marLeft w:val="0"/>
      <w:marRight w:val="0"/>
      <w:marTop w:val="0"/>
      <w:marBottom w:val="0"/>
      <w:divBdr>
        <w:top w:val="none" w:sz="0" w:space="0" w:color="auto"/>
        <w:left w:val="none" w:sz="0" w:space="0" w:color="auto"/>
        <w:bottom w:val="none" w:sz="0" w:space="0" w:color="auto"/>
        <w:right w:val="none" w:sz="0" w:space="0" w:color="auto"/>
      </w:divBdr>
    </w:div>
    <w:div w:id="345911903">
      <w:bodyDiv w:val="1"/>
      <w:marLeft w:val="0"/>
      <w:marRight w:val="0"/>
      <w:marTop w:val="0"/>
      <w:marBottom w:val="0"/>
      <w:divBdr>
        <w:top w:val="none" w:sz="0" w:space="0" w:color="auto"/>
        <w:left w:val="none" w:sz="0" w:space="0" w:color="auto"/>
        <w:bottom w:val="none" w:sz="0" w:space="0" w:color="auto"/>
        <w:right w:val="none" w:sz="0" w:space="0" w:color="auto"/>
      </w:divBdr>
    </w:div>
    <w:div w:id="378433354">
      <w:bodyDiv w:val="1"/>
      <w:marLeft w:val="0"/>
      <w:marRight w:val="0"/>
      <w:marTop w:val="0"/>
      <w:marBottom w:val="0"/>
      <w:divBdr>
        <w:top w:val="none" w:sz="0" w:space="0" w:color="auto"/>
        <w:left w:val="none" w:sz="0" w:space="0" w:color="auto"/>
        <w:bottom w:val="none" w:sz="0" w:space="0" w:color="auto"/>
        <w:right w:val="none" w:sz="0" w:space="0" w:color="auto"/>
      </w:divBdr>
    </w:div>
    <w:div w:id="557785002">
      <w:bodyDiv w:val="1"/>
      <w:marLeft w:val="0"/>
      <w:marRight w:val="0"/>
      <w:marTop w:val="0"/>
      <w:marBottom w:val="0"/>
      <w:divBdr>
        <w:top w:val="none" w:sz="0" w:space="0" w:color="auto"/>
        <w:left w:val="none" w:sz="0" w:space="0" w:color="auto"/>
        <w:bottom w:val="none" w:sz="0" w:space="0" w:color="auto"/>
        <w:right w:val="none" w:sz="0" w:space="0" w:color="auto"/>
      </w:divBdr>
    </w:div>
    <w:div w:id="569577469">
      <w:bodyDiv w:val="1"/>
      <w:marLeft w:val="0"/>
      <w:marRight w:val="0"/>
      <w:marTop w:val="0"/>
      <w:marBottom w:val="0"/>
      <w:divBdr>
        <w:top w:val="none" w:sz="0" w:space="0" w:color="auto"/>
        <w:left w:val="none" w:sz="0" w:space="0" w:color="auto"/>
        <w:bottom w:val="none" w:sz="0" w:space="0" w:color="auto"/>
        <w:right w:val="none" w:sz="0" w:space="0" w:color="auto"/>
      </w:divBdr>
    </w:div>
    <w:div w:id="739329370">
      <w:bodyDiv w:val="1"/>
      <w:marLeft w:val="0"/>
      <w:marRight w:val="0"/>
      <w:marTop w:val="0"/>
      <w:marBottom w:val="0"/>
      <w:divBdr>
        <w:top w:val="none" w:sz="0" w:space="0" w:color="auto"/>
        <w:left w:val="none" w:sz="0" w:space="0" w:color="auto"/>
        <w:bottom w:val="none" w:sz="0" w:space="0" w:color="auto"/>
        <w:right w:val="none" w:sz="0" w:space="0" w:color="auto"/>
      </w:divBdr>
    </w:div>
    <w:div w:id="947350767">
      <w:bodyDiv w:val="1"/>
      <w:marLeft w:val="0"/>
      <w:marRight w:val="0"/>
      <w:marTop w:val="0"/>
      <w:marBottom w:val="0"/>
      <w:divBdr>
        <w:top w:val="none" w:sz="0" w:space="0" w:color="auto"/>
        <w:left w:val="none" w:sz="0" w:space="0" w:color="auto"/>
        <w:bottom w:val="none" w:sz="0" w:space="0" w:color="auto"/>
        <w:right w:val="none" w:sz="0" w:space="0" w:color="auto"/>
      </w:divBdr>
    </w:div>
    <w:div w:id="1539703960">
      <w:bodyDiv w:val="1"/>
      <w:marLeft w:val="0"/>
      <w:marRight w:val="0"/>
      <w:marTop w:val="0"/>
      <w:marBottom w:val="0"/>
      <w:divBdr>
        <w:top w:val="none" w:sz="0" w:space="0" w:color="auto"/>
        <w:left w:val="none" w:sz="0" w:space="0" w:color="auto"/>
        <w:bottom w:val="none" w:sz="0" w:space="0" w:color="auto"/>
        <w:right w:val="none" w:sz="0" w:space="0" w:color="auto"/>
      </w:divBdr>
    </w:div>
    <w:div w:id="196911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s://mp.weixin.qq.com/s/pcr_FZ59ezIrdl349yaI3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p.weixin.qq.com/s/HX13VzzzaRQzDHZEk9pxQw" TargetMode="Externa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mp.weixin.qq.com/s/Ozam_KZNhnZFNhEE674BOg" TargetMode="External"/><Relationship Id="rId25" Type="http://schemas.openxmlformats.org/officeDocument/2006/relationships/hyperlink" Target="https://mp.weixin.qq.com/s/nBvlTHMWDUi4INVGLv_WSg" TargetMode="Externa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hyperlink" Target="https://mp.weixin.qq.com/s/HX13VzzzaRQzDHZEk9pxQw"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5.xml"/><Relationship Id="rId24" Type="http://schemas.openxmlformats.org/officeDocument/2006/relationships/hyperlink" Target="https://mp.weixin.qq.com/s/_Bagd8B70IpzQPjHvHmMcA" TargetMode="External"/><Relationship Id="rId5" Type="http://schemas.openxmlformats.org/officeDocument/2006/relationships/image" Target="media/image1.wmf"/><Relationship Id="rId15" Type="http://schemas.openxmlformats.org/officeDocument/2006/relationships/chart" Target="charts/chart9.xml"/><Relationship Id="rId23" Type="http://schemas.openxmlformats.org/officeDocument/2006/relationships/hyperlink" Target="https://mp.weixin.qq.com/s?__biz=MzA3NzU1MTg2Mg==&amp;mid=2247484523&amp;idx=1&amp;sn=9c424845994c71a48555a5fad0719f2a&amp;chksm=9f5105f2a8268ce46a6ce603cdca6b1fa073b6454e469b8a6350cc94fca7eb3fe396d6e99f2d&amp;scene=178&amp;cur_album_id=1436514385425514498" TargetMode="External"/><Relationship Id="rId10" Type="http://schemas.openxmlformats.org/officeDocument/2006/relationships/chart" Target="charts/chart4.xml"/><Relationship Id="rId19" Type="http://schemas.openxmlformats.org/officeDocument/2006/relationships/hyperlink" Target="https://mp.weixin.qq.com/s/EfYjcX6fFb9xtogjPt7Mtw"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hyperlink" Target="https://mp.weixin.qq.com/s/HX13VzzzaRQzDHZEk9pxQw"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24191;&#21457;&#37329;&#24037;\&#35838;&#39064;1%20&#20027;&#21160;&#22522;&#37329;&#19994;&#32489;&#27604;&#36739;&#22522;&#20934;&#36873;&#25321;&#30740;&#31350;\result\&#20108;&#32423;&#20998;&#31867;_&#32479;&#3574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偏股混合型基金所选股指基准对应的基金数目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结论!$B$18</c:f>
              <c:strCache>
                <c:ptCount val="1"/>
                <c:pt idx="0">
                  <c:v>基准对应的基金数目</c:v>
                </c:pt>
              </c:strCache>
            </c:strRef>
          </c:tx>
          <c:spPr>
            <a:solidFill>
              <a:schemeClr val="accent1"/>
            </a:solidFill>
            <a:ln>
              <a:noFill/>
            </a:ln>
            <a:effectLst/>
          </c:spPr>
          <c:invertIfNegative val="0"/>
          <c:cat>
            <c:strRef>
              <c:f>结论!$A$19:$A$38</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结论!$B$19:$B$38</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90C7-4F79-84C6-DD834BA66B36}"/>
            </c:ext>
          </c:extLst>
        </c:ser>
        <c:dLbls>
          <c:showLegendKey val="0"/>
          <c:showVal val="0"/>
          <c:showCatName val="0"/>
          <c:showSerName val="0"/>
          <c:showPercent val="0"/>
          <c:showBubbleSize val="0"/>
        </c:dLbls>
        <c:gapWidth val="182"/>
        <c:axId val="1323909568"/>
        <c:axId val="1323910880"/>
      </c:barChart>
      <c:catAx>
        <c:axId val="1323909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3910880"/>
        <c:crosses val="autoZero"/>
        <c:auto val="1"/>
        <c:lblAlgn val="ctr"/>
        <c:lblOffset val="100"/>
        <c:noMultiLvlLbl val="0"/>
      </c:catAx>
      <c:valAx>
        <c:axId val="132391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390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偏债混合型基金所选</a:t>
            </a:r>
            <a:r>
              <a:rPr lang="zh-CN" altLang="en-US" sz="1400" b="0" i="0" baseline="0">
                <a:effectLst/>
              </a:rPr>
              <a:t>债</a:t>
            </a:r>
            <a:r>
              <a:rPr lang="zh-CN" altLang="zh-CN" sz="1400" b="0" i="0" baseline="0">
                <a:effectLst/>
              </a:rPr>
              <a:t>指基准对应的基金数目</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结论!$E$108</c:f>
              <c:strCache>
                <c:ptCount val="1"/>
                <c:pt idx="0">
                  <c:v>基准对应的基金数目</c:v>
                </c:pt>
              </c:strCache>
            </c:strRef>
          </c:tx>
          <c:spPr>
            <a:solidFill>
              <a:schemeClr val="accent1"/>
            </a:solidFill>
            <a:ln>
              <a:noFill/>
            </a:ln>
            <a:effectLst/>
          </c:spPr>
          <c:invertIfNegative val="0"/>
          <c:cat>
            <c:strRef>
              <c:f>结论!$D$109:$D$128</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结论!$E$109:$E$128</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9FFF-4CEE-879F-375D0089ABE0}"/>
            </c:ext>
          </c:extLst>
        </c:ser>
        <c:dLbls>
          <c:showLegendKey val="0"/>
          <c:showVal val="0"/>
          <c:showCatName val="0"/>
          <c:showSerName val="0"/>
          <c:showPercent val="0"/>
          <c:showBubbleSize val="0"/>
        </c:dLbls>
        <c:gapWidth val="182"/>
        <c:axId val="1326176496"/>
        <c:axId val="1326169936"/>
      </c:barChart>
      <c:catAx>
        <c:axId val="1326176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6169936"/>
        <c:crosses val="autoZero"/>
        <c:auto val="1"/>
        <c:lblAlgn val="ctr"/>
        <c:lblOffset val="100"/>
        <c:noMultiLvlLbl val="0"/>
      </c:catAx>
      <c:valAx>
        <c:axId val="132616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617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偏股混合型基金所选</a:t>
            </a:r>
            <a:r>
              <a:rPr lang="zh-CN" altLang="en-US" sz="1400" b="0" i="0" baseline="0">
                <a:effectLst/>
              </a:rPr>
              <a:t>债</a:t>
            </a:r>
            <a:r>
              <a:rPr lang="zh-CN" altLang="zh-CN" sz="1400" b="0" i="0" baseline="0">
                <a:effectLst/>
              </a:rPr>
              <a:t>指基准对应的基金数目</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结论!$E$18</c:f>
              <c:strCache>
                <c:ptCount val="1"/>
                <c:pt idx="0">
                  <c:v>基准对应的基金数目</c:v>
                </c:pt>
              </c:strCache>
            </c:strRef>
          </c:tx>
          <c:spPr>
            <a:solidFill>
              <a:schemeClr val="accent1"/>
            </a:solidFill>
            <a:ln>
              <a:noFill/>
            </a:ln>
            <a:effectLst/>
          </c:spPr>
          <c:invertIfNegative val="0"/>
          <c:cat>
            <c:strRef>
              <c:f>结论!$D$19:$D$38</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结论!$E$19:$E$38</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215F-4FC9-AF35-8CD247204B9E}"/>
            </c:ext>
          </c:extLst>
        </c:ser>
        <c:dLbls>
          <c:showLegendKey val="0"/>
          <c:showVal val="0"/>
          <c:showCatName val="0"/>
          <c:showSerName val="0"/>
          <c:showPercent val="0"/>
          <c:showBubbleSize val="0"/>
        </c:dLbls>
        <c:gapWidth val="182"/>
        <c:axId val="1332704576"/>
        <c:axId val="1332705232"/>
      </c:barChart>
      <c:catAx>
        <c:axId val="13327045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705232"/>
        <c:crosses val="autoZero"/>
        <c:auto val="1"/>
        <c:lblAlgn val="ctr"/>
        <c:lblOffset val="100"/>
        <c:noMultiLvlLbl val="0"/>
      </c:catAx>
      <c:valAx>
        <c:axId val="1332705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704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灵活配置型基金所选</a:t>
            </a:r>
            <a:r>
              <a:rPr lang="zh-CN" altLang="en-US" sz="1400" b="0" i="0" u="none" strike="noStrike" baseline="0">
                <a:effectLst/>
              </a:rPr>
              <a:t>股指</a:t>
            </a:r>
            <a:r>
              <a:rPr lang="zh-CN" altLang="en-US"/>
              <a:t>基准对应的基金数目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结论!$B$40</c:f>
              <c:strCache>
                <c:ptCount val="1"/>
                <c:pt idx="0">
                  <c:v>基准对应的基金数目</c:v>
                </c:pt>
              </c:strCache>
            </c:strRef>
          </c:tx>
          <c:spPr>
            <a:solidFill>
              <a:schemeClr val="accent1"/>
            </a:solidFill>
            <a:ln>
              <a:noFill/>
            </a:ln>
            <a:effectLst/>
          </c:spPr>
          <c:invertIfNegative val="0"/>
          <c:cat>
            <c:strRef>
              <c:f>结论!$A$41:$A$60</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结论!$B$41:$B$60</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C417-4362-AD56-D6B83D86CF3B}"/>
            </c:ext>
          </c:extLst>
        </c:ser>
        <c:dLbls>
          <c:showLegendKey val="0"/>
          <c:showVal val="0"/>
          <c:showCatName val="0"/>
          <c:showSerName val="0"/>
          <c:showPercent val="0"/>
          <c:showBubbleSize val="0"/>
        </c:dLbls>
        <c:gapWidth val="182"/>
        <c:axId val="1678398584"/>
        <c:axId val="1678399896"/>
      </c:barChart>
      <c:catAx>
        <c:axId val="1678398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399896"/>
        <c:crosses val="autoZero"/>
        <c:auto val="1"/>
        <c:lblAlgn val="ctr"/>
        <c:lblOffset val="100"/>
        <c:noMultiLvlLbl val="0"/>
      </c:catAx>
      <c:valAx>
        <c:axId val="1678399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398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灵活配置型基金所选债指基准对应的基金数目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结论!$E$40</c:f>
              <c:strCache>
                <c:ptCount val="1"/>
                <c:pt idx="0">
                  <c:v>基准对应的基金数目</c:v>
                </c:pt>
              </c:strCache>
            </c:strRef>
          </c:tx>
          <c:spPr>
            <a:solidFill>
              <a:schemeClr val="accent1"/>
            </a:solidFill>
            <a:ln>
              <a:noFill/>
            </a:ln>
            <a:effectLst/>
          </c:spPr>
          <c:invertIfNegative val="0"/>
          <c:cat>
            <c:strRef>
              <c:f>结论!$D$41:$D$60</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结论!$E$41:$E$60</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AF89-4A1A-B55F-67CD84EC7277}"/>
            </c:ext>
          </c:extLst>
        </c:ser>
        <c:dLbls>
          <c:showLegendKey val="0"/>
          <c:showVal val="0"/>
          <c:showCatName val="0"/>
          <c:showSerName val="0"/>
          <c:showPercent val="0"/>
          <c:showBubbleSize val="0"/>
        </c:dLbls>
        <c:gapWidth val="182"/>
        <c:axId val="1332696376"/>
        <c:axId val="1332697360"/>
      </c:barChart>
      <c:catAx>
        <c:axId val="1332696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97360"/>
        <c:crosses val="autoZero"/>
        <c:auto val="1"/>
        <c:lblAlgn val="ctr"/>
        <c:lblOffset val="100"/>
        <c:noMultiLvlLbl val="0"/>
      </c:catAx>
      <c:valAx>
        <c:axId val="133269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96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增强指数型基金所选股指基准对应的基金数目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结论!$B$63</c:f>
              <c:strCache>
                <c:ptCount val="1"/>
                <c:pt idx="0">
                  <c:v>基准对应的基金数目</c:v>
                </c:pt>
              </c:strCache>
            </c:strRef>
          </c:tx>
          <c:spPr>
            <a:solidFill>
              <a:schemeClr val="accent1"/>
            </a:solidFill>
            <a:ln>
              <a:noFill/>
            </a:ln>
            <a:effectLst/>
          </c:spPr>
          <c:invertIfNegative val="0"/>
          <c:cat>
            <c:strRef>
              <c:f>结论!$A$64:$A$83</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结论!$B$64:$B$83</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34E7-4F3D-919B-9D112D2949D5}"/>
            </c:ext>
          </c:extLst>
        </c:ser>
        <c:dLbls>
          <c:showLegendKey val="0"/>
          <c:showVal val="0"/>
          <c:showCatName val="0"/>
          <c:showSerName val="0"/>
          <c:showPercent val="0"/>
          <c:showBubbleSize val="0"/>
        </c:dLbls>
        <c:gapWidth val="182"/>
        <c:axId val="1683425608"/>
        <c:axId val="1683420032"/>
      </c:barChart>
      <c:catAx>
        <c:axId val="16834256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3420032"/>
        <c:crosses val="autoZero"/>
        <c:auto val="1"/>
        <c:lblAlgn val="ctr"/>
        <c:lblOffset val="100"/>
        <c:noMultiLvlLbl val="0"/>
      </c:catAx>
      <c:valAx>
        <c:axId val="1683420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83425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增强指数型基金所选</a:t>
            </a:r>
            <a:r>
              <a:rPr lang="zh-CN" altLang="en-US" sz="1400" b="0" i="0" baseline="0">
                <a:effectLst/>
              </a:rPr>
              <a:t>债</a:t>
            </a:r>
            <a:r>
              <a:rPr lang="zh-CN" altLang="zh-CN" sz="1400" b="0" i="0" baseline="0">
                <a:effectLst/>
              </a:rPr>
              <a:t>指基准对应的基金数目</a:t>
            </a:r>
            <a:endParaRPr lang="zh-CN" altLang="zh-CN"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结论!$E$63</c:f>
              <c:strCache>
                <c:ptCount val="1"/>
                <c:pt idx="0">
                  <c:v>基准对应的基金数目</c:v>
                </c:pt>
              </c:strCache>
            </c:strRef>
          </c:tx>
          <c:spPr>
            <a:solidFill>
              <a:schemeClr val="accent1"/>
            </a:solidFill>
            <a:ln>
              <a:noFill/>
            </a:ln>
            <a:effectLst/>
          </c:spPr>
          <c:invertIfNegative val="0"/>
          <c:cat>
            <c:strRef>
              <c:f>结论!$D$64:$D$83</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结论!$E$64:$E$83</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8316-4F9F-8A5E-E44C90B03740}"/>
            </c:ext>
          </c:extLst>
        </c:ser>
        <c:dLbls>
          <c:showLegendKey val="0"/>
          <c:showVal val="0"/>
          <c:showCatName val="0"/>
          <c:showSerName val="0"/>
          <c:showPercent val="0"/>
          <c:showBubbleSize val="0"/>
        </c:dLbls>
        <c:gapWidth val="182"/>
        <c:axId val="1679871976"/>
        <c:axId val="1679866728"/>
      </c:barChart>
      <c:catAx>
        <c:axId val="1679871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9866728"/>
        <c:crosses val="autoZero"/>
        <c:auto val="1"/>
        <c:lblAlgn val="ctr"/>
        <c:lblOffset val="100"/>
        <c:noMultiLvlLbl val="0"/>
      </c:catAx>
      <c:valAx>
        <c:axId val="1679866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9871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普通股票型基金所选股指基准对应的基金数目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结论!$B$86</c:f>
              <c:strCache>
                <c:ptCount val="1"/>
                <c:pt idx="0">
                  <c:v>基准对应的基金数目</c:v>
                </c:pt>
              </c:strCache>
            </c:strRef>
          </c:tx>
          <c:spPr>
            <a:solidFill>
              <a:schemeClr val="accent1"/>
            </a:solidFill>
            <a:ln>
              <a:noFill/>
            </a:ln>
            <a:effectLst/>
          </c:spPr>
          <c:invertIfNegative val="0"/>
          <c:cat>
            <c:strRef>
              <c:f>结论!$A$87:$A$106</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结论!$B$87:$B$106</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340E-46A7-A3E1-58275035856A}"/>
            </c:ext>
          </c:extLst>
        </c:ser>
        <c:dLbls>
          <c:showLegendKey val="0"/>
          <c:showVal val="0"/>
          <c:showCatName val="0"/>
          <c:showSerName val="0"/>
          <c:showPercent val="0"/>
          <c:showBubbleSize val="0"/>
        </c:dLbls>
        <c:gapWidth val="182"/>
        <c:axId val="1332688832"/>
        <c:axId val="1332687848"/>
      </c:barChart>
      <c:catAx>
        <c:axId val="1332688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87848"/>
        <c:crosses val="autoZero"/>
        <c:auto val="1"/>
        <c:lblAlgn val="ctr"/>
        <c:lblOffset val="100"/>
        <c:noMultiLvlLbl val="0"/>
      </c:catAx>
      <c:valAx>
        <c:axId val="1332687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88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普通股票型基金所选</a:t>
            </a:r>
            <a:r>
              <a:rPr lang="zh-CN" altLang="en-US" sz="1400" b="0" i="0" u="none" strike="noStrike" baseline="0">
                <a:effectLst/>
              </a:rPr>
              <a:t>债</a:t>
            </a:r>
            <a:r>
              <a:rPr lang="zh-CN" altLang="zh-CN" sz="1400" b="0" i="0" u="none" strike="noStrike" baseline="0">
                <a:effectLst/>
              </a:rPr>
              <a:t>指</a:t>
            </a:r>
            <a:r>
              <a:rPr lang="zh-CN" altLang="en-US"/>
              <a:t>基准对应的基金数目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结论!$E$86</c:f>
              <c:strCache>
                <c:ptCount val="1"/>
                <c:pt idx="0">
                  <c:v>基准对应的基金数目</c:v>
                </c:pt>
              </c:strCache>
            </c:strRef>
          </c:tx>
          <c:spPr>
            <a:solidFill>
              <a:schemeClr val="accent1"/>
            </a:solidFill>
            <a:ln>
              <a:noFill/>
            </a:ln>
            <a:effectLst/>
          </c:spPr>
          <c:invertIfNegative val="0"/>
          <c:cat>
            <c:strRef>
              <c:f>结论!$D$87:$D$106</c:f>
              <c:strCache>
                <c:ptCount val="20"/>
                <c:pt idx="0">
                  <c:v>上证国债指数收益率</c:v>
                </c:pt>
                <c:pt idx="1">
                  <c:v>中债综合指数收益率</c:v>
                </c:pt>
                <c:pt idx="2">
                  <c:v>中证全债指数收益率</c:v>
                </c:pt>
                <c:pt idx="3">
                  <c:v>中证综合债指数收益率</c:v>
                </c:pt>
                <c:pt idx="4">
                  <c:v>中债综合全价指数收益率</c:v>
                </c:pt>
                <c:pt idx="5">
                  <c:v>中证综合债券指数收益率</c:v>
                </c:pt>
                <c:pt idx="6">
                  <c:v>上证国债指数</c:v>
                </c:pt>
                <c:pt idx="7">
                  <c:v>中债综合财富指数收益率</c:v>
                </c:pt>
                <c:pt idx="8">
                  <c:v>中证全债指数</c:v>
                </c:pt>
                <c:pt idx="9">
                  <c:v>中债综合全价(总值)指数收益率</c:v>
                </c:pt>
                <c:pt idx="10">
                  <c:v>中债综合财富(总值)指数收益率</c:v>
                </c:pt>
                <c:pt idx="11">
                  <c:v>银行活期存款利率(税后)</c:v>
                </c:pt>
                <c:pt idx="12">
                  <c:v>中国债券总指数收益率</c:v>
                </c:pt>
                <c:pt idx="13">
                  <c:v>中证港股通综合指数收益率</c:v>
                </c:pt>
                <c:pt idx="14">
                  <c:v>恒生指数收益率(使用估值汇率折算)</c:v>
                </c:pt>
                <c:pt idx="15">
                  <c:v>恒生指数收益率</c:v>
                </c:pt>
                <c:pt idx="16">
                  <c:v>中债总指数收益率</c:v>
                </c:pt>
                <c:pt idx="17">
                  <c:v>中债总指数(全价)收益率</c:v>
                </c:pt>
                <c:pt idx="18">
                  <c:v>中证港股通综合指数(人民币)收益率</c:v>
                </c:pt>
                <c:pt idx="19">
                  <c:v>中债总全价指数收益率</c:v>
                </c:pt>
              </c:strCache>
            </c:strRef>
          </c:cat>
          <c:val>
            <c:numRef>
              <c:f>结论!$E$87:$E$106</c:f>
              <c:numCache>
                <c:formatCode>General</c:formatCode>
                <c:ptCount val="20"/>
                <c:pt idx="0">
                  <c:v>239</c:v>
                </c:pt>
                <c:pt idx="1">
                  <c:v>212</c:v>
                </c:pt>
                <c:pt idx="2">
                  <c:v>169</c:v>
                </c:pt>
                <c:pt idx="3">
                  <c:v>115</c:v>
                </c:pt>
                <c:pt idx="4">
                  <c:v>99</c:v>
                </c:pt>
                <c:pt idx="5">
                  <c:v>82</c:v>
                </c:pt>
                <c:pt idx="6">
                  <c:v>73</c:v>
                </c:pt>
                <c:pt idx="7">
                  <c:v>56</c:v>
                </c:pt>
                <c:pt idx="8">
                  <c:v>54</c:v>
                </c:pt>
                <c:pt idx="9">
                  <c:v>53</c:v>
                </c:pt>
                <c:pt idx="10">
                  <c:v>50</c:v>
                </c:pt>
                <c:pt idx="11">
                  <c:v>45</c:v>
                </c:pt>
                <c:pt idx="12">
                  <c:v>45</c:v>
                </c:pt>
                <c:pt idx="13">
                  <c:v>41</c:v>
                </c:pt>
                <c:pt idx="14">
                  <c:v>35</c:v>
                </c:pt>
                <c:pt idx="15">
                  <c:v>32</c:v>
                </c:pt>
                <c:pt idx="16">
                  <c:v>31</c:v>
                </c:pt>
                <c:pt idx="17">
                  <c:v>20</c:v>
                </c:pt>
                <c:pt idx="18">
                  <c:v>19</c:v>
                </c:pt>
                <c:pt idx="19">
                  <c:v>18</c:v>
                </c:pt>
              </c:numCache>
            </c:numRef>
          </c:val>
          <c:extLst>
            <c:ext xmlns:c16="http://schemas.microsoft.com/office/drawing/2014/chart" uri="{C3380CC4-5D6E-409C-BE32-E72D297353CC}">
              <c16:uniqueId val="{00000000-958B-45C6-A6AC-53A9AD3A252E}"/>
            </c:ext>
          </c:extLst>
        </c:ser>
        <c:dLbls>
          <c:showLegendKey val="0"/>
          <c:showVal val="0"/>
          <c:showCatName val="0"/>
          <c:showSerName val="0"/>
          <c:showPercent val="0"/>
          <c:showBubbleSize val="0"/>
        </c:dLbls>
        <c:gapWidth val="182"/>
        <c:axId val="1588787456"/>
        <c:axId val="1588788768"/>
      </c:barChart>
      <c:catAx>
        <c:axId val="15887874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8788768"/>
        <c:crosses val="autoZero"/>
        <c:auto val="1"/>
        <c:lblAlgn val="ctr"/>
        <c:lblOffset val="100"/>
        <c:noMultiLvlLbl val="0"/>
      </c:catAx>
      <c:valAx>
        <c:axId val="1588788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8787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偏债混合型基金所选股指基准对应的基金数目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结论!$B$108</c:f>
              <c:strCache>
                <c:ptCount val="1"/>
                <c:pt idx="0">
                  <c:v>基准对应的基金数目</c:v>
                </c:pt>
              </c:strCache>
            </c:strRef>
          </c:tx>
          <c:spPr>
            <a:solidFill>
              <a:schemeClr val="accent1"/>
            </a:solidFill>
            <a:ln>
              <a:noFill/>
            </a:ln>
            <a:effectLst/>
          </c:spPr>
          <c:invertIfNegative val="0"/>
          <c:cat>
            <c:strRef>
              <c:f>结论!$A$109:$A$128</c:f>
              <c:strCache>
                <c:ptCount val="20"/>
                <c:pt idx="0">
                  <c:v>沪深300指数收益率</c:v>
                </c:pt>
                <c:pt idx="1">
                  <c:v>中证800指数收益率</c:v>
                </c:pt>
                <c:pt idx="2">
                  <c:v>沪深300指数</c:v>
                </c:pt>
                <c:pt idx="3">
                  <c:v>中证500指数收益率</c:v>
                </c:pt>
                <c:pt idx="4">
                  <c:v>中国战略新兴产业成份指数收益率</c:v>
                </c:pt>
                <c:pt idx="5">
                  <c:v>中证医药卫生指数收益率</c:v>
                </c:pt>
                <c:pt idx="6">
                  <c:v>中证内地消费主题指数收益率</c:v>
                </c:pt>
                <c:pt idx="7">
                  <c:v>中证700指数收益率</c:v>
                </c:pt>
                <c:pt idx="8">
                  <c:v>中证红利指数收益率</c:v>
                </c:pt>
                <c:pt idx="9">
                  <c:v>中证新兴产业指数收益率</c:v>
                </c:pt>
                <c:pt idx="10">
                  <c:v>恒生指数收益率(使用估值汇率折算)</c:v>
                </c:pt>
                <c:pt idx="11">
                  <c:v>中证TMT产业主题指数收益率</c:v>
                </c:pt>
                <c:pt idx="12">
                  <c:v>MSCI中国A股指数</c:v>
                </c:pt>
                <c:pt idx="13">
                  <c:v>创业板指数收益率</c:v>
                </c:pt>
                <c:pt idx="14">
                  <c:v>申银万国制造业指数收益率</c:v>
                </c:pt>
                <c:pt idx="15">
                  <c:v>中证800成长指数收益率</c:v>
                </c:pt>
                <c:pt idx="16">
                  <c:v>中证消费服务领先指数收益率</c:v>
                </c:pt>
                <c:pt idx="17">
                  <c:v>恒生指数收益率</c:v>
                </c:pt>
                <c:pt idx="18">
                  <c:v>创业板综合指数收益率</c:v>
                </c:pt>
                <c:pt idx="19">
                  <c:v>富时中国A600指数</c:v>
                </c:pt>
              </c:strCache>
            </c:strRef>
          </c:cat>
          <c:val>
            <c:numRef>
              <c:f>结论!$B$109:$B$128</c:f>
              <c:numCache>
                <c:formatCode>General</c:formatCode>
                <c:ptCount val="20"/>
                <c:pt idx="0">
                  <c:v>826</c:v>
                </c:pt>
                <c:pt idx="1">
                  <c:v>278</c:v>
                </c:pt>
                <c:pt idx="2">
                  <c:v>121</c:v>
                </c:pt>
                <c:pt idx="3">
                  <c:v>71</c:v>
                </c:pt>
                <c:pt idx="4">
                  <c:v>67</c:v>
                </c:pt>
                <c:pt idx="5">
                  <c:v>34</c:v>
                </c:pt>
                <c:pt idx="6">
                  <c:v>32</c:v>
                </c:pt>
                <c:pt idx="7">
                  <c:v>26</c:v>
                </c:pt>
                <c:pt idx="8">
                  <c:v>22</c:v>
                </c:pt>
                <c:pt idx="9">
                  <c:v>17</c:v>
                </c:pt>
                <c:pt idx="10">
                  <c:v>13</c:v>
                </c:pt>
                <c:pt idx="11">
                  <c:v>12</c:v>
                </c:pt>
                <c:pt idx="12">
                  <c:v>11</c:v>
                </c:pt>
                <c:pt idx="13">
                  <c:v>11</c:v>
                </c:pt>
                <c:pt idx="14">
                  <c:v>10</c:v>
                </c:pt>
                <c:pt idx="15">
                  <c:v>10</c:v>
                </c:pt>
                <c:pt idx="16">
                  <c:v>8</c:v>
                </c:pt>
                <c:pt idx="17">
                  <c:v>8</c:v>
                </c:pt>
                <c:pt idx="18">
                  <c:v>7</c:v>
                </c:pt>
                <c:pt idx="19">
                  <c:v>6</c:v>
                </c:pt>
              </c:numCache>
            </c:numRef>
          </c:val>
          <c:extLst>
            <c:ext xmlns:c16="http://schemas.microsoft.com/office/drawing/2014/chart" uri="{C3380CC4-5D6E-409C-BE32-E72D297353CC}">
              <c16:uniqueId val="{00000000-054C-4867-B6F0-006E80A2024E}"/>
            </c:ext>
          </c:extLst>
        </c:ser>
        <c:dLbls>
          <c:showLegendKey val="0"/>
          <c:showVal val="0"/>
          <c:showCatName val="0"/>
          <c:showSerName val="0"/>
          <c:showPercent val="0"/>
          <c:showBubbleSize val="0"/>
        </c:dLbls>
        <c:gapWidth val="182"/>
        <c:axId val="1326171576"/>
        <c:axId val="1326168952"/>
      </c:barChart>
      <c:catAx>
        <c:axId val="13261715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6168952"/>
        <c:crosses val="autoZero"/>
        <c:auto val="1"/>
        <c:lblAlgn val="ctr"/>
        <c:lblOffset val="100"/>
        <c:noMultiLvlLbl val="0"/>
      </c:catAx>
      <c:valAx>
        <c:axId val="1326168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6171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12</cp:revision>
  <dcterms:created xsi:type="dcterms:W3CDTF">2021-02-25T05:37:00Z</dcterms:created>
  <dcterms:modified xsi:type="dcterms:W3CDTF">2021-02-25T09:33:00Z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