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7.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8.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9.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0.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1.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2.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3.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4.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5.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6.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7.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8.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9.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20.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21.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2.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3.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AADC7" w14:textId="4A327686" w:rsidR="00CE3057" w:rsidRPr="00E04998" w:rsidRDefault="001E5939" w:rsidP="00CE3057">
      <w:pPr>
        <w:spacing w:line="160" w:lineRule="exact"/>
        <w:rPr>
          <w:rFonts w:eastAsiaTheme="minorEastAsia"/>
          <w:sz w:val="13"/>
          <w:szCs w:val="13"/>
          <w:lang w:eastAsia="zh-CN"/>
        </w:rPr>
      </w:pPr>
      <w:r>
        <w:rPr>
          <w:rFonts w:eastAsiaTheme="minorEastAsia"/>
          <w:sz w:val="13"/>
          <w:szCs w:val="13"/>
          <w:lang w:eastAsia="zh-CN"/>
        </w:rPr>
        <w:fldChar w:fldCharType="begin"/>
      </w:r>
      <w:r>
        <w:rPr>
          <w:rFonts w:eastAsiaTheme="minorEastAsia"/>
          <w:sz w:val="13"/>
          <w:szCs w:val="13"/>
          <w:lang w:eastAsia="zh-CN"/>
        </w:rPr>
        <w:instrText xml:space="preserve"> MACROBUTTON AMEditEquationSection2 </w:instrText>
      </w:r>
      <w:r w:rsidRPr="001E5939">
        <w:rPr>
          <w:rStyle w:val="AMEquationSection"/>
        </w:rPr>
        <w:instrText>Equation Chapter 1 Section 1</w:instrText>
      </w:r>
      <w:r>
        <w:rPr>
          <w:rFonts w:eastAsiaTheme="minorEastAsia"/>
          <w:sz w:val="13"/>
          <w:szCs w:val="13"/>
          <w:lang w:eastAsia="zh-CN"/>
        </w:rPr>
        <w:fldChar w:fldCharType="begin"/>
      </w:r>
      <w:r>
        <w:rPr>
          <w:rFonts w:eastAsiaTheme="minorEastAsia"/>
          <w:sz w:val="13"/>
          <w:szCs w:val="13"/>
          <w:lang w:eastAsia="zh-CN"/>
        </w:rPr>
        <w:instrText xml:space="preserve"> SEQ AMEqn \r \h \* MERGEFORMAT </w:instrText>
      </w:r>
      <w:r>
        <w:rPr>
          <w:rFonts w:eastAsiaTheme="minorEastAsia"/>
          <w:sz w:val="13"/>
          <w:szCs w:val="13"/>
          <w:lang w:eastAsia="zh-CN"/>
        </w:rPr>
        <w:fldChar w:fldCharType="end"/>
      </w:r>
      <w:r>
        <w:rPr>
          <w:rFonts w:eastAsiaTheme="minorEastAsia"/>
          <w:sz w:val="13"/>
          <w:szCs w:val="13"/>
          <w:lang w:eastAsia="zh-CN"/>
        </w:rPr>
        <w:fldChar w:fldCharType="begin"/>
      </w:r>
      <w:r>
        <w:rPr>
          <w:rFonts w:eastAsiaTheme="minorEastAsia"/>
          <w:sz w:val="13"/>
          <w:szCs w:val="13"/>
          <w:lang w:eastAsia="zh-CN"/>
        </w:rPr>
        <w:instrText xml:space="preserve"> SEQ AMSec \r 1 \h \* MERGEFORMAT </w:instrText>
      </w:r>
      <w:r>
        <w:rPr>
          <w:rFonts w:eastAsiaTheme="minorEastAsia"/>
          <w:sz w:val="13"/>
          <w:szCs w:val="13"/>
          <w:lang w:eastAsia="zh-CN"/>
        </w:rPr>
        <w:fldChar w:fldCharType="end"/>
      </w:r>
      <w:r>
        <w:rPr>
          <w:rFonts w:eastAsiaTheme="minorEastAsia"/>
          <w:sz w:val="13"/>
          <w:szCs w:val="13"/>
          <w:lang w:eastAsia="zh-CN"/>
        </w:rPr>
        <w:fldChar w:fldCharType="begin"/>
      </w:r>
      <w:r>
        <w:rPr>
          <w:rFonts w:eastAsiaTheme="minorEastAsia"/>
          <w:sz w:val="13"/>
          <w:szCs w:val="13"/>
          <w:lang w:eastAsia="zh-CN"/>
        </w:rPr>
        <w:instrText xml:space="preserve"> SEQ AMChap \r 1 \h \* MERGEFORMAT </w:instrText>
      </w:r>
      <w:r>
        <w:rPr>
          <w:rFonts w:eastAsiaTheme="minorEastAsia"/>
          <w:sz w:val="13"/>
          <w:szCs w:val="13"/>
          <w:lang w:eastAsia="zh-CN"/>
        </w:rPr>
        <w:fldChar w:fldCharType="end"/>
      </w:r>
      <w:r>
        <w:rPr>
          <w:rFonts w:eastAsiaTheme="minorEastAsia"/>
          <w:sz w:val="13"/>
          <w:szCs w:val="13"/>
          <w:lang w:eastAsia="zh-CN"/>
        </w:rPr>
        <w:fldChar w:fldCharType="end"/>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5"/>
        <w:gridCol w:w="3633"/>
      </w:tblGrid>
      <w:tr w:rsidR="00CE3057" w14:paraId="1FD257F1" w14:textId="77777777" w:rsidTr="00F550BE">
        <w:tc>
          <w:tcPr>
            <w:tcW w:w="7025" w:type="dxa"/>
            <w:tcMar>
              <w:left w:w="0" w:type="dxa"/>
              <w:right w:w="0" w:type="dxa"/>
            </w:tcMar>
          </w:tcPr>
          <w:tbl>
            <w:tblPr>
              <w:tblW w:w="7006" w:type="dxa"/>
              <w:tblBorders>
                <w:insideV w:val="single" w:sz="4" w:space="0" w:color="auto"/>
              </w:tblBorders>
              <w:shd w:val="clear" w:color="auto" w:fill="548DD4" w:themeFill="text2" w:themeFillTint="99"/>
              <w:tblLayout w:type="fixed"/>
              <w:tblLook w:val="04A0" w:firstRow="1" w:lastRow="0" w:firstColumn="1" w:lastColumn="0" w:noHBand="0" w:noVBand="1"/>
            </w:tblPr>
            <w:tblGrid>
              <w:gridCol w:w="7006"/>
            </w:tblGrid>
            <w:tr w:rsidR="00CE3057" w:rsidRPr="00996632" w14:paraId="2E960846" w14:textId="77777777" w:rsidTr="00F550BE">
              <w:trPr>
                <w:trHeight w:hRule="exact" w:val="23"/>
              </w:trPr>
              <w:tc>
                <w:tcPr>
                  <w:tcW w:w="7006" w:type="dxa"/>
                  <w:shd w:val="clear" w:color="auto" w:fill="auto"/>
                  <w:vAlign w:val="center"/>
                </w:tcPr>
                <w:p w14:paraId="0C799000" w14:textId="77777777" w:rsidR="00CE3057" w:rsidRPr="00996632" w:rsidRDefault="00CE3057" w:rsidP="00B9063D">
                  <w:pPr>
                    <w:rPr>
                      <w:rFonts w:eastAsiaTheme="minorEastAsia"/>
                      <w:color w:val="FFFFFF" w:themeColor="background1"/>
                      <w:sz w:val="15"/>
                      <w:szCs w:val="15"/>
                      <w:lang w:eastAsia="zh-CN"/>
                    </w:rPr>
                  </w:pPr>
                  <w:r w:rsidRPr="00996632">
                    <w:rPr>
                      <w:rFonts w:eastAsiaTheme="minorEastAsia" w:hint="eastAsia"/>
                      <w:color w:val="FFFFFF" w:themeColor="background1"/>
                      <w:sz w:val="15"/>
                      <w:szCs w:val="15"/>
                      <w:lang w:eastAsia="zh-CN"/>
                    </w:rPr>
                    <w:t>[</w:t>
                  </w:r>
                  <w:r w:rsidRPr="00996632">
                    <w:rPr>
                      <w:rFonts w:hint="eastAsia"/>
                      <w:color w:val="FFFFFF" w:themeColor="background1"/>
                      <w:sz w:val="15"/>
                      <w:szCs w:val="15"/>
                    </w:rPr>
                    <w:t>Table_Title</w:t>
                  </w:r>
                  <w:r w:rsidRPr="00996632">
                    <w:rPr>
                      <w:rFonts w:eastAsiaTheme="minorEastAsia" w:hint="eastAsia"/>
                      <w:color w:val="FFFFFF" w:themeColor="background1"/>
                      <w:sz w:val="15"/>
                      <w:szCs w:val="15"/>
                      <w:lang w:eastAsia="zh-CN"/>
                    </w:rPr>
                    <w:t>]</w:t>
                  </w:r>
                </w:p>
              </w:tc>
            </w:tr>
            <w:tr w:rsidR="00BB6F8E" w:rsidRPr="00FD1A9C" w14:paraId="35CED2AB" w14:textId="77777777" w:rsidTr="00F550BE">
              <w:trPr>
                <w:trHeight w:val="510"/>
              </w:trPr>
              <w:tc>
                <w:tcPr>
                  <w:tcW w:w="7006" w:type="dxa"/>
                  <w:shd w:val="clear" w:color="auto" w:fill="4F81BD" w:themeFill="accent1"/>
                  <w:vAlign w:val="center"/>
                </w:tcPr>
                <w:p w14:paraId="4CC828B7" w14:textId="69FA6FE7" w:rsidR="00BB6F8E" w:rsidRDefault="005206B8" w:rsidP="00BB6F8E">
                  <w:pPr>
                    <w:ind w:right="-1"/>
                    <w:jc w:val="both"/>
                    <w:rPr>
                      <w:rFonts w:ascii="Arial" w:eastAsia="楷体_GB2312" w:hAnsi="Arial" w:cs="Arial"/>
                      <w:b/>
                      <w:color w:val="FFFFFF" w:themeColor="background1"/>
                      <w:sz w:val="44"/>
                      <w:szCs w:val="44"/>
                      <w:lang w:eastAsia="zh-CN"/>
                    </w:rPr>
                  </w:pPr>
                  <w:r>
                    <w:rPr>
                      <w:rFonts w:ascii="Arial" w:eastAsia="楷体_GB2312" w:hAnsi="Arial" w:cs="Arial" w:hint="eastAsia"/>
                      <w:b/>
                      <w:color w:val="FFFFFF" w:themeColor="background1"/>
                      <w:sz w:val="44"/>
                      <w:szCs w:val="44"/>
                      <w:lang w:eastAsia="zh-CN"/>
                    </w:rPr>
                    <w:t>主动基金业绩比较基准选择研究</w:t>
                  </w:r>
                </w:p>
              </w:tc>
            </w:tr>
            <w:tr w:rsidR="00BB6F8E" w:rsidRPr="00BC1FCF" w14:paraId="48A912EA" w14:textId="77777777" w:rsidTr="00F550BE">
              <w:trPr>
                <w:trHeight w:val="510"/>
              </w:trPr>
              <w:tc>
                <w:tcPr>
                  <w:tcW w:w="7006" w:type="dxa"/>
                  <w:shd w:val="clear" w:color="auto" w:fill="DEDFEF"/>
                  <w:vAlign w:val="center"/>
                </w:tcPr>
                <w:p w14:paraId="5A74A9F5" w14:textId="67546C8F" w:rsidR="00BB6F8E" w:rsidRDefault="005206B8" w:rsidP="00BB6F8E">
                  <w:pPr>
                    <w:ind w:right="-1"/>
                    <w:jc w:val="right"/>
                    <w:rPr>
                      <w:rFonts w:ascii="Arial" w:eastAsia="楷体_GB2312" w:hAnsi="Arial" w:cs="Arial"/>
                      <w:b/>
                      <w:sz w:val="36"/>
                      <w:szCs w:val="36"/>
                      <w:lang w:eastAsia="zh-CN"/>
                    </w:rPr>
                  </w:pPr>
                  <w:r>
                    <w:rPr>
                      <w:rFonts w:ascii="Arial" w:eastAsia="楷体_GB2312" w:hAnsi="Arial" w:cs="Arial" w:hint="eastAsia"/>
                      <w:b/>
                      <w:color w:val="1F497D" w:themeColor="text2"/>
                      <w:sz w:val="36"/>
                      <w:szCs w:val="36"/>
                      <w:lang w:eastAsia="zh-CN"/>
                    </w:rPr>
                    <w:t>基于</w:t>
                  </w:r>
                  <w:r w:rsidR="0033122A">
                    <w:rPr>
                      <w:rFonts w:ascii="Arial" w:eastAsia="楷体_GB2312" w:hAnsi="Arial" w:cs="Arial" w:hint="eastAsia"/>
                      <w:b/>
                      <w:color w:val="1F497D" w:themeColor="text2"/>
                      <w:sz w:val="36"/>
                      <w:szCs w:val="36"/>
                      <w:lang w:eastAsia="zh-CN"/>
                    </w:rPr>
                    <w:t>国内市场情况与</w:t>
                  </w:r>
                  <w:r>
                    <w:rPr>
                      <w:rFonts w:ascii="Arial" w:eastAsia="楷体_GB2312" w:hAnsi="Arial" w:cs="Arial" w:hint="eastAsia"/>
                      <w:b/>
                      <w:color w:val="1F497D" w:themeColor="text2"/>
                      <w:sz w:val="36"/>
                      <w:szCs w:val="36"/>
                      <w:lang w:eastAsia="zh-CN"/>
                    </w:rPr>
                    <w:t>外国文献</w:t>
                  </w:r>
                  <w:r w:rsidR="0033122A">
                    <w:rPr>
                      <w:rFonts w:ascii="Arial" w:eastAsia="楷体_GB2312" w:hAnsi="Arial" w:cs="Arial" w:hint="eastAsia"/>
                      <w:b/>
                      <w:color w:val="1F497D" w:themeColor="text2"/>
                      <w:sz w:val="36"/>
                      <w:szCs w:val="36"/>
                      <w:lang w:eastAsia="zh-CN"/>
                    </w:rPr>
                    <w:t>分析</w:t>
                  </w:r>
                </w:p>
              </w:tc>
            </w:tr>
          </w:tbl>
          <w:tbl>
            <w:tblPr>
              <w:tblStyle w:val="a7"/>
              <w:tblW w:w="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08"/>
            </w:tblGrid>
            <w:tr w:rsidR="00CE3057" w:rsidRPr="00BC1FCF" w14:paraId="66DE890B" w14:textId="77777777" w:rsidTr="00F550BE">
              <w:trPr>
                <w:trHeight w:hRule="exact" w:val="23"/>
              </w:trPr>
              <w:tc>
                <w:tcPr>
                  <w:tcW w:w="7008" w:type="dxa"/>
                </w:tcPr>
                <w:p w14:paraId="19477EF7" w14:textId="77777777" w:rsidR="00CE3057" w:rsidRPr="00BC1FCF" w:rsidRDefault="00CE3057" w:rsidP="00B9063D">
                  <w:pPr>
                    <w:rPr>
                      <w:rFonts w:ascii="Arial" w:eastAsia="楷体_GB2312" w:hAnsi="Arial"/>
                      <w:color w:val="FFFFFF" w:themeColor="background1"/>
                      <w:sz w:val="15"/>
                      <w:szCs w:val="15"/>
                      <w:lang w:eastAsia="zh-CN"/>
                    </w:rPr>
                  </w:pPr>
                  <w:r w:rsidRPr="00BC1FCF">
                    <w:rPr>
                      <w:rFonts w:ascii="Arial" w:eastAsia="楷体_GB2312" w:hAnsi="Arial" w:hint="eastAsia"/>
                      <w:color w:val="FFFFFF" w:themeColor="background1"/>
                      <w:sz w:val="15"/>
                      <w:szCs w:val="15"/>
                      <w:lang w:eastAsia="zh-CN"/>
                    </w:rPr>
                    <w:t>[</w:t>
                  </w:r>
                  <w:r w:rsidRPr="00BC1FCF">
                    <w:rPr>
                      <w:rFonts w:ascii="Arial" w:eastAsia="楷体_GB2312" w:hAnsi="Arial" w:hint="eastAsia"/>
                      <w:color w:val="FFFFFF" w:themeColor="background1"/>
                      <w:sz w:val="15"/>
                      <w:szCs w:val="15"/>
                    </w:rPr>
                    <w:t>Table_Summary</w:t>
                  </w:r>
                  <w:r w:rsidRPr="00BC1FCF">
                    <w:rPr>
                      <w:rFonts w:ascii="Arial" w:eastAsia="楷体_GB2312" w:hAnsi="Arial" w:hint="eastAsia"/>
                      <w:color w:val="FFFFFF" w:themeColor="background1"/>
                      <w:sz w:val="15"/>
                      <w:szCs w:val="15"/>
                      <w:lang w:eastAsia="zh-CN"/>
                    </w:rPr>
                    <w:t>]</w:t>
                  </w:r>
                </w:p>
              </w:tc>
            </w:tr>
            <w:tr w:rsidR="00486C40" w:rsidRPr="00BC1FCF" w14:paraId="10BC6EE5" w14:textId="77777777" w:rsidTr="00F550BE">
              <w:trPr>
                <w:trHeight w:hRule="exact" w:val="12184"/>
              </w:trPr>
              <w:tc>
                <w:tcPr>
                  <w:tcW w:w="7008" w:type="dxa"/>
                </w:tcPr>
                <w:p w14:paraId="023C577F" w14:textId="77777777" w:rsidR="00486C40" w:rsidRPr="000A3AF2" w:rsidRDefault="00486C40" w:rsidP="00486C40">
                  <w:pPr>
                    <w:ind w:right="-1"/>
                    <w:rPr>
                      <w:rFonts w:ascii="Arial" w:eastAsia="楷体_GB2312" w:hAnsi="Arial"/>
                      <w:b/>
                      <w:color w:val="1F497D"/>
                      <w:sz w:val="28"/>
                      <w:szCs w:val="28"/>
                      <w:lang w:eastAsia="zh-CN"/>
                    </w:rPr>
                  </w:pPr>
                  <w:r w:rsidRPr="000A3AF2">
                    <w:rPr>
                      <w:rFonts w:ascii="Arial" w:eastAsia="楷体_GB2312" w:hAnsi="Arial" w:hint="eastAsia"/>
                      <w:b/>
                      <w:color w:val="1F497D"/>
                      <w:sz w:val="28"/>
                      <w:szCs w:val="28"/>
                      <w:lang w:eastAsia="zh-CN"/>
                    </w:rPr>
                    <w:t>报告摘要</w:t>
                  </w:r>
                  <w:r w:rsidRPr="000A3AF2">
                    <w:rPr>
                      <w:rFonts w:ascii="Arial" w:eastAsia="楷体_GB2312" w:hAnsi="Arial"/>
                      <w:b/>
                      <w:color w:val="1F497D"/>
                      <w:sz w:val="28"/>
                      <w:szCs w:val="28"/>
                      <w:lang w:eastAsia="zh-CN"/>
                    </w:rPr>
                    <w:t>：</w:t>
                  </w:r>
                </w:p>
                <w:p w14:paraId="710D247E" w14:textId="4848DFB2" w:rsidR="00486C40" w:rsidRPr="00B56EB8" w:rsidRDefault="0018670F" w:rsidP="00B56EB8">
                  <w:pPr>
                    <w:pStyle w:val="af6"/>
                    <w:numPr>
                      <w:ilvl w:val="0"/>
                      <w:numId w:val="6"/>
                    </w:numPr>
                    <w:ind w:firstLineChars="0"/>
                    <w:rPr>
                      <w:b/>
                      <w:color w:val="17365D" w:themeColor="text2" w:themeShade="BF"/>
                    </w:rPr>
                  </w:pPr>
                  <w:r>
                    <w:rPr>
                      <w:rFonts w:ascii="Arial" w:eastAsia="楷体_GB2312" w:hAnsi="Arial" w:hint="eastAsia"/>
                      <w:b/>
                      <w:color w:val="1F497D" w:themeColor="text2"/>
                      <w:szCs w:val="21"/>
                    </w:rPr>
                    <w:t>什么是基金的业绩评价基准？</w:t>
                  </w:r>
                  <w:r w:rsidRPr="00BC344C">
                    <w:rPr>
                      <w:rFonts w:ascii="Arial" w:eastAsia="楷体_GB2312" w:hAnsi="Arial" w:hint="eastAsia"/>
                      <w:color w:val="1F497D" w:themeColor="text2"/>
                      <w:szCs w:val="21"/>
                    </w:rPr>
                    <w:t>即学界中的投资组合的预期收益率。</w:t>
                  </w:r>
                </w:p>
                <w:p w14:paraId="744999DE" w14:textId="691155BC" w:rsidR="00B56EB8" w:rsidRDefault="00BC344C" w:rsidP="00B56EB8">
                  <w:pPr>
                    <w:pStyle w:val="af6"/>
                    <w:numPr>
                      <w:ilvl w:val="0"/>
                      <w:numId w:val="6"/>
                    </w:numPr>
                    <w:ind w:firstLineChars="0"/>
                    <w:rPr>
                      <w:b/>
                      <w:color w:val="17365D" w:themeColor="text2" w:themeShade="BF"/>
                    </w:rPr>
                  </w:pPr>
                  <w:r w:rsidRPr="00BC344C">
                    <w:rPr>
                      <w:rFonts w:ascii="Arial" w:eastAsia="楷体_GB2312" w:hAnsi="Arial" w:hint="eastAsia"/>
                      <w:b/>
                      <w:color w:val="1F497D" w:themeColor="text2"/>
                      <w:szCs w:val="21"/>
                    </w:rPr>
                    <w:t>业绩评价基准的意义在于：</w:t>
                  </w:r>
                  <w:r w:rsidRPr="00BC344C">
                    <w:rPr>
                      <w:rFonts w:ascii="Arial" w:eastAsia="楷体_GB2312" w:hAnsi="Arial" w:hint="eastAsia"/>
                      <w:color w:val="1F497D" w:themeColor="text2"/>
                      <w:szCs w:val="21"/>
                    </w:rPr>
                    <w:t>1</w:t>
                  </w:r>
                  <w:r w:rsidRPr="00BC344C">
                    <w:rPr>
                      <w:rFonts w:ascii="Arial" w:eastAsia="楷体_GB2312" w:hAnsi="Arial"/>
                      <w:color w:val="1F497D" w:themeColor="text2"/>
                      <w:szCs w:val="21"/>
                    </w:rPr>
                    <w:t xml:space="preserve">. </w:t>
                  </w:r>
                  <w:r w:rsidRPr="00BC344C">
                    <w:rPr>
                      <w:rFonts w:ascii="Arial" w:eastAsia="楷体_GB2312" w:hAnsi="Arial" w:hint="eastAsia"/>
                      <w:color w:val="1F497D" w:themeColor="text2"/>
                      <w:szCs w:val="21"/>
                    </w:rPr>
                    <w:t>作为基金业绩回报的“及格线”，超额收益反映基金经理主动管理能力；</w:t>
                  </w:r>
                  <w:r w:rsidRPr="00BC344C">
                    <w:rPr>
                      <w:rFonts w:ascii="Arial" w:eastAsia="楷体_GB2312" w:hAnsi="Arial" w:hint="eastAsia"/>
                      <w:color w:val="1F497D" w:themeColor="text2"/>
                      <w:szCs w:val="21"/>
                    </w:rPr>
                    <w:t>2</w:t>
                  </w:r>
                  <w:r w:rsidRPr="00BC344C">
                    <w:rPr>
                      <w:rFonts w:ascii="Arial" w:eastAsia="楷体_GB2312" w:hAnsi="Arial"/>
                      <w:color w:val="1F497D" w:themeColor="text2"/>
                      <w:szCs w:val="21"/>
                    </w:rPr>
                    <w:t xml:space="preserve">. </w:t>
                  </w:r>
                  <w:r w:rsidRPr="00BC344C">
                    <w:rPr>
                      <w:rFonts w:ascii="Arial" w:eastAsia="楷体_GB2312" w:hAnsi="Arial" w:hint="eastAsia"/>
                      <w:color w:val="1F497D" w:themeColor="text2"/>
                      <w:szCs w:val="21"/>
                    </w:rPr>
                    <w:t>基准可以体现基金</w:t>
                  </w:r>
                  <w:r w:rsidRPr="00BC344C">
                    <w:rPr>
                      <w:rFonts w:ascii="Arial" w:eastAsia="楷体_GB2312" w:hAnsi="Arial" w:hint="eastAsia"/>
                      <w:color w:val="1F497D" w:themeColor="text2"/>
                      <w:szCs w:val="21"/>
                    </w:rPr>
                    <w:t>在市场中性环境下的战略型资产配置</w:t>
                  </w:r>
                  <w:r w:rsidRPr="00BC344C">
                    <w:rPr>
                      <w:rFonts w:ascii="Arial" w:eastAsia="楷体_GB2312" w:hAnsi="Arial" w:hint="eastAsia"/>
                      <w:color w:val="1F497D" w:themeColor="text2"/>
                      <w:szCs w:val="21"/>
                    </w:rPr>
                    <w:t>情况；</w:t>
                  </w:r>
                  <w:r w:rsidRPr="00BC344C">
                    <w:rPr>
                      <w:rFonts w:ascii="Arial" w:eastAsia="楷体_GB2312" w:hAnsi="Arial" w:hint="eastAsia"/>
                      <w:color w:val="1F497D" w:themeColor="text2"/>
                      <w:szCs w:val="21"/>
                    </w:rPr>
                    <w:t>3</w:t>
                  </w:r>
                  <w:r w:rsidRPr="00BC344C">
                    <w:rPr>
                      <w:rFonts w:ascii="Arial" w:eastAsia="楷体_GB2312" w:hAnsi="Arial"/>
                      <w:color w:val="1F497D" w:themeColor="text2"/>
                      <w:szCs w:val="21"/>
                    </w:rPr>
                    <w:t xml:space="preserve">. </w:t>
                  </w:r>
                  <w:r w:rsidRPr="00BC344C">
                    <w:rPr>
                      <w:rFonts w:ascii="Arial" w:eastAsia="楷体_GB2312" w:hAnsi="Arial" w:hint="eastAsia"/>
                      <w:color w:val="1F497D" w:themeColor="text2"/>
                      <w:szCs w:val="21"/>
                    </w:rPr>
                    <w:t>业绩比较基准反映了基金的风险管理能力</w:t>
                  </w:r>
                  <w:r w:rsidRPr="00BC344C">
                    <w:rPr>
                      <w:rFonts w:ascii="Arial" w:eastAsia="楷体_GB2312" w:hAnsi="Arial" w:hint="eastAsia"/>
                      <w:color w:val="1F497D" w:themeColor="text2"/>
                      <w:szCs w:val="21"/>
                    </w:rPr>
                    <w:t>和</w:t>
                  </w:r>
                  <w:r w:rsidRPr="00BC344C">
                    <w:rPr>
                      <w:rFonts w:ascii="Arial" w:eastAsia="楷体_GB2312" w:hAnsi="Arial" w:hint="eastAsia"/>
                      <w:color w:val="1F497D" w:themeColor="text2"/>
                      <w:szCs w:val="21"/>
                    </w:rPr>
                    <w:t>风险等级</w:t>
                  </w:r>
                  <w:r w:rsidRPr="00BC344C">
                    <w:rPr>
                      <w:rFonts w:ascii="Arial" w:eastAsia="楷体_GB2312" w:hAnsi="Arial" w:hint="eastAsia"/>
                      <w:color w:val="1F497D" w:themeColor="text2"/>
                      <w:szCs w:val="21"/>
                    </w:rPr>
                    <w:t>。</w:t>
                  </w:r>
                </w:p>
                <w:p w14:paraId="2C7825ED" w14:textId="77777777" w:rsidR="00BC344C" w:rsidRPr="00BC344C" w:rsidRDefault="00BC344C" w:rsidP="00B56EB8">
                  <w:pPr>
                    <w:pStyle w:val="af6"/>
                    <w:numPr>
                      <w:ilvl w:val="0"/>
                      <w:numId w:val="6"/>
                    </w:numPr>
                    <w:ind w:firstLineChars="0"/>
                    <w:rPr>
                      <w:rFonts w:ascii="Arial" w:eastAsia="楷体_GB2312" w:hAnsi="Arial"/>
                      <w:b/>
                      <w:color w:val="1F497D" w:themeColor="text2"/>
                      <w:szCs w:val="21"/>
                    </w:rPr>
                  </w:pPr>
                  <w:r w:rsidRPr="00BC344C">
                    <w:rPr>
                      <w:rFonts w:ascii="Arial" w:eastAsia="楷体_GB2312" w:hAnsi="Arial" w:hint="eastAsia"/>
                      <w:b/>
                      <w:color w:val="1F497D" w:themeColor="text2"/>
                      <w:szCs w:val="21"/>
                    </w:rPr>
                    <w:t>有效的业绩评价基准应该具备的特征包括：</w:t>
                  </w:r>
                  <w:r w:rsidRPr="00BC344C">
                    <w:rPr>
                      <w:rFonts w:ascii="Arial" w:eastAsia="楷体_GB2312" w:hAnsi="Arial" w:hint="eastAsia"/>
                      <w:color w:val="1F497D" w:themeColor="text2"/>
                      <w:szCs w:val="21"/>
                    </w:rPr>
                    <w:t>清晰、可投资、可衡量、恰当、反映投资风格和因子暴露、提前制定。</w:t>
                  </w:r>
                </w:p>
                <w:p w14:paraId="557A84FB" w14:textId="77777777" w:rsidR="00BC344C" w:rsidRPr="004A0A6F" w:rsidRDefault="00BC344C" w:rsidP="00B56EB8">
                  <w:pPr>
                    <w:pStyle w:val="af6"/>
                    <w:numPr>
                      <w:ilvl w:val="0"/>
                      <w:numId w:val="6"/>
                    </w:numPr>
                    <w:ind w:firstLineChars="0"/>
                    <w:rPr>
                      <w:b/>
                      <w:color w:val="17365D" w:themeColor="text2" w:themeShade="BF"/>
                    </w:rPr>
                  </w:pPr>
                  <w:r w:rsidRPr="00BC344C">
                    <w:rPr>
                      <w:rFonts w:ascii="Arial" w:eastAsia="楷体_GB2312" w:hAnsi="Arial" w:hint="eastAsia"/>
                      <w:b/>
                      <w:bCs/>
                      <w:color w:val="1F497D" w:themeColor="text2"/>
                      <w:szCs w:val="21"/>
                    </w:rPr>
                    <w:t>正交属性可以用于检测基金业绩评价基准的适用性</w:t>
                  </w:r>
                  <w:r w:rsidRPr="00BC344C">
                    <w:rPr>
                      <w:rFonts w:ascii="Arial" w:eastAsia="楷体_GB2312" w:hAnsi="Arial" w:hint="eastAsia"/>
                      <w:color w:val="1F497D" w:themeColor="text2"/>
                      <w:szCs w:val="21"/>
                    </w:rPr>
                    <w:t>：</w:t>
                  </w:r>
                  <w:r w:rsidR="004A0A6F">
                    <w:rPr>
                      <w:rFonts w:ascii="Arial" w:eastAsia="楷体_GB2312" w:hAnsi="Arial" w:hint="eastAsia"/>
                      <w:color w:val="1F497D" w:themeColor="text2"/>
                      <w:szCs w:val="21"/>
                    </w:rPr>
                    <w:t>1</w:t>
                  </w:r>
                  <w:r w:rsidR="004A0A6F">
                    <w:rPr>
                      <w:rFonts w:ascii="Arial" w:eastAsia="楷体_GB2312" w:hAnsi="Arial"/>
                      <w:color w:val="1F497D" w:themeColor="text2"/>
                      <w:szCs w:val="21"/>
                    </w:rPr>
                    <w:t xml:space="preserve">. </w:t>
                  </w:r>
                  <w:r w:rsidR="004A0A6F">
                    <w:rPr>
                      <w:rFonts w:ascii="Arial" w:eastAsia="楷体_GB2312" w:hAnsi="Arial" w:hint="eastAsia"/>
                      <w:color w:val="1F497D" w:themeColor="text2"/>
                      <w:szCs w:val="21"/>
                    </w:rPr>
                    <w:t>基金对于基准的敏感系数β越靠近</w:t>
                  </w:r>
                  <w:r w:rsidR="004A0A6F">
                    <w:rPr>
                      <w:rFonts w:ascii="Arial" w:eastAsia="楷体_GB2312" w:hAnsi="Arial" w:hint="eastAsia"/>
                      <w:color w:val="1F497D" w:themeColor="text2"/>
                      <w:szCs w:val="21"/>
                    </w:rPr>
                    <w:t>1</w:t>
                  </w:r>
                  <w:r w:rsidR="004A0A6F">
                    <w:rPr>
                      <w:rFonts w:ascii="Arial" w:eastAsia="楷体_GB2312" w:hAnsi="Arial" w:hint="eastAsia"/>
                      <w:color w:val="1F497D" w:themeColor="text2"/>
                      <w:szCs w:val="21"/>
                    </w:rPr>
                    <w:t>，基准越能反映基金经理的投资风格；</w:t>
                  </w:r>
                  <w:r w:rsidR="004A0A6F">
                    <w:rPr>
                      <w:rFonts w:ascii="Arial" w:eastAsia="楷体_GB2312" w:hAnsi="Arial" w:hint="eastAsia"/>
                      <w:color w:val="1F497D" w:themeColor="text2"/>
                      <w:szCs w:val="21"/>
                    </w:rPr>
                    <w:t>2</w:t>
                  </w:r>
                  <w:r w:rsidR="004A0A6F">
                    <w:rPr>
                      <w:rFonts w:ascii="Arial" w:eastAsia="楷体_GB2312" w:hAnsi="Arial"/>
                      <w:color w:val="1F497D" w:themeColor="text2"/>
                      <w:szCs w:val="21"/>
                    </w:rPr>
                    <w:t xml:space="preserve">. </w:t>
                  </w:r>
                  <w:r w:rsidR="004A0A6F">
                    <w:rPr>
                      <w:rFonts w:ascii="Arial" w:eastAsia="楷体_GB2312" w:hAnsi="Arial" w:hint="eastAsia"/>
                      <w:color w:val="1F497D" w:themeColor="text2"/>
                      <w:szCs w:val="21"/>
                    </w:rPr>
                    <w:t>基金的长期系统性风险与基准的长期系统性风险差异越小越合适；</w:t>
                  </w:r>
                  <w:r w:rsidR="004A0A6F">
                    <w:rPr>
                      <w:rFonts w:ascii="Arial" w:eastAsia="楷体_GB2312" w:hAnsi="Arial" w:hint="eastAsia"/>
                      <w:color w:val="1F497D" w:themeColor="text2"/>
                      <w:szCs w:val="21"/>
                    </w:rPr>
                    <w:t>3</w:t>
                  </w:r>
                  <w:r w:rsidR="004A0A6F">
                    <w:rPr>
                      <w:rFonts w:ascii="Arial" w:eastAsia="楷体_GB2312" w:hAnsi="Arial"/>
                      <w:color w:val="1F497D" w:themeColor="text2"/>
                      <w:szCs w:val="21"/>
                    </w:rPr>
                    <w:t xml:space="preserve">. </w:t>
                  </w:r>
                  <w:r w:rsidR="004A0A6F">
                    <w:rPr>
                      <w:rFonts w:ascii="Arial" w:eastAsia="楷体_GB2312" w:hAnsi="Arial" w:hint="eastAsia"/>
                      <w:color w:val="1F497D" w:themeColor="text2"/>
                      <w:szCs w:val="21"/>
                    </w:rPr>
                    <w:t>基金相对于市场组合的波动率比基金相对于基准的波动率大。</w:t>
                  </w:r>
                </w:p>
                <w:p w14:paraId="21BFECEF" w14:textId="77777777" w:rsidR="004A0A6F" w:rsidRPr="007C16A5" w:rsidRDefault="007C16A5" w:rsidP="00B56EB8">
                  <w:pPr>
                    <w:pStyle w:val="af6"/>
                    <w:numPr>
                      <w:ilvl w:val="0"/>
                      <w:numId w:val="6"/>
                    </w:numPr>
                    <w:ind w:firstLineChars="0"/>
                    <w:rPr>
                      <w:b/>
                      <w:color w:val="17365D" w:themeColor="text2" w:themeShade="BF"/>
                    </w:rPr>
                  </w:pPr>
                  <w:r w:rsidRPr="007C16A5">
                    <w:rPr>
                      <w:rFonts w:ascii="Arial" w:eastAsia="楷体_GB2312" w:hAnsi="Arial" w:hint="eastAsia"/>
                      <w:b/>
                      <w:bCs/>
                      <w:color w:val="1F497D" w:themeColor="text2"/>
                      <w:szCs w:val="21"/>
                    </w:rPr>
                    <w:t>利用业绩归因模型评价</w:t>
                  </w:r>
                  <w:r w:rsidRPr="007C16A5">
                    <w:rPr>
                      <w:rFonts w:ascii="Arial" w:eastAsia="楷体_GB2312" w:hAnsi="Arial" w:hint="eastAsia"/>
                      <w:b/>
                      <w:bCs/>
                      <w:color w:val="1F497D" w:themeColor="text2"/>
                      <w:szCs w:val="21"/>
                    </w:rPr>
                    <w:t>业绩评价基准选择的影响</w:t>
                  </w:r>
                  <w:r w:rsidRPr="007C16A5">
                    <w:rPr>
                      <w:rFonts w:ascii="Arial" w:eastAsia="楷体_GB2312" w:hAnsi="Arial" w:hint="eastAsia"/>
                      <w:b/>
                      <w:bCs/>
                      <w:color w:val="1F497D" w:themeColor="text2"/>
                      <w:szCs w:val="21"/>
                    </w:rPr>
                    <w:t>：</w:t>
                  </w:r>
                  <w:r w:rsidRPr="007C16A5">
                    <w:rPr>
                      <w:rFonts w:ascii="Arial" w:eastAsia="楷体_GB2312" w:hAnsi="Arial" w:hint="eastAsia"/>
                      <w:color w:val="1F497D" w:themeColor="text2"/>
                      <w:szCs w:val="21"/>
                    </w:rPr>
                    <w:t>从</w:t>
                  </w:r>
                  <w:r w:rsidRPr="007C16A5">
                    <w:rPr>
                      <w:rFonts w:ascii="Arial" w:eastAsia="楷体_GB2312" w:hAnsi="Arial" w:hint="eastAsia"/>
                      <w:color w:val="1F497D" w:themeColor="text2"/>
                      <w:szCs w:val="21"/>
                    </w:rPr>
                    <w:t>Brinson</w:t>
                  </w:r>
                  <w:r w:rsidRPr="007C16A5">
                    <w:rPr>
                      <w:rFonts w:ascii="Arial" w:eastAsia="楷体_GB2312" w:hAnsi="Arial" w:hint="eastAsia"/>
                      <w:color w:val="1F497D" w:themeColor="text2"/>
                      <w:szCs w:val="21"/>
                    </w:rPr>
                    <w:t>业绩归因模型中拓展出四维度业绩归因模型可以评估业绩评价基准选择的影响</w:t>
                  </w:r>
                  <w:r>
                    <w:rPr>
                      <w:rFonts w:ascii="Arial" w:eastAsia="楷体_GB2312" w:hAnsi="Arial" w:hint="eastAsia"/>
                      <w:color w:val="1F497D" w:themeColor="text2"/>
                      <w:szCs w:val="21"/>
                    </w:rPr>
                    <w:t>，即将基金收益归因到资产配置政策、基准选择、市场择时、证券选择四个方面。</w:t>
                  </w:r>
                </w:p>
                <w:p w14:paraId="3687BF23" w14:textId="645D9CCB" w:rsidR="007C16A5" w:rsidRPr="00BC1FCF" w:rsidRDefault="007C16A5" w:rsidP="00B56EB8">
                  <w:pPr>
                    <w:pStyle w:val="af6"/>
                    <w:numPr>
                      <w:ilvl w:val="0"/>
                      <w:numId w:val="6"/>
                    </w:numPr>
                    <w:ind w:firstLineChars="0"/>
                    <w:rPr>
                      <w:b/>
                      <w:color w:val="17365D" w:themeColor="text2" w:themeShade="BF"/>
                    </w:rPr>
                  </w:pPr>
                  <w:r w:rsidRPr="007C16A5">
                    <w:rPr>
                      <w:rFonts w:ascii="Arial" w:eastAsia="楷体_GB2312" w:hAnsi="Arial" w:hint="eastAsia"/>
                      <w:b/>
                      <w:bCs/>
                      <w:color w:val="1F497D" w:themeColor="text2"/>
                      <w:szCs w:val="21"/>
                    </w:rPr>
                    <w:t>国内的基金通常采用复合基准的方式</w:t>
                  </w:r>
                  <w:r>
                    <w:rPr>
                      <w:rFonts w:hint="eastAsia"/>
                      <w:b/>
                      <w:color w:val="17365D" w:themeColor="text2" w:themeShade="BF"/>
                    </w:rPr>
                    <w:t>：</w:t>
                  </w:r>
                  <w:r w:rsidRPr="007C16A5">
                    <w:rPr>
                      <w:rFonts w:ascii="Arial" w:eastAsia="楷体_GB2312" w:hAnsi="Arial" w:hint="eastAsia"/>
                      <w:color w:val="1F497D" w:themeColor="text2"/>
                      <w:szCs w:val="21"/>
                    </w:rPr>
                    <w:t>一般来说债券基金和货币基金的业绩比较基准会与某些债券指数或存款利率挂钩；而股票型基金和混合型基金等权益类基金的业绩比较基准通常是由某个股票指数和债券指数复合而成。</w:t>
                  </w:r>
                </w:p>
              </w:tc>
            </w:tr>
          </w:tbl>
          <w:p w14:paraId="27F6FE1E" w14:textId="77777777" w:rsidR="00CE3057" w:rsidRPr="00CE3057" w:rsidRDefault="00CE3057" w:rsidP="00CE3057">
            <w:pPr>
              <w:ind w:right="-1"/>
              <w:rPr>
                <w:rFonts w:eastAsia="楷体_GB2312"/>
                <w:b/>
                <w:color w:val="1F497D" w:themeColor="text2"/>
                <w:lang w:eastAsia="zh-CN"/>
              </w:rPr>
            </w:pPr>
          </w:p>
        </w:tc>
        <w:tc>
          <w:tcPr>
            <w:tcW w:w="3633" w:type="dxa"/>
            <w:tcMar>
              <w:left w:w="0" w:type="dxa"/>
              <w:right w:w="28" w:type="dxa"/>
            </w:tcMar>
          </w:tcPr>
          <w:tbl>
            <w:tblPr>
              <w:tblOverlap w:val="never"/>
              <w:tblW w:w="0" w:type="auto"/>
              <w:jc w:val="right"/>
              <w:tblBorders>
                <w:top w:val="single" w:sz="6" w:space="0" w:color="auto"/>
                <w:bottom w:val="single" w:sz="6" w:space="0" w:color="auto"/>
                <w:insideH w:val="single" w:sz="2" w:space="0" w:color="auto"/>
              </w:tblBorders>
              <w:tblLayout w:type="fixed"/>
              <w:tblLook w:val="01E0" w:firstRow="1" w:lastRow="1" w:firstColumn="1" w:lastColumn="1" w:noHBand="0" w:noVBand="0"/>
            </w:tblPr>
            <w:tblGrid>
              <w:gridCol w:w="963"/>
              <w:gridCol w:w="2552"/>
            </w:tblGrid>
            <w:tr w:rsidR="00883E1F" w:rsidRPr="001B6E1E" w14:paraId="3B0BA31B" w14:textId="77777777" w:rsidTr="00B9063D">
              <w:trPr>
                <w:trHeight w:val="340"/>
                <w:jc w:val="right"/>
              </w:trPr>
              <w:tc>
                <w:tcPr>
                  <w:tcW w:w="3515" w:type="dxa"/>
                  <w:gridSpan w:val="2"/>
                  <w:tcBorders>
                    <w:top w:val="nil"/>
                    <w:bottom w:val="single" w:sz="4" w:space="0" w:color="1F497D" w:themeColor="text2"/>
                  </w:tcBorders>
                  <w:shd w:val="clear" w:color="auto" w:fill="DEDFEF"/>
                  <w:vAlign w:val="center"/>
                </w:tcPr>
                <w:p w14:paraId="497F7DD8" w14:textId="3DBE69A4" w:rsidR="00883E1F" w:rsidRPr="00EB511C" w:rsidRDefault="00883E1F" w:rsidP="00883E1F">
                  <w:pPr>
                    <w:ind w:left="-60"/>
                    <w:jc w:val="both"/>
                    <w:rPr>
                      <w:rFonts w:ascii="Arial" w:eastAsia="楷体_GB2312" w:hAnsi="Arial" w:cs="黑体"/>
                      <w:b/>
                      <w:color w:val="FFFFFF" w:themeColor="background1"/>
                      <w:position w:val="6"/>
                      <w:sz w:val="21"/>
                      <w:szCs w:val="21"/>
                      <w:lang w:eastAsia="zh-CN"/>
                    </w:rPr>
                  </w:pPr>
                  <w:r w:rsidRPr="00EB511C">
                    <w:rPr>
                      <w:rFonts w:ascii="Arial" w:eastAsia="楷体_GB2312" w:hAnsi="Arial" w:hint="eastAsia"/>
                      <w:b/>
                      <w:color w:val="1F497D" w:themeColor="text2"/>
                      <w:sz w:val="21"/>
                      <w:lang w:eastAsia="zh-CN"/>
                    </w:rPr>
                    <w:t>图</w:t>
                  </w:r>
                  <w:r>
                    <w:rPr>
                      <w:rFonts w:ascii="Arial" w:eastAsia="楷体_GB2312" w:hAnsi="Arial" w:hint="eastAsia"/>
                      <w:b/>
                      <w:color w:val="1F497D" w:themeColor="text2"/>
                      <w:sz w:val="21"/>
                      <w:lang w:eastAsia="zh-CN"/>
                    </w:rPr>
                    <w:t>：</w:t>
                  </w:r>
                  <w:r w:rsidR="00390048">
                    <w:rPr>
                      <w:rFonts w:ascii="Arial" w:eastAsia="楷体_GB2312" w:hAnsi="Arial" w:hint="eastAsia"/>
                      <w:b/>
                      <w:color w:val="1F497D" w:themeColor="text2"/>
                      <w:sz w:val="21"/>
                      <w:lang w:eastAsia="zh-CN"/>
                    </w:rPr>
                    <w:t>包括业绩基准的四维度基金业绩归因模型</w:t>
                  </w:r>
                </w:p>
              </w:tc>
            </w:tr>
            <w:tr w:rsidR="00883E1F" w:rsidRPr="00996EC2" w14:paraId="0DDE94E6" w14:textId="77777777" w:rsidTr="00B9063D">
              <w:trPr>
                <w:trHeight w:val="2041"/>
                <w:jc w:val="right"/>
              </w:trPr>
              <w:tc>
                <w:tcPr>
                  <w:tcW w:w="3515" w:type="dxa"/>
                  <w:gridSpan w:val="2"/>
                  <w:tcBorders>
                    <w:top w:val="single" w:sz="4" w:space="0" w:color="1F497D" w:themeColor="text2"/>
                    <w:bottom w:val="nil"/>
                  </w:tcBorders>
                  <w:shd w:val="clear" w:color="auto" w:fill="auto"/>
                  <w:tcMar>
                    <w:left w:w="108" w:type="dxa"/>
                  </w:tcMar>
                  <w:vAlign w:val="center"/>
                </w:tcPr>
                <w:p w14:paraId="5B2DFA0C" w14:textId="66EDA800" w:rsidR="00883E1F" w:rsidRPr="00996EC2" w:rsidRDefault="00390048" w:rsidP="00883E1F">
                  <w:pPr>
                    <w:ind w:left="-60"/>
                    <w:jc w:val="both"/>
                    <w:rPr>
                      <w:rFonts w:ascii="Arial" w:eastAsia="楷体_GB2312" w:hAnsi="Arial"/>
                      <w:b/>
                      <w:color w:val="FFFFFF" w:themeColor="background1"/>
                      <w:kern w:val="0"/>
                      <w:sz w:val="21"/>
                      <w:szCs w:val="21"/>
                      <w:lang w:eastAsia="zh-CN"/>
                    </w:rPr>
                  </w:pPr>
                  <w:r w:rsidRPr="00B37306">
                    <w:rPr>
                      <w:rFonts w:eastAsiaTheme="minorEastAsia"/>
                      <w:noProof/>
                    </w:rPr>
                    <mc:AlternateContent>
                      <mc:Choice Requires="wpg">
                        <w:drawing>
                          <wp:inline distT="0" distB="0" distL="0" distR="0" wp14:anchorId="4652F3AC" wp14:editId="3629B522">
                            <wp:extent cx="2144567" cy="1211706"/>
                            <wp:effectExtent l="19050" t="19050" r="27305" b="26670"/>
                            <wp:docPr id="87" name="组合 85"/>
                            <wp:cNvGraphicFramePr/>
                            <a:graphic xmlns:a="http://schemas.openxmlformats.org/drawingml/2006/main">
                              <a:graphicData uri="http://schemas.microsoft.com/office/word/2010/wordprocessingGroup">
                                <wpg:wgp>
                                  <wpg:cNvGrpSpPr/>
                                  <wpg:grpSpPr>
                                    <a:xfrm>
                                      <a:off x="0" y="0"/>
                                      <a:ext cx="2144567" cy="1211706"/>
                                      <a:chOff x="0" y="0"/>
                                      <a:chExt cx="10677776" cy="6734613"/>
                                    </a:xfrm>
                                  </wpg:grpSpPr>
                                  <pic:pic xmlns:pic="http://schemas.openxmlformats.org/drawingml/2006/picture">
                                    <pic:nvPicPr>
                                      <pic:cNvPr id="89" name="图片 89"/>
                                      <pic:cNvPicPr/>
                                    </pic:nvPicPr>
                                    <pic:blipFill>
                                      <a:blip r:embed="rId8"/>
                                      <a:stretch>
                                        <a:fillRect/>
                                      </a:stretch>
                                    </pic:blipFill>
                                    <pic:spPr>
                                      <a:xfrm>
                                        <a:off x="0" y="0"/>
                                        <a:ext cx="1406636" cy="1349693"/>
                                      </a:xfrm>
                                      <a:prstGeom prst="rect">
                                        <a:avLst/>
                                      </a:prstGeom>
                                      <a:ln>
                                        <a:solidFill>
                                          <a:schemeClr val="tx1"/>
                                        </a:solidFill>
                                      </a:ln>
                                    </pic:spPr>
                                  </pic:pic>
                                  <pic:pic xmlns:pic="http://schemas.openxmlformats.org/drawingml/2006/picture">
                                    <pic:nvPicPr>
                                      <pic:cNvPr id="90" name="图片 90"/>
                                      <pic:cNvPicPr/>
                                    </pic:nvPicPr>
                                    <pic:blipFill>
                                      <a:blip r:embed="rId9"/>
                                      <a:stretch>
                                        <a:fillRect/>
                                      </a:stretch>
                                    </pic:blipFill>
                                    <pic:spPr>
                                      <a:xfrm>
                                        <a:off x="0" y="2521819"/>
                                        <a:ext cx="1935163" cy="1349375"/>
                                      </a:xfrm>
                                      <a:prstGeom prst="rect">
                                        <a:avLst/>
                                      </a:prstGeom>
                                      <a:ln>
                                        <a:solidFill>
                                          <a:schemeClr val="tx1"/>
                                        </a:solidFill>
                                      </a:ln>
                                    </pic:spPr>
                                  </pic:pic>
                                  <pic:pic xmlns:pic="http://schemas.openxmlformats.org/drawingml/2006/picture">
                                    <pic:nvPicPr>
                                      <pic:cNvPr id="91" name="图片 91"/>
                                      <pic:cNvPicPr/>
                                    </pic:nvPicPr>
                                    <pic:blipFill>
                                      <a:blip r:embed="rId10"/>
                                      <a:stretch>
                                        <a:fillRect/>
                                      </a:stretch>
                                    </pic:blipFill>
                                    <pic:spPr>
                                      <a:xfrm>
                                        <a:off x="2663770" y="2521819"/>
                                        <a:ext cx="1755775" cy="1349375"/>
                                      </a:xfrm>
                                      <a:prstGeom prst="rect">
                                        <a:avLst/>
                                      </a:prstGeom>
                                      <a:ln>
                                        <a:solidFill>
                                          <a:schemeClr val="tx1"/>
                                        </a:solidFill>
                                      </a:ln>
                                    </pic:spPr>
                                  </pic:pic>
                                  <pic:pic xmlns:pic="http://schemas.openxmlformats.org/drawingml/2006/picture">
                                    <pic:nvPicPr>
                                      <pic:cNvPr id="92" name="图片 92"/>
                                      <pic:cNvPicPr/>
                                    </pic:nvPicPr>
                                    <pic:blipFill>
                                      <a:blip r:embed="rId11"/>
                                      <a:stretch>
                                        <a:fillRect/>
                                      </a:stretch>
                                    </pic:blipFill>
                                    <pic:spPr>
                                      <a:xfrm>
                                        <a:off x="5148152" y="2521819"/>
                                        <a:ext cx="2005012" cy="1349375"/>
                                      </a:xfrm>
                                      <a:prstGeom prst="rect">
                                        <a:avLst/>
                                      </a:prstGeom>
                                      <a:ln>
                                        <a:solidFill>
                                          <a:schemeClr val="tx1"/>
                                        </a:solidFill>
                                      </a:ln>
                                    </pic:spPr>
                                  </pic:pic>
                                  <pic:pic xmlns:pic="http://schemas.openxmlformats.org/drawingml/2006/picture">
                                    <pic:nvPicPr>
                                      <pic:cNvPr id="93" name="图片 93"/>
                                      <pic:cNvPicPr/>
                                    </pic:nvPicPr>
                                    <pic:blipFill>
                                      <a:blip r:embed="rId12"/>
                                      <a:stretch>
                                        <a:fillRect/>
                                      </a:stretch>
                                    </pic:blipFill>
                                    <pic:spPr>
                                      <a:xfrm>
                                        <a:off x="7881772" y="2521819"/>
                                        <a:ext cx="1655763" cy="1349375"/>
                                      </a:xfrm>
                                      <a:prstGeom prst="rect">
                                        <a:avLst/>
                                      </a:prstGeom>
                                      <a:ln>
                                        <a:solidFill>
                                          <a:schemeClr val="tx1"/>
                                        </a:solidFill>
                                      </a:ln>
                                    </pic:spPr>
                                  </pic:pic>
                                  <pic:pic xmlns:pic="http://schemas.openxmlformats.org/drawingml/2006/picture">
                                    <pic:nvPicPr>
                                      <pic:cNvPr id="94" name="图片 94"/>
                                      <pic:cNvPicPr/>
                                    </pic:nvPicPr>
                                    <pic:blipFill>
                                      <a:blip r:embed="rId13"/>
                                      <a:stretch>
                                        <a:fillRect/>
                                      </a:stretch>
                                    </pic:blipFill>
                                    <pic:spPr>
                                      <a:xfrm>
                                        <a:off x="2461461" y="0"/>
                                        <a:ext cx="1914525" cy="1349375"/>
                                      </a:xfrm>
                                      <a:prstGeom prst="rect">
                                        <a:avLst/>
                                      </a:prstGeom>
                                      <a:ln>
                                        <a:solidFill>
                                          <a:schemeClr val="tx1"/>
                                        </a:solidFill>
                                      </a:ln>
                                    </pic:spPr>
                                  </pic:pic>
                                  <pic:pic xmlns:pic="http://schemas.openxmlformats.org/drawingml/2006/picture">
                                    <pic:nvPicPr>
                                      <pic:cNvPr id="95" name="图片 95"/>
                                      <pic:cNvPicPr/>
                                    </pic:nvPicPr>
                                    <pic:blipFill>
                                      <a:blip r:embed="rId14"/>
                                      <a:stretch>
                                        <a:fillRect/>
                                      </a:stretch>
                                    </pic:blipFill>
                                    <pic:spPr>
                                      <a:xfrm>
                                        <a:off x="7971536" y="0"/>
                                        <a:ext cx="966787" cy="1339850"/>
                                      </a:xfrm>
                                      <a:prstGeom prst="rect">
                                        <a:avLst/>
                                      </a:prstGeom>
                                      <a:ln>
                                        <a:solidFill>
                                          <a:schemeClr val="tx1"/>
                                        </a:solidFill>
                                      </a:ln>
                                    </pic:spPr>
                                  </pic:pic>
                                  <pic:pic xmlns:pic="http://schemas.openxmlformats.org/drawingml/2006/picture">
                                    <pic:nvPicPr>
                                      <pic:cNvPr id="96" name="图片 96"/>
                                      <pic:cNvPicPr/>
                                    </pic:nvPicPr>
                                    <pic:blipFill>
                                      <a:blip r:embed="rId15"/>
                                      <a:stretch>
                                        <a:fillRect/>
                                      </a:stretch>
                                    </pic:blipFill>
                                    <pic:spPr>
                                      <a:xfrm>
                                        <a:off x="5430811" y="0"/>
                                        <a:ext cx="1485900" cy="1349375"/>
                                      </a:xfrm>
                                      <a:prstGeom prst="rect">
                                        <a:avLst/>
                                      </a:prstGeom>
                                      <a:ln>
                                        <a:solidFill>
                                          <a:schemeClr val="tx1"/>
                                        </a:solidFill>
                                      </a:ln>
                                    </pic:spPr>
                                  </pic:pic>
                                  <wps:wsp>
                                    <wps:cNvPr id="97" name="直接箭头连接符 97"/>
                                    <wps:cNvCnPr>
                                      <a:cxnSpLocks/>
                                    </wps:cNvCnPr>
                                    <wps:spPr>
                                      <a:xfrm>
                                        <a:off x="703318" y="1349693"/>
                                        <a:ext cx="264263"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接箭头连接符 110"/>
                                    <wps:cNvCnPr>
                                      <a:cxnSpLocks/>
                                    </wps:cNvCnPr>
                                    <wps:spPr>
                                      <a:xfrm flipH="1">
                                        <a:off x="967582" y="1349375"/>
                                        <a:ext cx="2451141"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直接箭头连接符 111"/>
                                    <wps:cNvCnPr>
                                      <a:cxnSpLocks/>
                                    </wps:cNvCnPr>
                                    <wps:spPr>
                                      <a:xfrm>
                                        <a:off x="703318" y="1349693"/>
                                        <a:ext cx="2838339"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直接箭头连接符 112"/>
                                    <wps:cNvCnPr>
                                      <a:cxnSpLocks/>
                                    </wps:cNvCnPr>
                                    <wps:spPr>
                                      <a:xfrm>
                                        <a:off x="3418723" y="1349375"/>
                                        <a:ext cx="122934"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直接箭头连接符 113"/>
                                    <wps:cNvCnPr>
                                      <a:cxnSpLocks/>
                                    </wps:cNvCnPr>
                                    <wps:spPr>
                                      <a:xfrm flipH="1">
                                        <a:off x="3541657" y="1349375"/>
                                        <a:ext cx="2632104"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a:cxnSpLocks/>
                                    </wps:cNvCnPr>
                                    <wps:spPr>
                                      <a:xfrm>
                                        <a:off x="3418723" y="1349375"/>
                                        <a:ext cx="2731935"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直接箭头连接符 115"/>
                                    <wps:cNvCnPr>
                                      <a:cxnSpLocks/>
                                    </wps:cNvCnPr>
                                    <wps:spPr>
                                      <a:xfrm>
                                        <a:off x="6173761" y="1349375"/>
                                        <a:ext cx="2535892"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16" name="图片 116"/>
                                      <pic:cNvPicPr/>
                                    </pic:nvPicPr>
                                    <pic:blipFill>
                                      <a:blip r:embed="rId16"/>
                                      <a:stretch>
                                        <a:fillRect/>
                                      </a:stretch>
                                    </pic:blipFill>
                                    <pic:spPr>
                                      <a:xfrm>
                                        <a:off x="9993148" y="0"/>
                                        <a:ext cx="628650" cy="1339850"/>
                                      </a:xfrm>
                                      <a:prstGeom prst="rect">
                                        <a:avLst/>
                                      </a:prstGeom>
                                      <a:ln>
                                        <a:solidFill>
                                          <a:schemeClr val="tx1"/>
                                        </a:solidFill>
                                      </a:ln>
                                    </pic:spPr>
                                  </pic:pic>
                                  <pic:pic xmlns:pic="http://schemas.openxmlformats.org/drawingml/2006/picture">
                                    <pic:nvPicPr>
                                      <pic:cNvPr id="117" name="图片 117"/>
                                      <pic:cNvPicPr/>
                                    </pic:nvPicPr>
                                    <pic:blipFill>
                                      <a:blip r:embed="rId17"/>
                                      <a:stretch>
                                        <a:fillRect/>
                                      </a:stretch>
                                    </pic:blipFill>
                                    <pic:spPr>
                                      <a:xfrm>
                                        <a:off x="9699876" y="5394763"/>
                                        <a:ext cx="977900" cy="1339850"/>
                                      </a:xfrm>
                                      <a:prstGeom prst="rect">
                                        <a:avLst/>
                                      </a:prstGeom>
                                      <a:ln>
                                        <a:solidFill>
                                          <a:schemeClr val="tx1"/>
                                        </a:solidFill>
                                      </a:ln>
                                    </pic:spPr>
                                  </pic:pic>
                                  <wps:wsp>
                                    <wps:cNvPr id="118" name="直接箭头连接符 118"/>
                                    <wps:cNvCnPr>
                                      <a:cxnSpLocks/>
                                    </wps:cNvCnPr>
                                    <wps:spPr>
                                      <a:xfrm flipH="1">
                                        <a:off x="6150658" y="1339850"/>
                                        <a:ext cx="2304271" cy="11819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直接箭头连接符 119"/>
                                    <wps:cNvCnPr>
                                      <a:cxnSpLocks/>
                                    </wps:cNvCnPr>
                                    <wps:spPr>
                                      <a:xfrm flipH="1">
                                        <a:off x="8709653" y="1339850"/>
                                        <a:ext cx="1597820" cy="11819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直接箭头连接符 120"/>
                                    <wps:cNvCnPr>
                                      <a:cxnSpLocks/>
                                    </wps:cNvCnPr>
                                    <wps:spPr>
                                      <a:xfrm>
                                        <a:off x="967581" y="3871194"/>
                                        <a:ext cx="9221245"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直接箭头连接符 121"/>
                                    <wps:cNvCnPr>
                                      <a:cxnSpLocks/>
                                    </wps:cNvCnPr>
                                    <wps:spPr>
                                      <a:xfrm>
                                        <a:off x="3541657" y="3871194"/>
                                        <a:ext cx="6647169"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直接箭头连接符 122"/>
                                    <wps:cNvCnPr>
                                      <a:cxnSpLocks/>
                                    </wps:cNvCnPr>
                                    <wps:spPr>
                                      <a:xfrm>
                                        <a:off x="6150658" y="3871194"/>
                                        <a:ext cx="4038168"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直接箭头连接符 123"/>
                                    <wps:cNvCnPr>
                                      <a:cxnSpLocks/>
                                    </wps:cNvCnPr>
                                    <wps:spPr>
                                      <a:xfrm>
                                        <a:off x="8709653" y="3871194"/>
                                        <a:ext cx="1479173"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直接箭头连接符 124"/>
                                    <wps:cNvCnPr>
                                      <a:cxnSpLocks/>
                                    </wps:cNvCnPr>
                                    <wps:spPr>
                                      <a:xfrm flipH="1">
                                        <a:off x="10188826" y="1339850"/>
                                        <a:ext cx="118647" cy="405491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连接符: 肘形 125"/>
                                    <wps:cNvCnPr>
                                      <a:cxnSpLocks/>
                                    </wps:cNvCnPr>
                                    <wps:spPr>
                                      <a:xfrm rot="16200000" flipH="1">
                                        <a:off x="7294421" y="2500357"/>
                                        <a:ext cx="4054913" cy="1733897"/>
                                      </a:xfrm>
                                      <a:prstGeom prst="bentConnector3">
                                        <a:avLst>
                                          <a:gd name="adj1" fmla="val 1304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BDFC341" id="组合 85" o:spid="_x0000_s1026" style="width:168.85pt;height:95.4pt;mso-position-horizontal-relative:char;mso-position-vertical-relative:line" coordsize="106777,67346"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9" o:spid="_x0000_s1027" type="#_x0000_t75" style="position:absolute;width:14066;height:13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" stroked="t" strokecolor="black [3213]">
                              <v:imagedata r:id="rId18" o:title=""/>
                            </v:shape>
                            <v:shape id="图片 90" o:spid="_x0000_s1028" type="#_x0000_t75" style="position:absolute;top:25218;width:19351;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" stroked="t" strokecolor="black [3213]">
                              <v:imagedata r:id="rId19" o:title=""/>
                            </v:shape>
                            <v:shape id="图片 91" o:spid="_x0000_s1029" type="#_x0000_t75" style="position:absolute;left:26637;top:25218;width:17558;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" stroked="t" strokecolor="black [3213]">
                              <v:imagedata r:id="rId20" o:title=""/>
                            </v:shape>
                            <v:shape id="图片 92" o:spid="_x0000_s1030" type="#_x0000_t75" style="position:absolute;left:51481;top:25218;width:20050;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" stroked="t" strokecolor="black [3213]">
                              <v:imagedata r:id="rId21" o:title=""/>
                            </v:shape>
                            <v:shape id="图片 93" o:spid="_x0000_s1031" type="#_x0000_t75" style="position:absolute;left:78817;top:25218;width:16558;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" stroked="t" strokecolor="black [3213]">
                              <v:imagedata r:id="rId22" o:title=""/>
                            </v:shape>
                            <v:shape id="图片 94" o:spid="_x0000_s1032" type="#_x0000_t75" style="position:absolute;left:24614;width:19145;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" stroked="t" strokecolor="black [3213]">
                              <v:imagedata r:id="rId23" o:title=""/>
                            </v:shape>
                            <v:shape id="图片 95" o:spid="_x0000_s1033" type="#_x0000_t75" style="position:absolute;left:79715;width:9668;height:1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" stroked="t" strokecolor="black [3213]">
                              <v:imagedata r:id="rId24" o:title=""/>
                            </v:shape>
                            <v:shape id="图片 96" o:spid="_x0000_s1034" type="#_x0000_t75" style="position:absolute;left:54308;width:14859;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" stroked="t" strokecolor="black [3213]">
                              <v:imagedata r:id="rId25" o:title=""/>
                            </v:shape>
                            <v:shapetype id="_x0000_t32" coordsize="21600,21600" o:spt="32" o:oned="t" path="m,l21600,21600e" filled="f">
                              <v:path arrowok="t" fillok="f" o:connecttype="none"/>
                              <o:lock v:ext="edit" shapetype="t"/>
                            </v:shapetype>
                            <v:shape id="直接箭头连接符 97" o:spid="_x0000_s1035" type="#_x0000_t32" style="position:absolute;left:7033;top:13496;width:2642;height:11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" strokecolor="black [3213]" strokeweight="1pt">
                              <v:stroke endarrow="block"/>
                              <o:lock v:ext="edit" shapetype="f"/>
                            </v:shape>
                            <v:shape id="直接箭头连接符 110" o:spid="_x0000_s1036" type="#_x0000_t32" style="position:absolute;left:9675;top:13493;width:24512;height:11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" strokecolor="black [3213]" strokeweight="1pt">
                              <v:stroke endarrow="block"/>
                              <o:lock v:ext="edit" shapetype="f"/>
                            </v:shape>
                            <v:shape id="直接箭头连接符 111" o:spid="_x0000_s1037" type="#_x0000_t32" style="position:absolute;left:7033;top:13496;width:28383;height:11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" strokecolor="black [3213]" strokeweight="1pt">
                              <v:stroke endarrow="block"/>
                              <o:lock v:ext="edit" shapetype="f"/>
                            </v:shape>
                            <v:shape id="直接箭头连接符 112" o:spid="_x0000_s1038" type="#_x0000_t32" style="position:absolute;left:34187;top:13493;width:122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" strokecolor="black [3213]" strokeweight="1pt">
                              <v:stroke endarrow="block"/>
                              <o:lock v:ext="edit" shapetype="f"/>
                            </v:shape>
                            <v:shape id="直接箭头连接符 113" o:spid="_x0000_s1039" type="#_x0000_t32" style="position:absolute;left:35416;top:13493;width:26321;height:117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" strokecolor="black [3213]" strokeweight="1pt">
                              <v:stroke endarrow="block"/>
                              <o:lock v:ext="edit" shapetype="f"/>
                            </v:shape>
                            <v:shape id="直接箭头连接符 114" o:spid="_x0000_s1040" type="#_x0000_t32" style="position:absolute;left:34187;top:13493;width:2731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" strokecolor="black [3213]" strokeweight="1pt">
                              <v:stroke endarrow="block"/>
                              <o:lock v:ext="edit" shapetype="f"/>
                            </v:shape>
                            <v:shape id="直接箭头连接符 115" o:spid="_x0000_s1041" type="#_x0000_t32" style="position:absolute;left:61737;top:13493;width:2535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" strokecolor="black [3213]" strokeweight="1pt">
                              <v:stroke endarrow="block"/>
                              <o:lock v:ext="edit" shapetype="f"/>
                            </v:shape>
                            <v:shape id="图片 116" o:spid="_x0000_s1042" type="#_x0000_t75" style="position:absolute;left:99931;width:6286;height:1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" stroked="t" strokecolor="black [3213]">
                              <v:imagedata r:id="rId26" o:title=""/>
                            </v:shape>
                            <v:shape id="图片 117" o:spid="_x0000_s1043" type="#_x0000_t75" style="position:absolute;left:96998;top:53947;width:9779;height:13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" stroked="t" strokecolor="black [3213]">
                              <v:imagedata r:id="rId27" o:title=""/>
                            </v:shape>
                            <v:shape id="直接箭头连接符 118" o:spid="_x0000_s1044" type="#_x0000_t32" style="position:absolute;left:61506;top:13398;width:23043;height:11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" strokecolor="black [3213]" strokeweight="1pt">
                              <v:stroke endarrow="block"/>
                              <o:lock v:ext="edit" shapetype="f"/>
                            </v:shape>
                            <v:shape id="直接箭头连接符 119" o:spid="_x0000_s1045" type="#_x0000_t32" style="position:absolute;left:87096;top:13398;width:15978;height:11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" strokecolor="black [3213]" strokeweight="1pt">
                              <v:stroke endarrow="block"/>
                              <o:lock v:ext="edit" shapetype="f"/>
                            </v:shape>
                            <v:shape id="直接箭头连接符 120" o:spid="_x0000_s1046" type="#_x0000_t32" style="position:absolute;left:9675;top:38711;width:92213;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" strokecolor="black [3213]" strokeweight="1pt">
                              <v:stroke endarrow="block"/>
                              <o:lock v:ext="edit" shapetype="f"/>
                            </v:shape>
                            <v:shape id="直接箭头连接符 121" o:spid="_x0000_s1047" type="#_x0000_t32" style="position:absolute;left:35416;top:38711;width:6647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" strokecolor="black [3213]" strokeweight="1pt">
                              <v:stroke endarrow="block"/>
                              <o:lock v:ext="edit" shapetype="f"/>
                            </v:shape>
                            <v:shape id="直接箭头连接符 122" o:spid="_x0000_s1048" type="#_x0000_t32" style="position:absolute;left:61506;top:38711;width:4038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" strokecolor="black [3213]" strokeweight="1pt">
                              <v:stroke endarrow="block"/>
                              <o:lock v:ext="edit" shapetype="f"/>
                            </v:shape>
                            <v:shape id="直接箭头连接符 123" o:spid="_x0000_s1049" type="#_x0000_t32" style="position:absolute;left:87096;top:38711;width:1479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" strokecolor="black [3213]" strokeweight="1pt">
                              <v:stroke endarrow="block"/>
                              <o:lock v:ext="edit" shapetype="f"/>
                            </v:shape>
                            <v:shape id="直接箭头连接符 124" o:spid="_x0000_s1050" type="#_x0000_t32" style="position:absolute;left:101888;top:13398;width:1186;height:405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" strokecolor="black [3213]" strokeweight="1pt">
                              <v:stroke endarrow="block"/>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25" o:spid="_x0000_s1051" type="#_x0000_t34" style="position:absolute;left:72944;top:25003;width:40549;height:173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" adj="2817" strokecolor="black [3213]" strokeweight="1pt">
                              <v:stroke endarrow="block"/>
                              <o:lock v:ext="edit" shapetype="f"/>
                            </v:shape>
                            <w10:anchorlock/>
                          </v:group>
                        </w:pict>
                      </mc:Fallback>
                    </mc:AlternateContent>
                  </w:r>
                  <w:r w:rsidR="00883E1F" w:rsidRPr="00620585">
                    <w:rPr>
                      <w:rFonts w:ascii="Arial" w:eastAsia="楷体_GB2312" w:hAnsi="Arial" w:cs="Arial"/>
                      <w:color w:val="1F497D" w:themeColor="text2"/>
                      <w:sz w:val="15"/>
                      <w:szCs w:val="21"/>
                      <w:lang w:eastAsia="zh-CN"/>
                    </w:rPr>
                    <w:t>数据来源：</w:t>
                  </w:r>
                  <w:r w:rsidR="00883E1F" w:rsidRPr="00620585">
                    <w:rPr>
                      <w:rFonts w:ascii="Arial" w:eastAsia="楷体_GB2312" w:hAnsi="Arial" w:cs="Arial"/>
                      <w:color w:val="1F497D" w:themeColor="text2"/>
                      <w:sz w:val="15"/>
                      <w:szCs w:val="21"/>
                      <w:lang w:eastAsia="zh-CN"/>
                    </w:rPr>
                    <w:t xml:space="preserve">Wind, </w:t>
                  </w:r>
                  <w:r w:rsidR="00883E1F" w:rsidRPr="00620585">
                    <w:rPr>
                      <w:rFonts w:ascii="Arial" w:eastAsia="楷体_GB2312" w:hAnsi="Arial" w:cs="Arial"/>
                      <w:color w:val="1F497D" w:themeColor="text2"/>
                      <w:sz w:val="15"/>
                      <w:szCs w:val="21"/>
                      <w:lang w:eastAsia="zh-CN"/>
                    </w:rPr>
                    <w:t>广发证券发展研究中心</w:t>
                  </w:r>
                </w:p>
              </w:tc>
            </w:tr>
            <w:tr w:rsidR="00883E1F" w:rsidRPr="007C53E8" w14:paraId="4EA26A41" w14:textId="77777777" w:rsidTr="00390048">
              <w:trPr>
                <w:trHeight w:val="348"/>
                <w:jc w:val="right"/>
              </w:trPr>
              <w:tc>
                <w:tcPr>
                  <w:tcW w:w="3515" w:type="dxa"/>
                  <w:gridSpan w:val="2"/>
                  <w:tcBorders>
                    <w:top w:val="nil"/>
                    <w:bottom w:val="single" w:sz="4" w:space="0" w:color="1F497D" w:themeColor="text2"/>
                  </w:tcBorders>
                  <w:shd w:val="clear" w:color="auto" w:fill="DEDFEF"/>
                  <w:vAlign w:val="center"/>
                </w:tcPr>
                <w:p w14:paraId="20A4000B" w14:textId="570A18D7" w:rsidR="00883E1F" w:rsidRPr="007C53E8" w:rsidRDefault="00883E1F" w:rsidP="00883E1F">
                  <w:pPr>
                    <w:ind w:left="-60"/>
                    <w:jc w:val="both"/>
                    <w:rPr>
                      <w:rFonts w:ascii="Arial" w:eastAsia="楷体_GB2312" w:hAnsi="Arial"/>
                      <w:b/>
                      <w:color w:val="1F497D" w:themeColor="text2"/>
                      <w:sz w:val="21"/>
                      <w:lang w:eastAsia="zh-CN"/>
                    </w:rPr>
                  </w:pPr>
                  <w:r w:rsidRPr="007C53E8">
                    <w:rPr>
                      <w:rFonts w:ascii="Arial" w:eastAsia="楷体_GB2312" w:hAnsi="Arial" w:hint="eastAsia"/>
                      <w:b/>
                      <w:color w:val="1F497D" w:themeColor="text2"/>
                      <w:sz w:val="21"/>
                      <w:lang w:eastAsia="zh-CN"/>
                    </w:rPr>
                    <w:t>表：</w:t>
                  </w:r>
                  <w:r w:rsidR="00390048">
                    <w:rPr>
                      <w:rFonts w:ascii="Arial" w:eastAsia="楷体_GB2312" w:hAnsi="Arial" w:hint="eastAsia"/>
                      <w:b/>
                      <w:color w:val="1F497D" w:themeColor="text2"/>
                      <w:sz w:val="21"/>
                      <w:lang w:eastAsia="zh-CN"/>
                    </w:rPr>
                    <w:t>偏股混合型基金最常用业绩比较基准</w:t>
                  </w:r>
                </w:p>
              </w:tc>
            </w:tr>
            <w:tr w:rsidR="00390048" w:rsidRPr="00996EC2" w14:paraId="02C0B063" w14:textId="77777777" w:rsidTr="00390048">
              <w:trPr>
                <w:trHeight w:val="336"/>
                <w:jc w:val="right"/>
              </w:trPr>
              <w:tc>
                <w:tcPr>
                  <w:tcW w:w="963" w:type="dxa"/>
                  <w:tcBorders>
                    <w:top w:val="single" w:sz="4" w:space="0" w:color="1F497D" w:themeColor="text2"/>
                    <w:bottom w:val="single" w:sz="4" w:space="0" w:color="1F497D" w:themeColor="text2"/>
                  </w:tcBorders>
                  <w:vAlign w:val="center"/>
                </w:tcPr>
                <w:p w14:paraId="47D32BA9" w14:textId="3CC1318B" w:rsidR="00390048" w:rsidRPr="00996EC2" w:rsidRDefault="00390048" w:rsidP="00390048">
                  <w:pPr>
                    <w:ind w:leftChars="-27" w:left="-65"/>
                    <w:jc w:val="both"/>
                    <w:rPr>
                      <w:rFonts w:ascii="Arial" w:eastAsia="楷体_GB2312" w:hAnsi="Arial"/>
                      <w:color w:val="1F497D" w:themeColor="text2"/>
                      <w:kern w:val="0"/>
                      <w:sz w:val="18"/>
                      <w:szCs w:val="18"/>
                      <w:lang w:eastAsia="zh-CN"/>
                    </w:rPr>
                  </w:pPr>
                  <w:r>
                    <w:rPr>
                      <w:rFonts w:ascii="楷体_GB2312" w:eastAsia="楷体_GB2312" w:hAnsi="等线" w:cs="宋体" w:hint="eastAsia"/>
                      <w:b/>
                      <w:bCs/>
                      <w:color w:val="0F243E"/>
                      <w:kern w:val="0"/>
                      <w:sz w:val="16"/>
                      <w:szCs w:val="16"/>
                      <w:lang w:eastAsia="zh-CN"/>
                    </w:rPr>
                    <w:t>双</w:t>
                  </w:r>
                  <w:r w:rsidRPr="00F87E3A">
                    <w:rPr>
                      <w:rFonts w:ascii="楷体_GB2312" w:eastAsia="楷体_GB2312" w:hAnsi="等线" w:cs="宋体" w:hint="eastAsia"/>
                      <w:b/>
                      <w:bCs/>
                      <w:color w:val="0F243E"/>
                      <w:kern w:val="0"/>
                      <w:sz w:val="16"/>
                      <w:szCs w:val="16"/>
                      <w:lang w:eastAsia="zh-CN"/>
                    </w:rPr>
                    <w:t>基准基金</w:t>
                  </w:r>
                </w:p>
              </w:tc>
              <w:tc>
                <w:tcPr>
                  <w:tcW w:w="2552" w:type="dxa"/>
                  <w:tcBorders>
                    <w:top w:val="single" w:sz="4" w:space="0" w:color="1F497D" w:themeColor="text2"/>
                    <w:bottom w:val="single" w:sz="4" w:space="0" w:color="1F497D" w:themeColor="text2"/>
                  </w:tcBorders>
                  <w:vAlign w:val="center"/>
                </w:tcPr>
                <w:p w14:paraId="0B3EC964" w14:textId="58D5B19F" w:rsidR="00390048" w:rsidRPr="00996EC2" w:rsidRDefault="00390048" w:rsidP="00390048">
                  <w:pPr>
                    <w:ind w:left="-60"/>
                    <w:jc w:val="right"/>
                    <w:rPr>
                      <w:rFonts w:ascii="Arial" w:eastAsia="楷体_GB2312" w:hAnsi="Arial"/>
                      <w:color w:val="1F497D" w:themeColor="text2"/>
                      <w:position w:val="6"/>
                      <w:sz w:val="18"/>
                      <w:lang w:eastAsia="zh-CN"/>
                    </w:rPr>
                  </w:pPr>
                  <w:r w:rsidRPr="00F87E3A">
                    <w:rPr>
                      <w:rFonts w:ascii="楷体_GB2312" w:eastAsia="楷体_GB2312" w:hAnsi="等线" w:cs="宋体" w:hint="eastAsia"/>
                      <w:b/>
                      <w:bCs/>
                      <w:color w:val="0F243E"/>
                      <w:kern w:val="0"/>
                      <w:sz w:val="16"/>
                      <w:szCs w:val="16"/>
                      <w:lang w:eastAsia="zh-CN"/>
                    </w:rPr>
                    <w:t>业绩比较基准</w:t>
                  </w:r>
                </w:p>
              </w:tc>
            </w:tr>
            <w:tr w:rsidR="00390048" w:rsidRPr="00996EC2" w14:paraId="5C654EA9" w14:textId="77777777" w:rsidTr="00390048">
              <w:trPr>
                <w:trHeight w:val="336"/>
                <w:jc w:val="right"/>
              </w:trPr>
              <w:tc>
                <w:tcPr>
                  <w:tcW w:w="963" w:type="dxa"/>
                  <w:vMerge w:val="restart"/>
                  <w:tcBorders>
                    <w:top w:val="single" w:sz="4" w:space="0" w:color="1F497D" w:themeColor="text2"/>
                  </w:tcBorders>
                  <w:vAlign w:val="center"/>
                </w:tcPr>
                <w:p w14:paraId="353B7C24" w14:textId="7DC19EC8" w:rsidR="00390048" w:rsidRPr="00996EC2" w:rsidRDefault="00390048" w:rsidP="00390048">
                  <w:pPr>
                    <w:ind w:leftChars="-27" w:left="-65"/>
                    <w:jc w:val="both"/>
                    <w:rPr>
                      <w:rFonts w:ascii="Arial" w:eastAsia="楷体_GB2312" w:hAnsi="Arial"/>
                      <w:color w:val="1F497D" w:themeColor="text2"/>
                      <w:kern w:val="0"/>
                      <w:sz w:val="18"/>
                      <w:szCs w:val="18"/>
                      <w:lang w:eastAsia="zh-CN"/>
                    </w:rPr>
                  </w:pPr>
                  <w:r>
                    <w:rPr>
                      <w:rFonts w:ascii="Arial" w:eastAsia="等线" w:hAnsi="Arial" w:cs="Arial"/>
                      <w:b/>
                      <w:bCs/>
                      <w:color w:val="0F243E"/>
                      <w:sz w:val="16"/>
                      <w:szCs w:val="16"/>
                    </w:rPr>
                    <w:t>混合型基金</w:t>
                  </w:r>
                </w:p>
              </w:tc>
              <w:tc>
                <w:tcPr>
                  <w:tcW w:w="2552" w:type="dxa"/>
                  <w:tcBorders>
                    <w:top w:val="single" w:sz="4" w:space="0" w:color="1F497D" w:themeColor="text2"/>
                    <w:bottom w:val="nil"/>
                  </w:tcBorders>
                  <w:vAlign w:val="center"/>
                </w:tcPr>
                <w:p w14:paraId="46163112" w14:textId="6D5B979D" w:rsidR="00390048" w:rsidRPr="00996EC2" w:rsidRDefault="00390048" w:rsidP="00390048">
                  <w:pPr>
                    <w:ind w:left="-60"/>
                    <w:jc w:val="right"/>
                    <w:rPr>
                      <w:rFonts w:ascii="Arial" w:eastAsia="楷体_GB2312" w:hAnsi="Arial"/>
                      <w:color w:val="1F497D" w:themeColor="text2"/>
                      <w:position w:val="6"/>
                      <w:sz w:val="18"/>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r>
            <w:tr w:rsidR="00390048" w:rsidRPr="00996EC2" w14:paraId="3AB11D09" w14:textId="77777777" w:rsidTr="00390048">
              <w:trPr>
                <w:trHeight w:val="327"/>
                <w:jc w:val="right"/>
              </w:trPr>
              <w:tc>
                <w:tcPr>
                  <w:tcW w:w="963" w:type="dxa"/>
                  <w:vMerge/>
                  <w:vAlign w:val="center"/>
                </w:tcPr>
                <w:p w14:paraId="4108E8FC" w14:textId="77777777" w:rsidR="00390048" w:rsidRPr="00996EC2" w:rsidRDefault="00390048" w:rsidP="00390048">
                  <w:pPr>
                    <w:ind w:leftChars="-27" w:left="-65"/>
                    <w:jc w:val="both"/>
                    <w:rPr>
                      <w:rFonts w:ascii="Arial" w:eastAsia="楷体_GB2312" w:hAnsi="Arial" w:hint="eastAsia"/>
                      <w:color w:val="1F497D" w:themeColor="text2"/>
                      <w:kern w:val="0"/>
                      <w:sz w:val="18"/>
                      <w:szCs w:val="18"/>
                      <w:lang w:eastAsia="zh-CN"/>
                    </w:rPr>
                  </w:pPr>
                </w:p>
              </w:tc>
              <w:tc>
                <w:tcPr>
                  <w:tcW w:w="2552" w:type="dxa"/>
                  <w:tcBorders>
                    <w:top w:val="nil"/>
                    <w:bottom w:val="nil"/>
                  </w:tcBorders>
                  <w:vAlign w:val="center"/>
                </w:tcPr>
                <w:p w14:paraId="0DDEE2D7" w14:textId="6DD44324" w:rsidR="00390048" w:rsidRPr="00996EC2" w:rsidRDefault="00390048" w:rsidP="00390048">
                  <w:pPr>
                    <w:ind w:left="-60"/>
                    <w:jc w:val="right"/>
                    <w:rPr>
                      <w:rFonts w:ascii="Arial" w:eastAsia="楷体_GB2312" w:hAnsi="Arial"/>
                      <w:color w:val="1F497D" w:themeColor="text2"/>
                      <w:position w:val="6"/>
                      <w:sz w:val="18"/>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r>
            <w:tr w:rsidR="00390048" w:rsidRPr="00996EC2" w14:paraId="661BCEF9" w14:textId="77777777" w:rsidTr="00390048">
              <w:trPr>
                <w:trHeight w:val="327"/>
                <w:jc w:val="right"/>
              </w:trPr>
              <w:tc>
                <w:tcPr>
                  <w:tcW w:w="963" w:type="dxa"/>
                  <w:vMerge/>
                  <w:vAlign w:val="center"/>
                </w:tcPr>
                <w:p w14:paraId="37B3AE53" w14:textId="77777777" w:rsidR="00390048" w:rsidRPr="00996EC2" w:rsidRDefault="00390048" w:rsidP="00390048">
                  <w:pPr>
                    <w:ind w:leftChars="-27" w:left="-65"/>
                    <w:jc w:val="both"/>
                    <w:rPr>
                      <w:rFonts w:ascii="Arial" w:eastAsia="楷体_GB2312" w:hAnsi="Arial" w:hint="eastAsia"/>
                      <w:color w:val="1F497D" w:themeColor="text2"/>
                      <w:kern w:val="0"/>
                      <w:sz w:val="18"/>
                      <w:szCs w:val="18"/>
                      <w:lang w:eastAsia="zh-CN"/>
                    </w:rPr>
                  </w:pPr>
                </w:p>
              </w:tc>
              <w:tc>
                <w:tcPr>
                  <w:tcW w:w="2552" w:type="dxa"/>
                  <w:tcBorders>
                    <w:top w:val="nil"/>
                    <w:bottom w:val="nil"/>
                  </w:tcBorders>
                  <w:vAlign w:val="center"/>
                </w:tcPr>
                <w:p w14:paraId="033367A5" w14:textId="0320A582" w:rsidR="00390048" w:rsidRPr="00996EC2" w:rsidRDefault="00390048" w:rsidP="00390048">
                  <w:pPr>
                    <w:ind w:left="-60"/>
                    <w:jc w:val="right"/>
                    <w:rPr>
                      <w:rFonts w:ascii="Arial" w:eastAsia="楷体_GB2312" w:hAnsi="Arial"/>
                      <w:color w:val="1F497D" w:themeColor="text2"/>
                      <w:position w:val="6"/>
                      <w:sz w:val="18"/>
                      <w:lang w:eastAsia="zh-CN"/>
                    </w:rPr>
                  </w:pPr>
                  <w:r>
                    <w:rPr>
                      <w:rFonts w:ascii="Arial" w:eastAsia="等线" w:hAnsi="Arial" w:cs="Arial"/>
                      <w:b/>
                      <w:bCs/>
                      <w:color w:val="0F243E"/>
                      <w:sz w:val="16"/>
                      <w:szCs w:val="16"/>
                      <w:lang w:eastAsia="zh-CN"/>
                    </w:rPr>
                    <w:t>一年期定期存款利率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r>
            <w:tr w:rsidR="00390048" w:rsidRPr="00996EC2" w14:paraId="5DE00C70" w14:textId="77777777" w:rsidTr="00390048">
              <w:trPr>
                <w:trHeight w:val="327"/>
                <w:jc w:val="right"/>
              </w:trPr>
              <w:tc>
                <w:tcPr>
                  <w:tcW w:w="963" w:type="dxa"/>
                  <w:vMerge/>
                  <w:vAlign w:val="center"/>
                </w:tcPr>
                <w:p w14:paraId="53E022D7" w14:textId="77777777" w:rsidR="00390048" w:rsidRPr="00996EC2" w:rsidRDefault="00390048" w:rsidP="00390048">
                  <w:pPr>
                    <w:ind w:leftChars="-27" w:left="-65"/>
                    <w:jc w:val="both"/>
                    <w:rPr>
                      <w:rFonts w:ascii="Arial" w:eastAsia="楷体_GB2312" w:hAnsi="Arial" w:hint="eastAsia"/>
                      <w:color w:val="1F497D" w:themeColor="text2"/>
                      <w:kern w:val="0"/>
                      <w:sz w:val="18"/>
                      <w:szCs w:val="18"/>
                      <w:lang w:eastAsia="zh-CN"/>
                    </w:rPr>
                  </w:pPr>
                </w:p>
              </w:tc>
              <w:tc>
                <w:tcPr>
                  <w:tcW w:w="2552" w:type="dxa"/>
                  <w:tcBorders>
                    <w:top w:val="nil"/>
                    <w:bottom w:val="nil"/>
                  </w:tcBorders>
                  <w:vAlign w:val="center"/>
                </w:tcPr>
                <w:p w14:paraId="58A570AA" w14:textId="167A0F39" w:rsidR="00390048" w:rsidRPr="00996EC2" w:rsidRDefault="00390048" w:rsidP="00390048">
                  <w:pPr>
                    <w:ind w:left="-60"/>
                    <w:jc w:val="right"/>
                    <w:rPr>
                      <w:rFonts w:ascii="Arial" w:eastAsia="楷体_GB2312" w:hAnsi="Arial"/>
                      <w:color w:val="1F497D" w:themeColor="text2"/>
                      <w:position w:val="6"/>
                      <w:sz w:val="18"/>
                      <w:lang w:eastAsia="zh-CN"/>
                    </w:rPr>
                  </w:pPr>
                  <w:r>
                    <w:rPr>
                      <w:rFonts w:ascii="Arial" w:eastAsia="等线" w:hAnsi="Arial" w:cs="Arial"/>
                      <w:b/>
                      <w:bCs/>
                      <w:color w:val="0F243E"/>
                      <w:sz w:val="16"/>
                      <w:szCs w:val="16"/>
                      <w:lang w:eastAsia="zh-CN"/>
                    </w:rPr>
                    <w:t>1</w:t>
                  </w:r>
                  <w:r>
                    <w:rPr>
                      <w:rFonts w:ascii="Arial" w:eastAsia="等线" w:hAnsi="Arial" w:cs="Arial"/>
                      <w:b/>
                      <w:bCs/>
                      <w:color w:val="0F243E"/>
                      <w:sz w:val="16"/>
                      <w:szCs w:val="16"/>
                      <w:lang w:eastAsia="zh-CN"/>
                    </w:rPr>
                    <w:t>年期定期存款利率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r>
            <w:tr w:rsidR="00390048" w:rsidRPr="00996EC2" w14:paraId="56A4CD97" w14:textId="77777777" w:rsidTr="00390048">
              <w:trPr>
                <w:trHeight w:val="327"/>
                <w:jc w:val="right"/>
              </w:trPr>
              <w:tc>
                <w:tcPr>
                  <w:tcW w:w="963" w:type="dxa"/>
                  <w:vMerge/>
                  <w:tcBorders>
                    <w:bottom w:val="nil"/>
                  </w:tcBorders>
                  <w:vAlign w:val="center"/>
                </w:tcPr>
                <w:p w14:paraId="774A06FE" w14:textId="77777777" w:rsidR="00390048" w:rsidRPr="00996EC2" w:rsidRDefault="00390048" w:rsidP="00390048">
                  <w:pPr>
                    <w:ind w:leftChars="-27" w:left="-65"/>
                    <w:jc w:val="both"/>
                    <w:rPr>
                      <w:rFonts w:ascii="Arial" w:eastAsia="楷体_GB2312" w:hAnsi="Arial" w:hint="eastAsia"/>
                      <w:color w:val="1F497D" w:themeColor="text2"/>
                      <w:kern w:val="0"/>
                      <w:sz w:val="18"/>
                      <w:szCs w:val="18"/>
                      <w:lang w:eastAsia="zh-CN"/>
                    </w:rPr>
                  </w:pPr>
                </w:p>
              </w:tc>
              <w:tc>
                <w:tcPr>
                  <w:tcW w:w="2552" w:type="dxa"/>
                  <w:tcBorders>
                    <w:top w:val="nil"/>
                    <w:bottom w:val="nil"/>
                  </w:tcBorders>
                  <w:vAlign w:val="center"/>
                </w:tcPr>
                <w:p w14:paraId="6DFB2419" w14:textId="63A6AA84" w:rsidR="00390048" w:rsidRPr="00996EC2" w:rsidRDefault="00390048" w:rsidP="00390048">
                  <w:pPr>
                    <w:ind w:left="-60"/>
                    <w:jc w:val="right"/>
                    <w:rPr>
                      <w:rFonts w:ascii="Arial" w:eastAsia="楷体_GB2312" w:hAnsi="Arial"/>
                      <w:color w:val="1F497D" w:themeColor="text2"/>
                      <w:position w:val="6"/>
                      <w:sz w:val="18"/>
                      <w:lang w:eastAsia="zh-CN"/>
                    </w:rPr>
                  </w:pPr>
                  <w:r>
                    <w:rPr>
                      <w:rFonts w:ascii="Arial" w:eastAsia="等线" w:hAnsi="Arial" w:cs="Arial"/>
                      <w:b/>
                      <w:bCs/>
                      <w:color w:val="0F243E"/>
                      <w:sz w:val="16"/>
                      <w:szCs w:val="16"/>
                      <w:lang w:eastAsia="zh-CN"/>
                    </w:rPr>
                    <w:t>中债综合财富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r>
            <w:tr w:rsidR="00883E1F" w:rsidRPr="00996EC2" w14:paraId="77928136" w14:textId="77777777" w:rsidTr="00390048">
              <w:trPr>
                <w:trHeight w:val="336"/>
                <w:jc w:val="right"/>
              </w:trPr>
              <w:tc>
                <w:tcPr>
                  <w:tcW w:w="3515" w:type="dxa"/>
                  <w:gridSpan w:val="2"/>
                  <w:tcBorders>
                    <w:top w:val="single" w:sz="4" w:space="0" w:color="auto"/>
                    <w:bottom w:val="nil"/>
                  </w:tcBorders>
                  <w:vAlign w:val="center"/>
                </w:tcPr>
                <w:p w14:paraId="78F55A34" w14:textId="77777777" w:rsidR="00883E1F" w:rsidRPr="00996EC2" w:rsidRDefault="00883E1F" w:rsidP="00883E1F">
                  <w:pPr>
                    <w:ind w:left="-60"/>
                    <w:rPr>
                      <w:rFonts w:ascii="Arial" w:eastAsia="楷体_GB2312" w:hAnsi="Arial"/>
                      <w:color w:val="1F497D" w:themeColor="text2"/>
                      <w:kern w:val="0"/>
                      <w:sz w:val="18"/>
                      <w:szCs w:val="18"/>
                      <w:lang w:eastAsia="zh-CN"/>
                    </w:rPr>
                  </w:pPr>
                  <w:r w:rsidRPr="00620585">
                    <w:rPr>
                      <w:rFonts w:ascii="Arial" w:eastAsia="楷体_GB2312" w:hAnsi="Arial" w:cs="Arial"/>
                      <w:color w:val="1F497D" w:themeColor="text2"/>
                      <w:sz w:val="15"/>
                      <w:szCs w:val="21"/>
                      <w:lang w:eastAsia="zh-CN"/>
                    </w:rPr>
                    <w:t>数据来源：</w:t>
                  </w:r>
                  <w:r w:rsidRPr="00620585">
                    <w:rPr>
                      <w:rFonts w:ascii="Arial" w:eastAsia="楷体_GB2312" w:hAnsi="Arial" w:cs="Arial"/>
                      <w:color w:val="1F497D" w:themeColor="text2"/>
                      <w:sz w:val="15"/>
                      <w:szCs w:val="21"/>
                      <w:lang w:eastAsia="zh-CN"/>
                    </w:rPr>
                    <w:t xml:space="preserve">Wind, </w:t>
                  </w:r>
                  <w:r w:rsidRPr="00620585">
                    <w:rPr>
                      <w:rFonts w:ascii="Arial" w:eastAsia="楷体_GB2312" w:hAnsi="Arial" w:cs="Arial"/>
                      <w:color w:val="1F497D" w:themeColor="text2"/>
                      <w:sz w:val="15"/>
                      <w:szCs w:val="21"/>
                      <w:lang w:eastAsia="zh-CN"/>
                    </w:rPr>
                    <w:t>广发证券发展研究中心</w:t>
                  </w:r>
                </w:p>
              </w:tc>
            </w:tr>
            <w:tr w:rsidR="00883E1F" w:rsidRPr="00996EC2" w14:paraId="051F6545"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hRule="exact" w:val="23"/>
                <w:jc w:val="right"/>
              </w:trPr>
              <w:tc>
                <w:tcPr>
                  <w:tcW w:w="3510" w:type="dxa"/>
                  <w:gridSpan w:val="2"/>
                  <w:shd w:val="clear" w:color="auto" w:fill="auto"/>
                  <w:vAlign w:val="center"/>
                </w:tcPr>
                <w:p w14:paraId="60ADC304" w14:textId="77777777" w:rsidR="00883E1F" w:rsidRPr="00996EC2" w:rsidRDefault="00883E1F" w:rsidP="00883E1F">
                  <w:pPr>
                    <w:rPr>
                      <w:rFonts w:ascii="Arial" w:eastAsia="楷体_GB2312" w:hAnsi="Arial"/>
                      <w:sz w:val="15"/>
                      <w:szCs w:val="15"/>
                      <w:lang w:eastAsia="zh-CN"/>
                    </w:rPr>
                  </w:pPr>
                  <w:r w:rsidRPr="00996EC2">
                    <w:rPr>
                      <w:rFonts w:ascii="Arial" w:eastAsia="楷体_GB2312" w:hAnsi="Arial" w:hint="eastAsia"/>
                      <w:sz w:val="15"/>
                      <w:szCs w:val="15"/>
                      <w:lang w:eastAsia="zh-CN"/>
                    </w:rPr>
                    <w:t>[</w:t>
                  </w:r>
                  <w:r w:rsidRPr="00996EC2">
                    <w:rPr>
                      <w:rFonts w:ascii="Arial" w:eastAsia="楷体_GB2312" w:hAnsi="Arial" w:hint="eastAsia"/>
                      <w:sz w:val="15"/>
                      <w:szCs w:val="15"/>
                    </w:rPr>
                    <w:t>Table_Author</w:t>
                  </w:r>
                  <w:r w:rsidRPr="00996EC2">
                    <w:rPr>
                      <w:rFonts w:ascii="Arial" w:eastAsia="楷体_GB2312" w:hAnsi="Arial" w:hint="eastAsia"/>
                      <w:sz w:val="15"/>
                      <w:szCs w:val="15"/>
                      <w:lang w:eastAsia="zh-CN"/>
                    </w:rPr>
                    <w:t>]</w:t>
                  </w:r>
                </w:p>
              </w:tc>
            </w:tr>
            <w:tr w:rsidR="00883E1F" w:rsidRPr="00996EC2" w14:paraId="44F61010"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207CC25D" w14:textId="77777777"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14:paraId="6D392966"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陈原文</w:t>
                  </w:r>
                </w:p>
              </w:tc>
            </w:tr>
            <w:tr w:rsidR="00883E1F" w:rsidRPr="00996EC2" w14:paraId="0A63712E"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2ED2FFC5" w14:textId="77777777" w:rsidR="00883E1F" w:rsidRPr="00996EC2" w:rsidRDefault="00540879" w:rsidP="00883E1F">
                  <w:pPr>
                    <w:tabs>
                      <w:tab w:val="center" w:pos="5051"/>
                    </w:tabs>
                    <w:spacing w:line="240" w:lineRule="atLeast"/>
                    <w:jc w:val="center"/>
                    <w:rPr>
                      <w:rFonts w:ascii="Arial" w:eastAsia="楷体_GB2312" w:hAnsi="Arial"/>
                      <w:b/>
                      <w:noProof/>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56488374" wp14:editId="36E7D035">
                        <wp:extent cx="219475" cy="195089"/>
                        <wp:effectExtent l="0" t="0" r="9525" b="0"/>
                        <wp:docPr id="5" name="图片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14:paraId="6FAAE6C1" w14:textId="77777777" w:rsidR="00883E1F" w:rsidRPr="00996EC2" w:rsidRDefault="00540879" w:rsidP="00540879">
                  <w:pPr>
                    <w:pStyle w:val="aff0"/>
                  </w:pPr>
                  <w:r>
                    <w:rPr>
                      <w:rFonts w:hint="eastAsia"/>
                    </w:rPr>
                    <w:t xml:space="preserve">SAC </w:t>
                  </w:r>
                  <w:r>
                    <w:rPr>
                      <w:rFonts w:hint="eastAsia"/>
                    </w:rPr>
                    <w:t>执证号：</w:t>
                  </w:r>
                  <w:r>
                    <w:rPr>
                      <w:rFonts w:hint="eastAsia"/>
                    </w:rPr>
                    <w:t>S0260517080003</w:t>
                  </w:r>
                </w:p>
              </w:tc>
            </w:tr>
            <w:tr w:rsidR="00883E1F" w:rsidRPr="00996EC2" w14:paraId="3A591856"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23F996F4" w14:textId="77777777"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762B5DA3" wp14:editId="78B434FE">
                        <wp:extent cx="219164" cy="181048"/>
                        <wp:effectExtent l="0" t="0" r="9525" b="0"/>
                        <wp:docPr id="6" name="图片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14:paraId="3920CCAF"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0755-82797057</w:t>
                  </w:r>
                </w:p>
              </w:tc>
            </w:tr>
            <w:tr w:rsidR="00883E1F" w:rsidRPr="00996EC2" w14:paraId="3B837A38"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07076F04" w14:textId="77777777"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461DB00" wp14:editId="291B6A0A">
                        <wp:extent cx="219164" cy="171519"/>
                        <wp:effectExtent l="0" t="0" r="9525" b="0"/>
                        <wp:docPr id="7" name="图片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3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14:paraId="433AA2C7"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chenyuanwen@gf.com.cn</w:t>
                  </w:r>
                </w:p>
              </w:tc>
            </w:tr>
            <w:tr w:rsidR="00540879" w:rsidRPr="00996EC2" w14:paraId="5A299A06"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3DF48C96"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14:paraId="69C232F4"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罗军</w:t>
                  </w:r>
                </w:p>
              </w:tc>
            </w:tr>
            <w:tr w:rsidR="00540879" w:rsidRPr="00996EC2" w14:paraId="2E6D6902"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0906BACA"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1BBFCFB6" wp14:editId="289036EF">
                        <wp:extent cx="219475" cy="195089"/>
                        <wp:effectExtent l="0" t="0" r="9525" b="0"/>
                        <wp:docPr id="13" name="图片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14:paraId="62388C5B" w14:textId="77777777" w:rsidR="00540879" w:rsidRPr="00996EC2" w:rsidRDefault="00540879" w:rsidP="00540879">
                  <w:pPr>
                    <w:pStyle w:val="aff0"/>
                  </w:pPr>
                  <w:r>
                    <w:rPr>
                      <w:rFonts w:hint="eastAsia"/>
                    </w:rPr>
                    <w:t xml:space="preserve">SAC </w:t>
                  </w:r>
                  <w:r>
                    <w:rPr>
                      <w:rFonts w:hint="eastAsia"/>
                    </w:rPr>
                    <w:t>执证号：</w:t>
                  </w:r>
                  <w:r>
                    <w:rPr>
                      <w:rFonts w:hint="eastAsia"/>
                    </w:rPr>
                    <w:t>S0260511010004</w:t>
                  </w:r>
                </w:p>
              </w:tc>
            </w:tr>
            <w:tr w:rsidR="00540879" w:rsidRPr="00996EC2" w14:paraId="7E6D03AF"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3662456C"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F98430B" wp14:editId="4F50DD21">
                        <wp:extent cx="219164" cy="181048"/>
                        <wp:effectExtent l="0" t="0" r="9525" b="0"/>
                        <wp:docPr id="21" name="图片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14:paraId="730E15F3"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020-66335128</w:t>
                  </w:r>
                </w:p>
              </w:tc>
            </w:tr>
            <w:tr w:rsidR="00540879" w:rsidRPr="00996EC2" w14:paraId="50F041AD"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37334CE2"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6C40168C" wp14:editId="71ADF7B6">
                        <wp:extent cx="219164" cy="171519"/>
                        <wp:effectExtent l="0" t="0" r="9525" b="0"/>
                        <wp:docPr id="22" name="图片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3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14:paraId="46193AC4"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luojun@gf.com.cn</w:t>
                  </w:r>
                </w:p>
              </w:tc>
            </w:tr>
            <w:tr w:rsidR="00540879" w:rsidRPr="00996EC2" w14:paraId="674D2178"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2C1466D6"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14:paraId="25B9E32E"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安宁宁</w:t>
                  </w:r>
                </w:p>
              </w:tc>
            </w:tr>
            <w:tr w:rsidR="00540879" w:rsidRPr="00996EC2" w14:paraId="46A74AEC"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1509D68F"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A04EEE3" wp14:editId="6A4D5859">
                        <wp:extent cx="219475" cy="195089"/>
                        <wp:effectExtent l="0" t="0" r="9525" b="0"/>
                        <wp:docPr id="23" name="图片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14:paraId="3578D6E2" w14:textId="77777777" w:rsidR="00540879" w:rsidRDefault="00540879" w:rsidP="00540879">
                  <w:pPr>
                    <w:pStyle w:val="aff0"/>
                  </w:pPr>
                  <w:r>
                    <w:rPr>
                      <w:rFonts w:hint="eastAsia"/>
                    </w:rPr>
                    <w:t xml:space="preserve">SAC </w:t>
                  </w:r>
                  <w:r>
                    <w:rPr>
                      <w:rFonts w:hint="eastAsia"/>
                    </w:rPr>
                    <w:t>执证号：</w:t>
                  </w:r>
                  <w:r>
                    <w:rPr>
                      <w:rFonts w:hint="eastAsia"/>
                    </w:rPr>
                    <w:t>S0260512020003</w:t>
                  </w:r>
                </w:p>
                <w:p w14:paraId="77D87902" w14:textId="77777777" w:rsidR="00540879" w:rsidRPr="00996EC2" w:rsidRDefault="00540879" w:rsidP="00540879">
                  <w:pPr>
                    <w:pStyle w:val="aff0"/>
                  </w:pPr>
                  <w:r>
                    <w:t>SFC CE No. BNW179</w:t>
                  </w:r>
                </w:p>
              </w:tc>
            </w:tr>
            <w:tr w:rsidR="00540879" w:rsidRPr="00996EC2" w14:paraId="5C297778"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1AF209B1"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34433F06" wp14:editId="12D5AA37">
                        <wp:extent cx="219164" cy="181048"/>
                        <wp:effectExtent l="0" t="0" r="9525" b="0"/>
                        <wp:docPr id="25" name="图片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2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14:paraId="526A897E"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0755-23948352</w:t>
                  </w:r>
                </w:p>
              </w:tc>
            </w:tr>
            <w:tr w:rsidR="00540879" w:rsidRPr="00996EC2" w14:paraId="5A802DEE"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959" w:type="dxa"/>
                  <w:shd w:val="clear" w:color="auto" w:fill="auto"/>
                  <w:vAlign w:val="center"/>
                </w:tcPr>
                <w:p w14:paraId="3DD9287C" w14:textId="77777777"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14:anchorId="29EFBC13" wp14:editId="6D0EF24D">
                        <wp:extent cx="219164" cy="171519"/>
                        <wp:effectExtent l="0" t="0" r="9525" b="0"/>
                        <wp:docPr id="26" name="图片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3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14:paraId="4EF2FA7B"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anningning@gf.com.cn</w:t>
                  </w:r>
                </w:p>
              </w:tc>
            </w:tr>
            <w:tr w:rsidR="00540879" w:rsidRPr="00996EC2" w14:paraId="71356FC4" w14:textId="77777777" w:rsidTr="00B9063D">
              <w:tblPrEx>
                <w:tblBorders>
                  <w:top w:val="none" w:sz="0" w:space="0" w:color="auto"/>
                  <w:bottom w:val="none" w:sz="0" w:space="0" w:color="auto"/>
                  <w:insideH w:val="none" w:sz="0" w:space="0" w:color="auto"/>
                </w:tblBorders>
                <w:tblLook w:val="04A0" w:firstRow="1" w:lastRow="0" w:firstColumn="1" w:lastColumn="0" w:noHBand="0" w:noVBand="1"/>
              </w:tblPrEx>
              <w:trPr>
                <w:trHeight w:val="283"/>
                <w:jc w:val="right"/>
              </w:trPr>
              <w:tc>
                <w:tcPr>
                  <w:tcW w:w="3510" w:type="dxa"/>
                  <w:gridSpan w:val="2"/>
                  <w:shd w:val="clear" w:color="auto" w:fill="auto"/>
                  <w:vAlign w:val="center"/>
                </w:tcPr>
                <w:p w14:paraId="026ED6DC" w14:textId="77777777" w:rsidR="00540879" w:rsidRPr="00996EC2" w:rsidRDefault="00540879" w:rsidP="00540879">
                  <w:pPr>
                    <w:pStyle w:val="aff"/>
                  </w:pPr>
                  <w:r>
                    <w:rPr>
                      <w:rFonts w:hint="eastAsia"/>
                    </w:rPr>
                    <w:t>请注意，陈原文</w:t>
                  </w:r>
                  <w:r>
                    <w:rPr>
                      <w:rFonts w:hint="eastAsia"/>
                    </w:rPr>
                    <w:t>,</w:t>
                  </w:r>
                  <w:r>
                    <w:rPr>
                      <w:rFonts w:hint="eastAsia"/>
                    </w:rPr>
                    <w:t>罗军并非香港证券及期货事务监察委员会的注册持牌人，不可在香港从事受监管活动。</w:t>
                  </w:r>
                </w:p>
              </w:tc>
            </w:tr>
          </w:tbl>
          <w:p w14:paraId="2A0D94BD" w14:textId="77777777" w:rsidR="00883E1F" w:rsidRPr="00996EC2" w:rsidRDefault="00883E1F" w:rsidP="00883E1F">
            <w:pPr>
              <w:ind w:rightChars="58" w:right="139"/>
              <w:rPr>
                <w:rFonts w:ascii="Arial" w:eastAsia="楷体_GB2312" w:hAnsi="Arial" w:cs="Arial"/>
                <w:color w:val="FF0000"/>
                <w:sz w:val="21"/>
                <w:szCs w:val="28"/>
                <w:lang w:eastAsia="zh-CN"/>
              </w:rPr>
            </w:pPr>
          </w:p>
          <w:tbl>
            <w:tblPr>
              <w:tblW w:w="0" w:type="auto"/>
              <w:jc w:val="right"/>
              <w:tblLayout w:type="fixed"/>
              <w:tblLook w:val="04A0" w:firstRow="1" w:lastRow="0" w:firstColumn="1" w:lastColumn="0" w:noHBand="0" w:noVBand="1"/>
            </w:tblPr>
            <w:tblGrid>
              <w:gridCol w:w="2518"/>
              <w:gridCol w:w="992"/>
            </w:tblGrid>
            <w:tr w:rsidR="00883E1F" w:rsidRPr="00996EC2" w14:paraId="096B1421" w14:textId="77777777" w:rsidTr="00B9063D">
              <w:trPr>
                <w:trHeight w:hRule="exact" w:val="23"/>
                <w:jc w:val="right"/>
              </w:trPr>
              <w:tc>
                <w:tcPr>
                  <w:tcW w:w="3510" w:type="dxa"/>
                  <w:gridSpan w:val="2"/>
                  <w:tcBorders>
                    <w:bottom w:val="single" w:sz="4" w:space="0" w:color="1F497D" w:themeColor="text2"/>
                  </w:tcBorders>
                  <w:shd w:val="clear" w:color="auto" w:fill="FFFFFF" w:themeFill="background1"/>
                  <w:vAlign w:val="bottom"/>
                </w:tcPr>
                <w:p w14:paraId="660FDBAB" w14:textId="77777777" w:rsidR="00883E1F" w:rsidRPr="00996EC2" w:rsidRDefault="00883E1F" w:rsidP="00883E1F">
                  <w:pPr>
                    <w:rPr>
                      <w:rFonts w:ascii="Arial" w:eastAsia="楷体_GB2312" w:hAnsi="Arial"/>
                      <w:sz w:val="15"/>
                      <w:szCs w:val="15"/>
                    </w:rPr>
                  </w:pPr>
                  <w:r w:rsidRPr="00996EC2">
                    <w:rPr>
                      <w:rFonts w:ascii="Arial" w:eastAsia="楷体_GB2312" w:hAnsi="Arial"/>
                      <w:sz w:val="15"/>
                      <w:szCs w:val="15"/>
                    </w:rPr>
                    <w:t>[Table_</w:t>
                  </w:r>
                  <w:r w:rsidRPr="00996EC2">
                    <w:rPr>
                      <w:rFonts w:ascii="Arial" w:eastAsia="楷体_GB2312" w:hAnsi="Arial" w:hint="eastAsia"/>
                      <w:sz w:val="15"/>
                      <w:szCs w:val="15"/>
                      <w:lang w:eastAsia="zh-CN"/>
                    </w:rPr>
                    <w:t>D</w:t>
                  </w:r>
                  <w:r w:rsidRPr="00996EC2">
                    <w:rPr>
                      <w:rFonts w:ascii="Arial" w:eastAsia="楷体_GB2312" w:hAnsi="Arial"/>
                      <w:sz w:val="15"/>
                      <w:szCs w:val="15"/>
                    </w:rPr>
                    <w:t>ocReport]</w:t>
                  </w:r>
                </w:p>
              </w:tc>
            </w:tr>
            <w:tr w:rsidR="00883E1F" w:rsidRPr="00996EC2" w14:paraId="6D01D5BB" w14:textId="77777777" w:rsidTr="00B9063D">
              <w:trPr>
                <w:trHeight w:val="247"/>
                <w:jc w:val="right"/>
              </w:trPr>
              <w:tc>
                <w:tcPr>
                  <w:tcW w:w="3510" w:type="dxa"/>
                  <w:gridSpan w:val="2"/>
                  <w:tcBorders>
                    <w:bottom w:val="single" w:sz="4" w:space="0" w:color="1F497D" w:themeColor="text2"/>
                  </w:tcBorders>
                  <w:shd w:val="clear" w:color="auto" w:fill="FFFFFF" w:themeFill="background1"/>
                  <w:vAlign w:val="bottom"/>
                </w:tcPr>
                <w:p w14:paraId="6BEFE3C4" w14:textId="77777777" w:rsidR="00883E1F" w:rsidRPr="00996EC2" w:rsidRDefault="00883E1F" w:rsidP="00883E1F">
                  <w:pPr>
                    <w:tabs>
                      <w:tab w:val="center" w:pos="5051"/>
                    </w:tabs>
                    <w:spacing w:line="240" w:lineRule="atLeast"/>
                    <w:jc w:val="both"/>
                    <w:rPr>
                      <w:rFonts w:ascii="Arial" w:eastAsia="楷体_GB2312" w:hAnsi="Arial"/>
                      <w:b/>
                      <w:color w:val="1F497D" w:themeColor="text2"/>
                      <w:kern w:val="0"/>
                      <w:sz w:val="21"/>
                      <w:szCs w:val="21"/>
                      <w:lang w:eastAsia="zh-CN"/>
                    </w:rPr>
                  </w:pPr>
                  <w:r w:rsidRPr="00996EC2">
                    <w:rPr>
                      <w:rFonts w:ascii="Arial" w:eastAsia="楷体_GB2312" w:hAnsi="Arial"/>
                      <w:b/>
                      <w:color w:val="1F497D" w:themeColor="text2"/>
                      <w:kern w:val="0"/>
                      <w:sz w:val="21"/>
                      <w:szCs w:val="21"/>
                      <w:lang w:eastAsia="zh-CN"/>
                    </w:rPr>
                    <w:t>相关研究：</w:t>
                  </w:r>
                </w:p>
              </w:tc>
            </w:tr>
            <w:tr w:rsidR="00883E1F" w:rsidRPr="00996EC2" w14:paraId="3D508D89" w14:textId="77777777" w:rsidTr="00540879">
              <w:trPr>
                <w:trHeight w:val="20"/>
                <w:jc w:val="right"/>
              </w:trPr>
              <w:tc>
                <w:tcPr>
                  <w:tcW w:w="2518" w:type="dxa"/>
                  <w:tcBorders>
                    <w:top w:val="single" w:sz="4" w:space="0" w:color="1F497D" w:themeColor="text2"/>
                  </w:tcBorders>
                  <w:shd w:val="clear" w:color="auto" w:fill="auto"/>
                </w:tcPr>
                <w:p w14:paraId="7A7146C3" w14:textId="77777777"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当前市场估值水平如何</w:t>
                  </w:r>
                </w:p>
              </w:tc>
              <w:tc>
                <w:tcPr>
                  <w:tcW w:w="992" w:type="dxa"/>
                  <w:tcBorders>
                    <w:top w:val="single" w:sz="4" w:space="0" w:color="1F497D" w:themeColor="text2"/>
                  </w:tcBorders>
                  <w:shd w:val="clear" w:color="auto" w:fill="auto"/>
                </w:tcPr>
                <w:p w14:paraId="66B4B354" w14:textId="77777777" w:rsidR="00883E1F" w:rsidRPr="00996EC2" w:rsidRDefault="00540879" w:rsidP="00883E1F">
                  <w:pPr>
                    <w:tabs>
                      <w:tab w:val="center" w:pos="5051"/>
                    </w:tabs>
                    <w:spacing w:line="240" w:lineRule="atLeast"/>
                    <w:jc w:val="right"/>
                    <w:rPr>
                      <w:rFonts w:ascii="Arial" w:eastAsia="楷体_GB2312" w:hAnsi="Arial"/>
                      <w:color w:val="1F497D" w:themeColor="text2"/>
                      <w:kern w:val="0"/>
                      <w:sz w:val="15"/>
                      <w:szCs w:val="15"/>
                      <w:lang w:eastAsia="zh-CN"/>
                    </w:rPr>
                  </w:pPr>
                  <w:r>
                    <w:rPr>
                      <w:rFonts w:ascii="Arial" w:eastAsia="楷体_GB2312" w:hAnsi="Arial"/>
                      <w:color w:val="1F497D" w:themeColor="text2"/>
                      <w:kern w:val="0"/>
                      <w:sz w:val="15"/>
                      <w:szCs w:val="15"/>
                      <w:lang w:eastAsia="zh-CN"/>
                    </w:rPr>
                    <w:t>2021-01-02</w:t>
                  </w:r>
                </w:p>
              </w:tc>
            </w:tr>
            <w:tr w:rsidR="00540879" w:rsidRPr="00996EC2" w14:paraId="5A3C6465" w14:textId="77777777" w:rsidTr="00540879">
              <w:trPr>
                <w:trHeight w:val="20"/>
                <w:jc w:val="right"/>
              </w:trPr>
              <w:tc>
                <w:tcPr>
                  <w:tcW w:w="2518" w:type="dxa"/>
                  <w:shd w:val="clear" w:color="auto" w:fill="auto"/>
                </w:tcPr>
                <w:p w14:paraId="56528973" w14:textId="77777777"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基于个股羊群效应的选股因子研究</w:t>
                  </w:r>
                  <w:r>
                    <w:rPr>
                      <w:rFonts w:ascii="Arial" w:eastAsia="楷体_GB2312" w:hAnsi="Arial" w:hint="eastAsia"/>
                      <w:color w:val="1F497D" w:themeColor="text2"/>
                      <w:kern w:val="0"/>
                      <w:sz w:val="18"/>
                      <w:szCs w:val="18"/>
                      <w:lang w:eastAsia="zh-CN"/>
                    </w:rPr>
                    <w:t>:</w:t>
                  </w:r>
                  <w:r>
                    <w:rPr>
                      <w:rFonts w:ascii="Arial" w:eastAsia="楷体_GB2312" w:hAnsi="Arial" w:hint="eastAsia"/>
                      <w:color w:val="1F497D" w:themeColor="text2"/>
                      <w:kern w:val="0"/>
                      <w:sz w:val="18"/>
                      <w:szCs w:val="18"/>
                      <w:lang w:eastAsia="zh-CN"/>
                    </w:rPr>
                    <w:t>高频数据因子研究系列三</w:t>
                  </w:r>
                </w:p>
              </w:tc>
              <w:tc>
                <w:tcPr>
                  <w:tcW w:w="992" w:type="dxa"/>
                  <w:shd w:val="clear" w:color="auto" w:fill="auto"/>
                </w:tcPr>
                <w:p w14:paraId="376FE1F6" w14:textId="77777777" w:rsidR="00540879" w:rsidRPr="00996EC2" w:rsidRDefault="00540879" w:rsidP="00883E1F">
                  <w:pPr>
                    <w:tabs>
                      <w:tab w:val="center" w:pos="5051"/>
                    </w:tabs>
                    <w:spacing w:line="240" w:lineRule="atLeast"/>
                    <w:jc w:val="right"/>
                    <w:rPr>
                      <w:rFonts w:ascii="Arial" w:eastAsia="楷体_GB2312" w:hAnsi="Arial"/>
                      <w:color w:val="1F497D" w:themeColor="text2"/>
                      <w:kern w:val="0"/>
                      <w:sz w:val="15"/>
                      <w:szCs w:val="15"/>
                      <w:lang w:eastAsia="zh-CN"/>
                    </w:rPr>
                  </w:pPr>
                  <w:r>
                    <w:rPr>
                      <w:rFonts w:ascii="Arial" w:eastAsia="楷体_GB2312" w:hAnsi="Arial"/>
                      <w:color w:val="1F497D" w:themeColor="text2"/>
                      <w:kern w:val="0"/>
                      <w:sz w:val="15"/>
                      <w:szCs w:val="15"/>
                      <w:lang w:eastAsia="zh-CN"/>
                    </w:rPr>
                    <w:t>2020-05-05</w:t>
                  </w:r>
                </w:p>
              </w:tc>
            </w:tr>
          </w:tbl>
          <w:p w14:paraId="59E46236" w14:textId="77777777" w:rsidR="00883E1F" w:rsidRPr="00996EC2" w:rsidRDefault="00883E1F" w:rsidP="00883E1F">
            <w:pPr>
              <w:ind w:rightChars="58" w:right="139"/>
              <w:rPr>
                <w:rFonts w:ascii="Arial" w:eastAsia="楷体_GB2312" w:hAnsi="Arial" w:cs="Arial"/>
                <w:color w:val="FF0000"/>
                <w:sz w:val="21"/>
                <w:szCs w:val="28"/>
                <w:lang w:eastAsia="zh-CN"/>
              </w:rPr>
            </w:pPr>
          </w:p>
          <w:tbl>
            <w:tblPr>
              <w:tblW w:w="0" w:type="auto"/>
              <w:jc w:val="right"/>
              <w:tblLayout w:type="fixed"/>
              <w:tblLook w:val="04A0" w:firstRow="1" w:lastRow="0" w:firstColumn="1" w:lastColumn="0" w:noHBand="0" w:noVBand="1"/>
            </w:tblPr>
            <w:tblGrid>
              <w:gridCol w:w="3510"/>
            </w:tblGrid>
            <w:tr w:rsidR="00883E1F" w:rsidRPr="00996EC2" w14:paraId="5FEDCDDA" w14:textId="77777777" w:rsidTr="00B9063D">
              <w:trPr>
                <w:trHeight w:hRule="exact" w:val="23"/>
                <w:jc w:val="right"/>
              </w:trPr>
              <w:tc>
                <w:tcPr>
                  <w:tcW w:w="3510" w:type="dxa"/>
                  <w:shd w:val="clear" w:color="auto" w:fill="auto"/>
                  <w:vAlign w:val="center"/>
                </w:tcPr>
                <w:p w14:paraId="2998A48F" w14:textId="77777777" w:rsidR="00883E1F" w:rsidRPr="00996EC2" w:rsidRDefault="00883E1F" w:rsidP="00883E1F">
                  <w:pPr>
                    <w:rPr>
                      <w:rFonts w:ascii="Arial" w:eastAsia="楷体_GB2312" w:hAnsi="Arial"/>
                      <w:color w:val="FFFFFF" w:themeColor="background1"/>
                      <w:sz w:val="15"/>
                      <w:szCs w:val="15"/>
                      <w:lang w:eastAsia="zh-CN"/>
                    </w:rPr>
                  </w:pPr>
                  <w:r w:rsidRPr="00996EC2">
                    <w:rPr>
                      <w:rFonts w:ascii="Arial" w:eastAsia="楷体_GB2312" w:hAnsi="Arial" w:hint="eastAsia"/>
                      <w:color w:val="FFFFFF" w:themeColor="background1"/>
                      <w:sz w:val="15"/>
                      <w:szCs w:val="15"/>
                      <w:lang w:eastAsia="zh-CN"/>
                    </w:rPr>
                    <w:t>[</w:t>
                  </w:r>
                  <w:r w:rsidRPr="00996EC2">
                    <w:rPr>
                      <w:rFonts w:ascii="Arial" w:eastAsia="楷体_GB2312" w:hAnsi="Arial"/>
                      <w:color w:val="FFFFFF" w:themeColor="background1"/>
                      <w:sz w:val="15"/>
                      <w:szCs w:val="15"/>
                    </w:rPr>
                    <w:t>Table_Contac</w:t>
                  </w:r>
                  <w:r w:rsidRPr="00996EC2">
                    <w:rPr>
                      <w:rFonts w:ascii="Arial" w:eastAsia="楷体_GB2312" w:hAnsi="Arial" w:hint="eastAsia"/>
                      <w:color w:val="FFFFFF" w:themeColor="background1"/>
                      <w:sz w:val="15"/>
                      <w:szCs w:val="15"/>
                      <w:lang w:eastAsia="zh-CN"/>
                    </w:rPr>
                    <w:t>ts]</w:t>
                  </w:r>
                </w:p>
              </w:tc>
            </w:tr>
          </w:tbl>
          <w:p w14:paraId="54E2E75A" w14:textId="77777777" w:rsidR="00CE3057" w:rsidRDefault="00CE3057" w:rsidP="00170B96">
            <w:pPr>
              <w:ind w:rightChars="58" w:right="139"/>
              <w:rPr>
                <w:rFonts w:ascii="Arial" w:eastAsia="楷体_GB2312" w:hAnsi="Arial" w:cs="Arial"/>
                <w:color w:val="FF0000"/>
                <w:sz w:val="21"/>
                <w:szCs w:val="28"/>
                <w:lang w:eastAsia="zh-CN"/>
              </w:rPr>
            </w:pPr>
          </w:p>
        </w:tc>
      </w:tr>
    </w:tbl>
    <w:p w14:paraId="63846FC5" w14:textId="77777777" w:rsidR="00C13789" w:rsidRDefault="00FD1A9C" w:rsidP="00DE16E1">
      <w:pPr>
        <w:pStyle w:val="ae"/>
        <w:spacing w:line="80" w:lineRule="exact"/>
        <w:ind w:left="3017"/>
        <w:rPr>
          <w:lang w:eastAsia="zh-CN"/>
        </w:rPr>
      </w:pPr>
      <w:r>
        <w:br w:type="page"/>
      </w:r>
      <w:bookmarkStart w:id="0" w:name="_Toc319605073"/>
    </w:p>
    <w:p w14:paraId="6AC0D3BF" w14:textId="77777777" w:rsidR="000646CE" w:rsidRDefault="000646CE" w:rsidP="00B9063D">
      <w:pPr>
        <w:widowControl/>
        <w:ind w:leftChars="1284" w:left="3082"/>
        <w:rPr>
          <w:rFonts w:eastAsia="楷体_GB2312"/>
          <w:b/>
          <w:bCs/>
          <w:color w:val="0F243E" w:themeColor="text2" w:themeShade="80"/>
          <w:kern w:val="0"/>
          <w:sz w:val="32"/>
          <w:szCs w:val="40"/>
          <w:lang w:eastAsia="zh-CN"/>
        </w:rPr>
        <w:sectPr w:rsidR="000646CE" w:rsidSect="00267FF4">
          <w:headerReference w:type="default" r:id="rId31"/>
          <w:footerReference w:type="default" r:id="rId32"/>
          <w:headerReference w:type="first" r:id="rId33"/>
          <w:footerReference w:type="first" r:id="rId34"/>
          <w:type w:val="continuous"/>
          <w:pgSz w:w="11906" w:h="16838" w:code="9"/>
          <w:pgMar w:top="1134" w:right="641" w:bottom="720" w:left="635" w:header="794" w:footer="737" w:gutter="0"/>
          <w:cols w:space="142"/>
          <w:titlePg/>
          <w:docGrid w:type="lines" w:linePitch="326"/>
        </w:sectPr>
      </w:pPr>
    </w:p>
    <w:p w14:paraId="028837E8" w14:textId="77777777" w:rsidR="00742EE3" w:rsidRDefault="00742EE3" w:rsidP="00742EE3">
      <w:pPr>
        <w:widowControl/>
        <w:ind w:leftChars="1284" w:left="3082"/>
        <w:jc w:val="center"/>
        <w:rPr>
          <w:rFonts w:eastAsia="楷体_GB2312"/>
          <w:b/>
          <w:bCs/>
          <w:color w:val="0F243E" w:themeColor="text2" w:themeShade="80"/>
          <w:kern w:val="0"/>
          <w:sz w:val="32"/>
          <w:szCs w:val="40"/>
          <w:lang w:eastAsia="zh-CN"/>
        </w:rPr>
      </w:pPr>
    </w:p>
    <w:p w14:paraId="3ED579E0" w14:textId="77777777"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r w:rsidRPr="00CB27DC">
        <w:rPr>
          <w:rFonts w:eastAsia="楷体_GB2312"/>
          <w:b/>
          <w:bCs/>
          <w:color w:val="0F243E" w:themeColor="text2" w:themeShade="80"/>
          <w:kern w:val="0"/>
          <w:sz w:val="32"/>
          <w:szCs w:val="40"/>
        </w:rPr>
        <w:t>目录索引</w:t>
      </w:r>
    </w:p>
    <w:p w14:paraId="418C2AF5" w14:textId="498346CA" w:rsidR="00390048" w:rsidRDefault="00742EE3">
      <w:pPr>
        <w:pStyle w:val="TOC1"/>
        <w:tabs>
          <w:tab w:val="right" w:leader="dot" w:pos="10620"/>
        </w:tabs>
        <w:ind w:left="2400"/>
        <w:rPr>
          <w:rFonts w:asciiTheme="minorHAnsi" w:eastAsiaTheme="minorEastAsia" w:hAnsiTheme="minorHAnsi" w:cstheme="minorBidi"/>
          <w:bCs w:val="0"/>
          <w:caps w:val="0"/>
          <w:noProof/>
          <w:szCs w:val="22"/>
          <w:lang w:eastAsia="zh-CN"/>
        </w:rPr>
      </w:pPr>
      <w:r>
        <w:rPr>
          <w:rStyle w:val="ab"/>
          <w:rFonts w:ascii="Times New Roman" w:eastAsia="楷体_GB2312" w:hAnsi="Times New Roman" w:cs="Times New Roman"/>
          <w:b w:val="0"/>
          <w:color w:val="0F243E" w:themeColor="text2" w:themeShade="80"/>
          <w:sz w:val="24"/>
          <w:szCs w:val="24"/>
        </w:rPr>
        <w:fldChar w:fldCharType="begin"/>
      </w:r>
      <w:r>
        <w:rPr>
          <w:rStyle w:val="ab"/>
          <w:rFonts w:ascii="Times New Roman" w:eastAsia="楷体_GB2312" w:hAnsi="Times New Roman" w:cs="Times New Roman"/>
          <w:b w:val="0"/>
          <w:color w:val="0F243E" w:themeColor="text2" w:themeShade="80"/>
          <w:sz w:val="24"/>
          <w:szCs w:val="24"/>
          <w:lang w:eastAsia="zh-CN"/>
        </w:rPr>
        <w:instrText xml:space="preserve"> TOC \o "1-3" \u </w:instrText>
      </w:r>
      <w:r>
        <w:rPr>
          <w:rStyle w:val="ab"/>
          <w:rFonts w:ascii="Times New Roman" w:eastAsia="楷体_GB2312" w:hAnsi="Times New Roman" w:cs="Times New Roman"/>
          <w:b w:val="0"/>
          <w:color w:val="0F243E" w:themeColor="text2" w:themeShade="80"/>
          <w:sz w:val="24"/>
          <w:szCs w:val="24"/>
        </w:rPr>
        <w:fldChar w:fldCharType="separate"/>
      </w:r>
      <w:r w:rsidR="00390048">
        <w:rPr>
          <w:noProof/>
          <w:lang w:eastAsia="zh-CN"/>
        </w:rPr>
        <w:t>一、基金业绩评价基准的定义</w:t>
      </w:r>
      <w:r w:rsidR="00390048">
        <w:rPr>
          <w:noProof/>
          <w:lang w:eastAsia="zh-CN"/>
        </w:rPr>
        <w:tab/>
      </w:r>
      <w:r w:rsidR="00390048">
        <w:rPr>
          <w:noProof/>
        </w:rPr>
        <w:fldChar w:fldCharType="begin"/>
      </w:r>
      <w:r w:rsidR="00390048">
        <w:rPr>
          <w:noProof/>
          <w:lang w:eastAsia="zh-CN"/>
        </w:rPr>
        <w:instrText xml:space="preserve"> PAGEREF _Toc65784015 \h </w:instrText>
      </w:r>
      <w:r w:rsidR="00390048">
        <w:rPr>
          <w:noProof/>
        </w:rPr>
      </w:r>
      <w:r w:rsidR="00390048">
        <w:rPr>
          <w:noProof/>
        </w:rPr>
        <w:fldChar w:fldCharType="separate"/>
      </w:r>
      <w:r w:rsidR="0010512F">
        <w:rPr>
          <w:noProof/>
          <w:lang w:eastAsia="zh-CN"/>
        </w:rPr>
        <w:t>4</w:t>
      </w:r>
      <w:r w:rsidR="00390048">
        <w:rPr>
          <w:noProof/>
        </w:rPr>
        <w:fldChar w:fldCharType="end"/>
      </w:r>
    </w:p>
    <w:p w14:paraId="3958D04C" w14:textId="3A9B7217" w:rsidR="00390048" w:rsidRDefault="00390048">
      <w:pPr>
        <w:pStyle w:val="TOC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二、基准组合的适用性评价</w:t>
      </w:r>
      <w:r>
        <w:rPr>
          <w:noProof/>
          <w:lang w:eastAsia="zh-CN"/>
        </w:rPr>
        <w:tab/>
      </w:r>
      <w:r>
        <w:rPr>
          <w:noProof/>
        </w:rPr>
        <w:fldChar w:fldCharType="begin"/>
      </w:r>
      <w:r>
        <w:rPr>
          <w:noProof/>
          <w:lang w:eastAsia="zh-CN"/>
        </w:rPr>
        <w:instrText xml:space="preserve"> PAGEREF _Toc65784016 \h </w:instrText>
      </w:r>
      <w:r>
        <w:rPr>
          <w:noProof/>
        </w:rPr>
      </w:r>
      <w:r>
        <w:rPr>
          <w:noProof/>
        </w:rPr>
        <w:fldChar w:fldCharType="separate"/>
      </w:r>
      <w:r w:rsidR="0010512F">
        <w:rPr>
          <w:noProof/>
          <w:lang w:eastAsia="zh-CN"/>
        </w:rPr>
        <w:t>4</w:t>
      </w:r>
      <w:r>
        <w:rPr>
          <w:noProof/>
        </w:rPr>
        <w:fldChar w:fldCharType="end"/>
      </w:r>
    </w:p>
    <w:p w14:paraId="1F3BBE8A" w14:textId="2F8CF8B3" w:rsidR="00390048" w:rsidRDefault="00390048">
      <w:pPr>
        <w:pStyle w:val="TOC2"/>
        <w:ind w:left="2880"/>
        <w:rPr>
          <w:rFonts w:asciiTheme="minorHAnsi" w:eastAsiaTheme="minorEastAsia" w:hAnsiTheme="minorHAnsi" w:cstheme="minorBidi"/>
          <w:smallCaps w:val="0"/>
          <w:szCs w:val="22"/>
          <w:lang w:eastAsia="zh-CN"/>
        </w:rPr>
      </w:pPr>
      <w:r>
        <w:rPr>
          <w:lang w:eastAsia="zh-CN"/>
        </w:rPr>
        <w:t>（一）业绩评价基准的特征</w:t>
      </w:r>
      <w:r>
        <w:rPr>
          <w:lang w:eastAsia="zh-CN"/>
        </w:rPr>
        <w:tab/>
      </w:r>
      <w:r>
        <w:fldChar w:fldCharType="begin"/>
      </w:r>
      <w:r>
        <w:rPr>
          <w:lang w:eastAsia="zh-CN"/>
        </w:rPr>
        <w:instrText xml:space="preserve"> PAGEREF _Toc65784017 \h </w:instrText>
      </w:r>
      <w:r>
        <w:fldChar w:fldCharType="separate"/>
      </w:r>
      <w:r w:rsidR="0010512F">
        <w:rPr>
          <w:lang w:eastAsia="zh-CN"/>
        </w:rPr>
        <w:t>4</w:t>
      </w:r>
      <w:r>
        <w:fldChar w:fldCharType="end"/>
      </w:r>
    </w:p>
    <w:p w14:paraId="5209802F" w14:textId="4CFD4949" w:rsidR="00390048" w:rsidRDefault="00390048">
      <w:pPr>
        <w:pStyle w:val="TOC2"/>
        <w:ind w:left="2880"/>
        <w:rPr>
          <w:rFonts w:asciiTheme="minorHAnsi" w:eastAsiaTheme="minorEastAsia" w:hAnsiTheme="minorHAnsi" w:cstheme="minorBidi"/>
          <w:smallCaps w:val="0"/>
          <w:szCs w:val="22"/>
          <w:lang w:eastAsia="zh-CN"/>
        </w:rPr>
      </w:pPr>
      <w:r>
        <w:rPr>
          <w:lang w:eastAsia="zh-CN"/>
        </w:rPr>
        <w:t>（二）正交属性检测基金业绩评价基准的适用性</w:t>
      </w:r>
      <w:r>
        <w:rPr>
          <w:lang w:eastAsia="zh-CN"/>
        </w:rPr>
        <w:tab/>
      </w:r>
      <w:r>
        <w:fldChar w:fldCharType="begin"/>
      </w:r>
      <w:r>
        <w:rPr>
          <w:lang w:eastAsia="zh-CN"/>
        </w:rPr>
        <w:instrText xml:space="preserve"> PAGEREF _Toc65784018 \h </w:instrText>
      </w:r>
      <w:r>
        <w:fldChar w:fldCharType="separate"/>
      </w:r>
      <w:r w:rsidR="0010512F">
        <w:rPr>
          <w:lang w:eastAsia="zh-CN"/>
        </w:rPr>
        <w:t>5</w:t>
      </w:r>
      <w:r>
        <w:fldChar w:fldCharType="end"/>
      </w:r>
    </w:p>
    <w:p w14:paraId="518772ED" w14:textId="643C058E" w:rsidR="00390048" w:rsidRDefault="00390048">
      <w:pPr>
        <w:pStyle w:val="TOC2"/>
        <w:ind w:left="2880"/>
        <w:rPr>
          <w:rFonts w:asciiTheme="minorHAnsi" w:eastAsiaTheme="minorEastAsia" w:hAnsiTheme="minorHAnsi" w:cstheme="minorBidi"/>
          <w:smallCaps w:val="0"/>
          <w:szCs w:val="22"/>
          <w:lang w:eastAsia="zh-CN"/>
        </w:rPr>
      </w:pPr>
      <w:r>
        <w:rPr>
          <w:lang w:eastAsia="zh-CN"/>
        </w:rPr>
        <w:t>（三）从基金业绩归因中评估业绩评价基准选择的影响</w:t>
      </w:r>
      <w:r>
        <w:rPr>
          <w:lang w:eastAsia="zh-CN"/>
        </w:rPr>
        <w:tab/>
      </w:r>
      <w:r>
        <w:fldChar w:fldCharType="begin"/>
      </w:r>
      <w:r>
        <w:rPr>
          <w:lang w:eastAsia="zh-CN"/>
        </w:rPr>
        <w:instrText xml:space="preserve"> PAGEREF _Toc65784019 \h </w:instrText>
      </w:r>
      <w:r>
        <w:fldChar w:fldCharType="separate"/>
      </w:r>
      <w:r w:rsidR="0010512F">
        <w:rPr>
          <w:lang w:eastAsia="zh-CN"/>
        </w:rPr>
        <w:t>6</w:t>
      </w:r>
      <w:r>
        <w:fldChar w:fldCharType="end"/>
      </w:r>
    </w:p>
    <w:p w14:paraId="5450BE7F" w14:textId="4A6455C8" w:rsidR="00390048" w:rsidRDefault="00390048">
      <w:pPr>
        <w:pStyle w:val="TOC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三、中国市场常见的基金业绩比较基准</w:t>
      </w:r>
      <w:r>
        <w:rPr>
          <w:noProof/>
          <w:lang w:eastAsia="zh-CN"/>
        </w:rPr>
        <w:tab/>
      </w:r>
      <w:r>
        <w:rPr>
          <w:noProof/>
        </w:rPr>
        <w:fldChar w:fldCharType="begin"/>
      </w:r>
      <w:r>
        <w:rPr>
          <w:noProof/>
          <w:lang w:eastAsia="zh-CN"/>
        </w:rPr>
        <w:instrText xml:space="preserve"> PAGEREF _Toc65784020 \h </w:instrText>
      </w:r>
      <w:r>
        <w:rPr>
          <w:noProof/>
        </w:rPr>
      </w:r>
      <w:r>
        <w:rPr>
          <w:noProof/>
        </w:rPr>
        <w:fldChar w:fldCharType="separate"/>
      </w:r>
      <w:r w:rsidR="0010512F">
        <w:rPr>
          <w:noProof/>
          <w:lang w:eastAsia="zh-CN"/>
        </w:rPr>
        <w:t>9</w:t>
      </w:r>
      <w:r>
        <w:rPr>
          <w:noProof/>
        </w:rPr>
        <w:fldChar w:fldCharType="end"/>
      </w:r>
    </w:p>
    <w:p w14:paraId="38A8E428" w14:textId="38F4FCBE" w:rsidR="00390048" w:rsidRDefault="00390048">
      <w:pPr>
        <w:pStyle w:val="TOC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四、风险提示</w:t>
      </w:r>
      <w:r>
        <w:rPr>
          <w:noProof/>
        </w:rPr>
        <w:tab/>
      </w:r>
      <w:r>
        <w:rPr>
          <w:noProof/>
        </w:rPr>
        <w:fldChar w:fldCharType="begin"/>
      </w:r>
      <w:r>
        <w:rPr>
          <w:noProof/>
        </w:rPr>
        <w:instrText xml:space="preserve"> PAGEREF _Toc65784021 \h </w:instrText>
      </w:r>
      <w:r>
        <w:rPr>
          <w:noProof/>
        </w:rPr>
      </w:r>
      <w:r>
        <w:rPr>
          <w:noProof/>
        </w:rPr>
        <w:fldChar w:fldCharType="separate"/>
      </w:r>
      <w:r w:rsidR="0010512F">
        <w:rPr>
          <w:noProof/>
        </w:rPr>
        <w:t>19</w:t>
      </w:r>
      <w:r>
        <w:rPr>
          <w:noProof/>
        </w:rPr>
        <w:fldChar w:fldCharType="end"/>
      </w:r>
    </w:p>
    <w:p w14:paraId="004FDD4C" w14:textId="42459A17" w:rsidR="00742EE3" w:rsidRPr="000D33F4" w:rsidRDefault="00742EE3" w:rsidP="00742EE3">
      <w:pPr>
        <w:pStyle w:val="ae"/>
        <w:ind w:left="3017"/>
        <w:rPr>
          <w:rStyle w:val="ab"/>
          <w:rFonts w:ascii="Times New Roman" w:eastAsia="楷体_GB2312" w:hAnsi="Times New Roman" w:cs="Times New Roman"/>
          <w:b w:val="0"/>
          <w:color w:val="0F243E" w:themeColor="text2" w:themeShade="80"/>
          <w:sz w:val="24"/>
          <w:szCs w:val="24"/>
          <w:lang w:eastAsia="zh-CN"/>
        </w:rPr>
      </w:pPr>
      <w:r>
        <w:rPr>
          <w:rStyle w:val="ab"/>
          <w:rFonts w:ascii="Times New Roman" w:eastAsia="楷体_GB2312" w:hAnsi="Times New Roman" w:cs="Times New Roman"/>
          <w:b w:val="0"/>
          <w:color w:val="0F243E" w:themeColor="text2" w:themeShade="80"/>
          <w:sz w:val="24"/>
          <w:szCs w:val="24"/>
        </w:rPr>
        <w:fldChar w:fldCharType="end"/>
      </w:r>
    </w:p>
    <w:p w14:paraId="12E956A6" w14:textId="77777777" w:rsidR="00742EE3" w:rsidRPr="00CB27DC" w:rsidRDefault="00742EE3" w:rsidP="00742EE3">
      <w:pPr>
        <w:pStyle w:val="ae"/>
        <w:ind w:left="3017"/>
        <w:rPr>
          <w:color w:val="0F243E" w:themeColor="text2" w:themeShade="80"/>
          <w:sz w:val="18"/>
          <w:szCs w:val="18"/>
          <w:lang w:eastAsia="zh-CN"/>
        </w:rPr>
      </w:pPr>
      <w:r w:rsidRPr="00CB27DC">
        <w:rPr>
          <w:rStyle w:val="ab"/>
          <w:rFonts w:ascii="Times New Roman" w:eastAsia="楷体_GB2312" w:hAnsi="Times New Roman" w:cs="Times New Roman"/>
          <w:color w:val="0F243E" w:themeColor="text2" w:themeShade="80"/>
          <w:lang w:eastAsia="zh-CN"/>
        </w:rPr>
        <w:br w:type="page"/>
      </w:r>
    </w:p>
    <w:p w14:paraId="1CADCDF7" w14:textId="77777777"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p>
    <w:p w14:paraId="52C32C4A" w14:textId="77777777"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r w:rsidRPr="00CB27DC">
        <w:rPr>
          <w:rFonts w:eastAsia="楷体_GB2312"/>
          <w:b/>
          <w:bCs/>
          <w:color w:val="0F243E" w:themeColor="text2" w:themeShade="80"/>
          <w:kern w:val="0"/>
          <w:sz w:val="32"/>
          <w:szCs w:val="40"/>
          <w:lang w:eastAsia="zh-CN"/>
        </w:rPr>
        <w:t>图表索引</w:t>
      </w:r>
    </w:p>
    <w:bookmarkStart w:id="1" w:name="_Toc319606275"/>
    <w:p w14:paraId="5BE18992" w14:textId="36DC4949" w:rsidR="000C0617" w:rsidRDefault="00742EE3">
      <w:pPr>
        <w:pStyle w:val="ad"/>
        <w:tabs>
          <w:tab w:val="right" w:leader="dot" w:pos="10620"/>
        </w:tabs>
        <w:ind w:left="3082"/>
        <w:rPr>
          <w:rFonts w:asciiTheme="minorHAnsi" w:eastAsiaTheme="minorEastAsia" w:hAnsiTheme="minorHAnsi" w:cstheme="minorBidi"/>
          <w:noProof/>
          <w:szCs w:val="22"/>
        </w:rPr>
      </w:pPr>
      <w:r w:rsidRPr="003956CF">
        <w:rPr>
          <w:color w:val="0F243E" w:themeColor="text2" w:themeShade="80"/>
        </w:rPr>
        <w:fldChar w:fldCharType="begin"/>
      </w:r>
      <w:r w:rsidRPr="003956CF">
        <w:rPr>
          <w:color w:val="0F243E" w:themeColor="text2" w:themeShade="80"/>
        </w:rPr>
        <w:instrText xml:space="preserve"> TOC \h \z \c "</w:instrText>
      </w:r>
      <w:r w:rsidRPr="003956CF">
        <w:rPr>
          <w:color w:val="0F243E" w:themeColor="text2" w:themeShade="80"/>
        </w:rPr>
        <w:instrText>图</w:instrText>
      </w:r>
      <w:r w:rsidRPr="003956CF">
        <w:rPr>
          <w:color w:val="0F243E" w:themeColor="text2" w:themeShade="80"/>
        </w:rPr>
        <w:instrText xml:space="preserve">" </w:instrText>
      </w:r>
      <w:r w:rsidRPr="003956CF">
        <w:rPr>
          <w:color w:val="0F243E" w:themeColor="text2" w:themeShade="80"/>
        </w:rPr>
        <w:fldChar w:fldCharType="separate"/>
      </w:r>
      <w:hyperlink w:anchor="_Toc65772353" w:history="1">
        <w:r w:rsidR="000C0617" w:rsidRPr="00294912">
          <w:rPr>
            <w:rStyle w:val="ac"/>
            <w:noProof/>
          </w:rPr>
          <w:t>图</w:t>
        </w:r>
        <w:r w:rsidR="000C0617" w:rsidRPr="00294912">
          <w:rPr>
            <w:rStyle w:val="ac"/>
            <w:noProof/>
          </w:rPr>
          <w:t xml:space="preserve"> 1</w:t>
        </w:r>
        <w:r w:rsidR="000C0617" w:rsidRPr="00294912">
          <w:rPr>
            <w:rStyle w:val="ac"/>
            <w:noProof/>
          </w:rPr>
          <w:t>：包括基准选择的四维度业绩归因分析</w:t>
        </w:r>
        <w:r w:rsidR="000C0617">
          <w:rPr>
            <w:noProof/>
            <w:webHidden/>
          </w:rPr>
          <w:tab/>
        </w:r>
        <w:r w:rsidR="000C0617">
          <w:rPr>
            <w:noProof/>
            <w:webHidden/>
          </w:rPr>
          <w:fldChar w:fldCharType="begin"/>
        </w:r>
        <w:r w:rsidR="000C0617">
          <w:rPr>
            <w:noProof/>
            <w:webHidden/>
          </w:rPr>
          <w:instrText xml:space="preserve"> PAGEREF _Toc65772353 \h </w:instrText>
        </w:r>
        <w:r w:rsidR="000C0617">
          <w:rPr>
            <w:noProof/>
            <w:webHidden/>
          </w:rPr>
        </w:r>
        <w:r w:rsidR="000C0617">
          <w:rPr>
            <w:noProof/>
            <w:webHidden/>
          </w:rPr>
          <w:fldChar w:fldCharType="separate"/>
        </w:r>
        <w:r w:rsidR="0010512F">
          <w:rPr>
            <w:noProof/>
            <w:webHidden/>
          </w:rPr>
          <w:t>7</w:t>
        </w:r>
        <w:r w:rsidR="000C0617">
          <w:rPr>
            <w:noProof/>
            <w:webHidden/>
          </w:rPr>
          <w:fldChar w:fldCharType="end"/>
        </w:r>
      </w:hyperlink>
    </w:p>
    <w:p w14:paraId="7667880B" w14:textId="237BF1CA"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54" w:history="1">
        <w:r w:rsidR="000C0617" w:rsidRPr="00294912">
          <w:rPr>
            <w:rStyle w:val="ac"/>
            <w:noProof/>
          </w:rPr>
          <w:t>图</w:t>
        </w:r>
        <w:r w:rsidR="000C0617" w:rsidRPr="00294912">
          <w:rPr>
            <w:rStyle w:val="ac"/>
            <w:noProof/>
          </w:rPr>
          <w:t xml:space="preserve"> 1</w:t>
        </w:r>
        <w:r w:rsidR="000C0617" w:rsidRPr="00294912">
          <w:rPr>
            <w:rStyle w:val="ac"/>
            <w:noProof/>
          </w:rPr>
          <w:t>：中国基金</w:t>
        </w:r>
        <w:r w:rsidR="000C0617" w:rsidRPr="00294912">
          <w:rPr>
            <w:rStyle w:val="ac"/>
            <w:noProof/>
          </w:rPr>
          <w:t>Wind</w:t>
        </w:r>
        <w:r w:rsidR="000C0617" w:rsidRPr="00294912">
          <w:rPr>
            <w:rStyle w:val="ac"/>
            <w:noProof/>
          </w:rPr>
          <w:t>一级分类情况</w:t>
        </w:r>
        <w:r w:rsidR="000C0617">
          <w:rPr>
            <w:noProof/>
            <w:webHidden/>
          </w:rPr>
          <w:tab/>
        </w:r>
        <w:r w:rsidR="000C0617">
          <w:rPr>
            <w:noProof/>
            <w:webHidden/>
          </w:rPr>
          <w:fldChar w:fldCharType="begin"/>
        </w:r>
        <w:r w:rsidR="000C0617">
          <w:rPr>
            <w:noProof/>
            <w:webHidden/>
          </w:rPr>
          <w:instrText xml:space="preserve"> PAGEREF _Toc65772354 \h </w:instrText>
        </w:r>
        <w:r w:rsidR="000C0617">
          <w:rPr>
            <w:noProof/>
            <w:webHidden/>
          </w:rPr>
        </w:r>
        <w:r w:rsidR="000C0617">
          <w:rPr>
            <w:noProof/>
            <w:webHidden/>
          </w:rPr>
          <w:fldChar w:fldCharType="separate"/>
        </w:r>
        <w:r w:rsidR="0010512F">
          <w:rPr>
            <w:noProof/>
            <w:webHidden/>
          </w:rPr>
          <w:t>10</w:t>
        </w:r>
        <w:r w:rsidR="000C0617">
          <w:rPr>
            <w:noProof/>
            <w:webHidden/>
          </w:rPr>
          <w:fldChar w:fldCharType="end"/>
        </w:r>
      </w:hyperlink>
    </w:p>
    <w:p w14:paraId="7CDAFE4F" w14:textId="0A803070"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55" w:history="1">
        <w:r w:rsidR="000C0617" w:rsidRPr="00294912">
          <w:rPr>
            <w:rStyle w:val="ac"/>
            <w:noProof/>
          </w:rPr>
          <w:t>图</w:t>
        </w:r>
        <w:r w:rsidR="000C0617" w:rsidRPr="00294912">
          <w:rPr>
            <w:rStyle w:val="ac"/>
            <w:noProof/>
          </w:rPr>
          <w:t xml:space="preserve"> 2</w:t>
        </w:r>
        <w:r w:rsidR="000C0617" w:rsidRPr="00294912">
          <w:rPr>
            <w:rStyle w:val="ac"/>
            <w:noProof/>
          </w:rPr>
          <w:t>：中国基金</w:t>
        </w:r>
        <w:r w:rsidR="000C0617" w:rsidRPr="00294912">
          <w:rPr>
            <w:rStyle w:val="ac"/>
            <w:noProof/>
          </w:rPr>
          <w:t>Wind</w:t>
        </w:r>
        <w:r w:rsidR="000C0617" w:rsidRPr="00294912">
          <w:rPr>
            <w:rStyle w:val="ac"/>
            <w:noProof/>
          </w:rPr>
          <w:t>一级分类情况</w:t>
        </w:r>
        <w:r w:rsidR="000C0617">
          <w:rPr>
            <w:noProof/>
            <w:webHidden/>
          </w:rPr>
          <w:tab/>
        </w:r>
        <w:r w:rsidR="000C0617">
          <w:rPr>
            <w:noProof/>
            <w:webHidden/>
          </w:rPr>
          <w:fldChar w:fldCharType="begin"/>
        </w:r>
        <w:r w:rsidR="000C0617">
          <w:rPr>
            <w:noProof/>
            <w:webHidden/>
          </w:rPr>
          <w:instrText xml:space="preserve"> PAGEREF _Toc65772355 \h </w:instrText>
        </w:r>
        <w:r w:rsidR="000C0617">
          <w:rPr>
            <w:noProof/>
            <w:webHidden/>
          </w:rPr>
        </w:r>
        <w:r w:rsidR="000C0617">
          <w:rPr>
            <w:noProof/>
            <w:webHidden/>
          </w:rPr>
          <w:fldChar w:fldCharType="separate"/>
        </w:r>
        <w:r w:rsidR="0010512F">
          <w:rPr>
            <w:noProof/>
            <w:webHidden/>
          </w:rPr>
          <w:t>10</w:t>
        </w:r>
        <w:r w:rsidR="000C0617">
          <w:rPr>
            <w:noProof/>
            <w:webHidden/>
          </w:rPr>
          <w:fldChar w:fldCharType="end"/>
        </w:r>
      </w:hyperlink>
    </w:p>
    <w:p w14:paraId="785B27B0" w14:textId="0718DB01"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56" w:history="1">
        <w:r w:rsidR="000C0617" w:rsidRPr="00294912">
          <w:rPr>
            <w:rStyle w:val="ac"/>
            <w:noProof/>
          </w:rPr>
          <w:t>图</w:t>
        </w:r>
        <w:r w:rsidR="000C0617" w:rsidRPr="00294912">
          <w:rPr>
            <w:rStyle w:val="ac"/>
            <w:noProof/>
          </w:rPr>
          <w:t xml:space="preserve"> 3</w:t>
        </w:r>
        <w:r w:rsidR="000C0617" w:rsidRPr="00294912">
          <w:rPr>
            <w:rStyle w:val="ac"/>
            <w:noProof/>
          </w:rPr>
          <w:t>：中国基金</w:t>
        </w:r>
        <w:r w:rsidR="000C0617" w:rsidRPr="00294912">
          <w:rPr>
            <w:rStyle w:val="ac"/>
            <w:noProof/>
          </w:rPr>
          <w:t>Wind</w:t>
        </w:r>
        <w:r w:rsidR="000C0617" w:rsidRPr="00294912">
          <w:rPr>
            <w:rStyle w:val="ac"/>
            <w:noProof/>
          </w:rPr>
          <w:t>行业主题分类情况</w:t>
        </w:r>
        <w:r w:rsidR="000C0617">
          <w:rPr>
            <w:noProof/>
            <w:webHidden/>
          </w:rPr>
          <w:tab/>
        </w:r>
        <w:r w:rsidR="000C0617">
          <w:rPr>
            <w:noProof/>
            <w:webHidden/>
          </w:rPr>
          <w:fldChar w:fldCharType="begin"/>
        </w:r>
        <w:r w:rsidR="000C0617">
          <w:rPr>
            <w:noProof/>
            <w:webHidden/>
          </w:rPr>
          <w:instrText xml:space="preserve"> PAGEREF _Toc65772356 \h </w:instrText>
        </w:r>
        <w:r w:rsidR="000C0617">
          <w:rPr>
            <w:noProof/>
            <w:webHidden/>
          </w:rPr>
        </w:r>
        <w:r w:rsidR="000C0617">
          <w:rPr>
            <w:noProof/>
            <w:webHidden/>
          </w:rPr>
          <w:fldChar w:fldCharType="separate"/>
        </w:r>
        <w:r w:rsidR="0010512F">
          <w:rPr>
            <w:noProof/>
            <w:webHidden/>
          </w:rPr>
          <w:t>10</w:t>
        </w:r>
        <w:r w:rsidR="000C0617">
          <w:rPr>
            <w:noProof/>
            <w:webHidden/>
          </w:rPr>
          <w:fldChar w:fldCharType="end"/>
        </w:r>
      </w:hyperlink>
    </w:p>
    <w:p w14:paraId="5C0E890A" w14:textId="269764EB"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57" w:history="1">
        <w:r w:rsidR="000C0617" w:rsidRPr="00294912">
          <w:rPr>
            <w:rStyle w:val="ac"/>
            <w:noProof/>
          </w:rPr>
          <w:t>图</w:t>
        </w:r>
        <w:r w:rsidR="000C0617" w:rsidRPr="00294912">
          <w:rPr>
            <w:rStyle w:val="ac"/>
            <w:noProof/>
          </w:rPr>
          <w:t xml:space="preserve"> 5</w:t>
        </w:r>
        <w:r w:rsidR="000C0617" w:rsidRPr="00294912">
          <w:rPr>
            <w:rStyle w:val="ac"/>
            <w:noProof/>
          </w:rPr>
          <w:t>：偏股混合型基金所选第一基准对应的基金数目</w:t>
        </w:r>
        <w:r w:rsidR="000C0617">
          <w:rPr>
            <w:noProof/>
            <w:webHidden/>
          </w:rPr>
          <w:tab/>
        </w:r>
        <w:r w:rsidR="000C0617">
          <w:rPr>
            <w:noProof/>
            <w:webHidden/>
          </w:rPr>
          <w:fldChar w:fldCharType="begin"/>
        </w:r>
        <w:r w:rsidR="000C0617">
          <w:rPr>
            <w:noProof/>
            <w:webHidden/>
          </w:rPr>
          <w:instrText xml:space="preserve"> PAGEREF _Toc65772357 \h </w:instrText>
        </w:r>
        <w:r w:rsidR="000C0617">
          <w:rPr>
            <w:noProof/>
            <w:webHidden/>
          </w:rPr>
        </w:r>
        <w:r w:rsidR="000C0617">
          <w:rPr>
            <w:noProof/>
            <w:webHidden/>
          </w:rPr>
          <w:fldChar w:fldCharType="separate"/>
        </w:r>
        <w:r w:rsidR="0010512F">
          <w:rPr>
            <w:noProof/>
            <w:webHidden/>
          </w:rPr>
          <w:t>13</w:t>
        </w:r>
        <w:r w:rsidR="000C0617">
          <w:rPr>
            <w:noProof/>
            <w:webHidden/>
          </w:rPr>
          <w:fldChar w:fldCharType="end"/>
        </w:r>
      </w:hyperlink>
    </w:p>
    <w:p w14:paraId="34AC3972" w14:textId="4B1BE1CA"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58" w:history="1">
        <w:r w:rsidR="000C0617" w:rsidRPr="00294912">
          <w:rPr>
            <w:rStyle w:val="ac"/>
            <w:noProof/>
          </w:rPr>
          <w:t>图</w:t>
        </w:r>
        <w:r w:rsidR="000C0617" w:rsidRPr="00294912">
          <w:rPr>
            <w:rStyle w:val="ac"/>
            <w:noProof/>
          </w:rPr>
          <w:t xml:space="preserve"> 6</w:t>
        </w:r>
        <w:r w:rsidR="000C0617" w:rsidRPr="00294912">
          <w:rPr>
            <w:rStyle w:val="ac"/>
            <w:noProof/>
          </w:rPr>
          <w:t>：</w:t>
        </w:r>
        <w:r w:rsidR="000C0617" w:rsidRPr="00294912">
          <w:rPr>
            <w:rStyle w:val="ac"/>
            <w:noProof/>
          </w:rPr>
          <w:t>Wind</w:t>
        </w:r>
        <w:r w:rsidR="000C0617" w:rsidRPr="00294912">
          <w:rPr>
            <w:rStyle w:val="ac"/>
            <w:noProof/>
          </w:rPr>
          <w:t>基金一级分类所选第二基准应的基金数目</w:t>
        </w:r>
        <w:r w:rsidR="000C0617">
          <w:rPr>
            <w:noProof/>
            <w:webHidden/>
          </w:rPr>
          <w:tab/>
        </w:r>
        <w:r w:rsidR="000C0617">
          <w:rPr>
            <w:noProof/>
            <w:webHidden/>
          </w:rPr>
          <w:fldChar w:fldCharType="begin"/>
        </w:r>
        <w:r w:rsidR="000C0617">
          <w:rPr>
            <w:noProof/>
            <w:webHidden/>
          </w:rPr>
          <w:instrText xml:space="preserve"> PAGEREF _Toc65772358 \h </w:instrText>
        </w:r>
        <w:r w:rsidR="000C0617">
          <w:rPr>
            <w:noProof/>
            <w:webHidden/>
          </w:rPr>
        </w:r>
        <w:r w:rsidR="000C0617">
          <w:rPr>
            <w:noProof/>
            <w:webHidden/>
          </w:rPr>
          <w:fldChar w:fldCharType="separate"/>
        </w:r>
        <w:r w:rsidR="0010512F">
          <w:rPr>
            <w:noProof/>
            <w:webHidden/>
          </w:rPr>
          <w:t>13</w:t>
        </w:r>
        <w:r w:rsidR="000C0617">
          <w:rPr>
            <w:noProof/>
            <w:webHidden/>
          </w:rPr>
          <w:fldChar w:fldCharType="end"/>
        </w:r>
      </w:hyperlink>
    </w:p>
    <w:p w14:paraId="4E24AB12" w14:textId="4E9C39E5"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59" w:history="1">
        <w:r w:rsidR="000C0617" w:rsidRPr="00294912">
          <w:rPr>
            <w:rStyle w:val="ac"/>
            <w:noProof/>
          </w:rPr>
          <w:t>图</w:t>
        </w:r>
        <w:r w:rsidR="000C0617" w:rsidRPr="00294912">
          <w:rPr>
            <w:rStyle w:val="ac"/>
            <w:noProof/>
          </w:rPr>
          <w:t xml:space="preserve"> 7</w:t>
        </w:r>
        <w:r w:rsidR="000C0617" w:rsidRPr="00294912">
          <w:rPr>
            <w:rStyle w:val="ac"/>
            <w:noProof/>
          </w:rPr>
          <w:t>：灵活配置型基金所选第一基准对应的基金数目</w:t>
        </w:r>
        <w:r w:rsidR="000C0617">
          <w:rPr>
            <w:noProof/>
            <w:webHidden/>
          </w:rPr>
          <w:tab/>
        </w:r>
        <w:r w:rsidR="000C0617">
          <w:rPr>
            <w:noProof/>
            <w:webHidden/>
          </w:rPr>
          <w:fldChar w:fldCharType="begin"/>
        </w:r>
        <w:r w:rsidR="000C0617">
          <w:rPr>
            <w:noProof/>
            <w:webHidden/>
          </w:rPr>
          <w:instrText xml:space="preserve"> PAGEREF _Toc65772359 \h </w:instrText>
        </w:r>
        <w:r w:rsidR="000C0617">
          <w:rPr>
            <w:noProof/>
            <w:webHidden/>
          </w:rPr>
        </w:r>
        <w:r w:rsidR="000C0617">
          <w:rPr>
            <w:noProof/>
            <w:webHidden/>
          </w:rPr>
          <w:fldChar w:fldCharType="separate"/>
        </w:r>
        <w:r w:rsidR="0010512F">
          <w:rPr>
            <w:noProof/>
            <w:webHidden/>
          </w:rPr>
          <w:t>13</w:t>
        </w:r>
        <w:r w:rsidR="000C0617">
          <w:rPr>
            <w:noProof/>
            <w:webHidden/>
          </w:rPr>
          <w:fldChar w:fldCharType="end"/>
        </w:r>
      </w:hyperlink>
    </w:p>
    <w:p w14:paraId="6FC3B784" w14:textId="1111276D"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60" w:history="1">
        <w:r w:rsidR="000C0617" w:rsidRPr="00294912">
          <w:rPr>
            <w:rStyle w:val="ac"/>
            <w:noProof/>
          </w:rPr>
          <w:t>图</w:t>
        </w:r>
        <w:r w:rsidR="000C0617" w:rsidRPr="00294912">
          <w:rPr>
            <w:rStyle w:val="ac"/>
            <w:noProof/>
          </w:rPr>
          <w:t xml:space="preserve"> 8</w:t>
        </w:r>
        <w:r w:rsidR="000C0617" w:rsidRPr="00294912">
          <w:rPr>
            <w:rStyle w:val="ac"/>
            <w:noProof/>
          </w:rPr>
          <w:t>：灵活配置型基金所选第二基准对应的基金数目</w:t>
        </w:r>
        <w:r w:rsidR="000C0617">
          <w:rPr>
            <w:noProof/>
            <w:webHidden/>
          </w:rPr>
          <w:tab/>
        </w:r>
        <w:r w:rsidR="000C0617">
          <w:rPr>
            <w:noProof/>
            <w:webHidden/>
          </w:rPr>
          <w:fldChar w:fldCharType="begin"/>
        </w:r>
        <w:r w:rsidR="000C0617">
          <w:rPr>
            <w:noProof/>
            <w:webHidden/>
          </w:rPr>
          <w:instrText xml:space="preserve"> PAGEREF _Toc65772360 \h </w:instrText>
        </w:r>
        <w:r w:rsidR="000C0617">
          <w:rPr>
            <w:noProof/>
            <w:webHidden/>
          </w:rPr>
        </w:r>
        <w:r w:rsidR="000C0617">
          <w:rPr>
            <w:noProof/>
            <w:webHidden/>
          </w:rPr>
          <w:fldChar w:fldCharType="separate"/>
        </w:r>
        <w:r w:rsidR="0010512F">
          <w:rPr>
            <w:noProof/>
            <w:webHidden/>
          </w:rPr>
          <w:t>13</w:t>
        </w:r>
        <w:r w:rsidR="000C0617">
          <w:rPr>
            <w:noProof/>
            <w:webHidden/>
          </w:rPr>
          <w:fldChar w:fldCharType="end"/>
        </w:r>
      </w:hyperlink>
    </w:p>
    <w:p w14:paraId="426424F6" w14:textId="6F39F74B"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61" w:history="1">
        <w:r w:rsidR="000C0617" w:rsidRPr="00294912">
          <w:rPr>
            <w:rStyle w:val="ac"/>
            <w:noProof/>
          </w:rPr>
          <w:t>图</w:t>
        </w:r>
        <w:r w:rsidR="000C0617" w:rsidRPr="00294912">
          <w:rPr>
            <w:rStyle w:val="ac"/>
            <w:noProof/>
          </w:rPr>
          <w:t xml:space="preserve"> 9</w:t>
        </w:r>
        <w:r w:rsidR="000C0617" w:rsidRPr="00294912">
          <w:rPr>
            <w:rStyle w:val="ac"/>
            <w:noProof/>
          </w:rPr>
          <w:t>：普通股票型基金所选第一基准对应的基金数目</w:t>
        </w:r>
        <w:r w:rsidR="000C0617">
          <w:rPr>
            <w:noProof/>
            <w:webHidden/>
          </w:rPr>
          <w:tab/>
        </w:r>
        <w:r w:rsidR="000C0617">
          <w:rPr>
            <w:noProof/>
            <w:webHidden/>
          </w:rPr>
          <w:fldChar w:fldCharType="begin"/>
        </w:r>
        <w:r w:rsidR="000C0617">
          <w:rPr>
            <w:noProof/>
            <w:webHidden/>
          </w:rPr>
          <w:instrText xml:space="preserve"> PAGEREF _Toc65772361 \h </w:instrText>
        </w:r>
        <w:r w:rsidR="000C0617">
          <w:rPr>
            <w:noProof/>
            <w:webHidden/>
          </w:rPr>
        </w:r>
        <w:r w:rsidR="000C0617">
          <w:rPr>
            <w:noProof/>
            <w:webHidden/>
          </w:rPr>
          <w:fldChar w:fldCharType="separate"/>
        </w:r>
        <w:r w:rsidR="0010512F">
          <w:rPr>
            <w:noProof/>
            <w:webHidden/>
          </w:rPr>
          <w:t>14</w:t>
        </w:r>
        <w:r w:rsidR="000C0617">
          <w:rPr>
            <w:noProof/>
            <w:webHidden/>
          </w:rPr>
          <w:fldChar w:fldCharType="end"/>
        </w:r>
      </w:hyperlink>
    </w:p>
    <w:p w14:paraId="16EABB53" w14:textId="72D87C8B"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62" w:history="1">
        <w:r w:rsidR="000C0617" w:rsidRPr="00294912">
          <w:rPr>
            <w:rStyle w:val="ac"/>
            <w:noProof/>
          </w:rPr>
          <w:t>图</w:t>
        </w:r>
        <w:r w:rsidR="000C0617" w:rsidRPr="00294912">
          <w:rPr>
            <w:rStyle w:val="ac"/>
            <w:noProof/>
          </w:rPr>
          <w:t xml:space="preserve"> 10</w:t>
        </w:r>
        <w:r w:rsidR="000C0617" w:rsidRPr="00294912">
          <w:rPr>
            <w:rStyle w:val="ac"/>
            <w:noProof/>
          </w:rPr>
          <w:t>：普通股票型基金所选第二基准对应的基金数目</w:t>
        </w:r>
        <w:r w:rsidR="000C0617">
          <w:rPr>
            <w:noProof/>
            <w:webHidden/>
          </w:rPr>
          <w:tab/>
        </w:r>
        <w:r w:rsidR="000C0617">
          <w:rPr>
            <w:noProof/>
            <w:webHidden/>
          </w:rPr>
          <w:fldChar w:fldCharType="begin"/>
        </w:r>
        <w:r w:rsidR="000C0617">
          <w:rPr>
            <w:noProof/>
            <w:webHidden/>
          </w:rPr>
          <w:instrText xml:space="preserve"> PAGEREF _Toc65772362 \h </w:instrText>
        </w:r>
        <w:r w:rsidR="000C0617">
          <w:rPr>
            <w:noProof/>
            <w:webHidden/>
          </w:rPr>
        </w:r>
        <w:r w:rsidR="000C0617">
          <w:rPr>
            <w:noProof/>
            <w:webHidden/>
          </w:rPr>
          <w:fldChar w:fldCharType="separate"/>
        </w:r>
        <w:r w:rsidR="0010512F">
          <w:rPr>
            <w:noProof/>
            <w:webHidden/>
          </w:rPr>
          <w:t>14</w:t>
        </w:r>
        <w:r w:rsidR="000C0617">
          <w:rPr>
            <w:noProof/>
            <w:webHidden/>
          </w:rPr>
          <w:fldChar w:fldCharType="end"/>
        </w:r>
      </w:hyperlink>
    </w:p>
    <w:p w14:paraId="46211D58" w14:textId="7B5B93A4"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63" w:history="1">
        <w:r w:rsidR="000C0617" w:rsidRPr="00294912">
          <w:rPr>
            <w:rStyle w:val="ac"/>
            <w:noProof/>
          </w:rPr>
          <w:t>图</w:t>
        </w:r>
        <w:r w:rsidR="000C0617" w:rsidRPr="00294912">
          <w:rPr>
            <w:rStyle w:val="ac"/>
            <w:noProof/>
          </w:rPr>
          <w:t xml:space="preserve"> 11</w:t>
        </w:r>
        <w:r w:rsidR="000C0617" w:rsidRPr="00294912">
          <w:rPr>
            <w:rStyle w:val="ac"/>
            <w:noProof/>
          </w:rPr>
          <w:t>：</w:t>
        </w:r>
        <w:r w:rsidR="000C0617" w:rsidRPr="00294912">
          <w:rPr>
            <w:rStyle w:val="ac"/>
            <w:noProof/>
          </w:rPr>
          <w:t>Wind</w:t>
        </w:r>
        <w:r w:rsidR="000C0617" w:rsidRPr="00294912">
          <w:rPr>
            <w:rStyle w:val="ac"/>
            <w:noProof/>
          </w:rPr>
          <w:t>基金一级分类所选第一基准对应的基金数目</w:t>
        </w:r>
        <w:r w:rsidR="000C0617">
          <w:rPr>
            <w:noProof/>
            <w:webHidden/>
          </w:rPr>
          <w:tab/>
        </w:r>
        <w:r w:rsidR="000C0617">
          <w:rPr>
            <w:noProof/>
            <w:webHidden/>
          </w:rPr>
          <w:fldChar w:fldCharType="begin"/>
        </w:r>
        <w:r w:rsidR="000C0617">
          <w:rPr>
            <w:noProof/>
            <w:webHidden/>
          </w:rPr>
          <w:instrText xml:space="preserve"> PAGEREF _Toc65772363 \h </w:instrText>
        </w:r>
        <w:r w:rsidR="000C0617">
          <w:rPr>
            <w:noProof/>
            <w:webHidden/>
          </w:rPr>
        </w:r>
        <w:r w:rsidR="000C0617">
          <w:rPr>
            <w:noProof/>
            <w:webHidden/>
          </w:rPr>
          <w:fldChar w:fldCharType="separate"/>
        </w:r>
        <w:r w:rsidR="0010512F">
          <w:rPr>
            <w:noProof/>
            <w:webHidden/>
          </w:rPr>
          <w:t>15</w:t>
        </w:r>
        <w:r w:rsidR="000C0617">
          <w:rPr>
            <w:noProof/>
            <w:webHidden/>
          </w:rPr>
          <w:fldChar w:fldCharType="end"/>
        </w:r>
      </w:hyperlink>
    </w:p>
    <w:p w14:paraId="7F6F89AA" w14:textId="2EF99D70"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64" w:history="1">
        <w:r w:rsidR="000C0617" w:rsidRPr="00294912">
          <w:rPr>
            <w:rStyle w:val="ac"/>
            <w:noProof/>
          </w:rPr>
          <w:t>图</w:t>
        </w:r>
        <w:r w:rsidR="000C0617" w:rsidRPr="00294912">
          <w:rPr>
            <w:rStyle w:val="ac"/>
            <w:noProof/>
          </w:rPr>
          <w:t xml:space="preserve"> 12</w:t>
        </w:r>
        <w:r w:rsidR="000C0617" w:rsidRPr="00294912">
          <w:rPr>
            <w:rStyle w:val="ac"/>
            <w:noProof/>
          </w:rPr>
          <w:t>：</w:t>
        </w:r>
        <w:r w:rsidR="000C0617" w:rsidRPr="00294912">
          <w:rPr>
            <w:rStyle w:val="ac"/>
            <w:noProof/>
          </w:rPr>
          <w:t>Wind</w:t>
        </w:r>
        <w:r w:rsidR="000C0617" w:rsidRPr="00294912">
          <w:rPr>
            <w:rStyle w:val="ac"/>
            <w:noProof/>
          </w:rPr>
          <w:t>基金一级分类所选第二基准对应的基金数目</w:t>
        </w:r>
        <w:r w:rsidR="000C0617">
          <w:rPr>
            <w:noProof/>
            <w:webHidden/>
          </w:rPr>
          <w:tab/>
        </w:r>
        <w:r w:rsidR="000C0617">
          <w:rPr>
            <w:noProof/>
            <w:webHidden/>
          </w:rPr>
          <w:fldChar w:fldCharType="begin"/>
        </w:r>
        <w:r w:rsidR="000C0617">
          <w:rPr>
            <w:noProof/>
            <w:webHidden/>
          </w:rPr>
          <w:instrText xml:space="preserve"> PAGEREF _Toc65772364 \h </w:instrText>
        </w:r>
        <w:r w:rsidR="000C0617">
          <w:rPr>
            <w:noProof/>
            <w:webHidden/>
          </w:rPr>
        </w:r>
        <w:r w:rsidR="000C0617">
          <w:rPr>
            <w:noProof/>
            <w:webHidden/>
          </w:rPr>
          <w:fldChar w:fldCharType="separate"/>
        </w:r>
        <w:r w:rsidR="0010512F">
          <w:rPr>
            <w:noProof/>
            <w:webHidden/>
          </w:rPr>
          <w:t>15</w:t>
        </w:r>
        <w:r w:rsidR="000C0617">
          <w:rPr>
            <w:noProof/>
            <w:webHidden/>
          </w:rPr>
          <w:fldChar w:fldCharType="end"/>
        </w:r>
      </w:hyperlink>
    </w:p>
    <w:p w14:paraId="750130A5" w14:textId="290160C8"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65" w:history="1">
        <w:r w:rsidR="000C0617" w:rsidRPr="00294912">
          <w:rPr>
            <w:rStyle w:val="ac"/>
            <w:noProof/>
          </w:rPr>
          <w:t>图</w:t>
        </w:r>
        <w:r w:rsidR="000C0617" w:rsidRPr="00294912">
          <w:rPr>
            <w:rStyle w:val="ac"/>
            <w:noProof/>
          </w:rPr>
          <w:t xml:space="preserve"> 13</w:t>
        </w:r>
        <w:r w:rsidR="000C0617" w:rsidRPr="00294912">
          <w:rPr>
            <w:rStyle w:val="ac"/>
            <w:noProof/>
          </w:rPr>
          <w:t>：酒类行业主题基金所选第一基准对应的基金数目</w:t>
        </w:r>
        <w:r w:rsidR="000C0617">
          <w:rPr>
            <w:noProof/>
            <w:webHidden/>
          </w:rPr>
          <w:tab/>
        </w:r>
        <w:r w:rsidR="000C0617">
          <w:rPr>
            <w:noProof/>
            <w:webHidden/>
          </w:rPr>
          <w:fldChar w:fldCharType="begin"/>
        </w:r>
        <w:r w:rsidR="000C0617">
          <w:rPr>
            <w:noProof/>
            <w:webHidden/>
          </w:rPr>
          <w:instrText xml:space="preserve"> PAGEREF _Toc65772365 \h </w:instrText>
        </w:r>
        <w:r w:rsidR="000C0617">
          <w:rPr>
            <w:noProof/>
            <w:webHidden/>
          </w:rPr>
        </w:r>
        <w:r w:rsidR="000C0617">
          <w:rPr>
            <w:noProof/>
            <w:webHidden/>
          </w:rPr>
          <w:fldChar w:fldCharType="separate"/>
        </w:r>
        <w:r w:rsidR="0010512F">
          <w:rPr>
            <w:noProof/>
            <w:webHidden/>
          </w:rPr>
          <w:t>16</w:t>
        </w:r>
        <w:r w:rsidR="000C0617">
          <w:rPr>
            <w:noProof/>
            <w:webHidden/>
          </w:rPr>
          <w:fldChar w:fldCharType="end"/>
        </w:r>
      </w:hyperlink>
    </w:p>
    <w:p w14:paraId="49B42DBD" w14:textId="25DDBCB7"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66" w:history="1">
        <w:r w:rsidR="000C0617" w:rsidRPr="00294912">
          <w:rPr>
            <w:rStyle w:val="ac"/>
            <w:noProof/>
          </w:rPr>
          <w:t>图</w:t>
        </w:r>
        <w:r w:rsidR="000C0617" w:rsidRPr="00294912">
          <w:rPr>
            <w:rStyle w:val="ac"/>
            <w:noProof/>
          </w:rPr>
          <w:t xml:space="preserve"> 14</w:t>
        </w:r>
        <w:r w:rsidR="000C0617" w:rsidRPr="00294912">
          <w:rPr>
            <w:rStyle w:val="ac"/>
            <w:noProof/>
          </w:rPr>
          <w:t>：酒类行业主题基金所选第二基准应的基金数目</w:t>
        </w:r>
        <w:r w:rsidR="000C0617">
          <w:rPr>
            <w:noProof/>
            <w:webHidden/>
          </w:rPr>
          <w:tab/>
        </w:r>
        <w:r w:rsidR="000C0617">
          <w:rPr>
            <w:noProof/>
            <w:webHidden/>
          </w:rPr>
          <w:fldChar w:fldCharType="begin"/>
        </w:r>
        <w:r w:rsidR="000C0617">
          <w:rPr>
            <w:noProof/>
            <w:webHidden/>
          </w:rPr>
          <w:instrText xml:space="preserve"> PAGEREF _Toc65772366 \h </w:instrText>
        </w:r>
        <w:r w:rsidR="000C0617">
          <w:rPr>
            <w:noProof/>
            <w:webHidden/>
          </w:rPr>
        </w:r>
        <w:r w:rsidR="000C0617">
          <w:rPr>
            <w:noProof/>
            <w:webHidden/>
          </w:rPr>
          <w:fldChar w:fldCharType="separate"/>
        </w:r>
        <w:r w:rsidR="0010512F">
          <w:rPr>
            <w:noProof/>
            <w:webHidden/>
          </w:rPr>
          <w:t>16</w:t>
        </w:r>
        <w:r w:rsidR="000C0617">
          <w:rPr>
            <w:noProof/>
            <w:webHidden/>
          </w:rPr>
          <w:fldChar w:fldCharType="end"/>
        </w:r>
      </w:hyperlink>
    </w:p>
    <w:p w14:paraId="204B98FC" w14:textId="21B916DE"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67" w:history="1">
        <w:r w:rsidR="000C0617" w:rsidRPr="00294912">
          <w:rPr>
            <w:rStyle w:val="ac"/>
            <w:noProof/>
          </w:rPr>
          <w:t>图</w:t>
        </w:r>
        <w:r w:rsidR="000C0617" w:rsidRPr="00294912">
          <w:rPr>
            <w:rStyle w:val="ac"/>
            <w:noProof/>
          </w:rPr>
          <w:t xml:space="preserve"> 15</w:t>
        </w:r>
        <w:r w:rsidR="000C0617" w:rsidRPr="00294912">
          <w:rPr>
            <w:rStyle w:val="ac"/>
            <w:noProof/>
          </w:rPr>
          <w:t>：电子元器件行业主题基金所选第一基准对应的基金数目</w:t>
        </w:r>
        <w:r w:rsidR="000C0617">
          <w:rPr>
            <w:noProof/>
            <w:webHidden/>
          </w:rPr>
          <w:tab/>
        </w:r>
        <w:r w:rsidR="000C0617">
          <w:rPr>
            <w:noProof/>
            <w:webHidden/>
          </w:rPr>
          <w:fldChar w:fldCharType="begin"/>
        </w:r>
        <w:r w:rsidR="000C0617">
          <w:rPr>
            <w:noProof/>
            <w:webHidden/>
          </w:rPr>
          <w:instrText xml:space="preserve"> PAGEREF _Toc65772367 \h </w:instrText>
        </w:r>
        <w:r w:rsidR="000C0617">
          <w:rPr>
            <w:noProof/>
            <w:webHidden/>
          </w:rPr>
        </w:r>
        <w:r w:rsidR="000C0617">
          <w:rPr>
            <w:noProof/>
            <w:webHidden/>
          </w:rPr>
          <w:fldChar w:fldCharType="separate"/>
        </w:r>
        <w:r w:rsidR="0010512F">
          <w:rPr>
            <w:noProof/>
            <w:webHidden/>
          </w:rPr>
          <w:t>16</w:t>
        </w:r>
        <w:r w:rsidR="000C0617">
          <w:rPr>
            <w:noProof/>
            <w:webHidden/>
          </w:rPr>
          <w:fldChar w:fldCharType="end"/>
        </w:r>
      </w:hyperlink>
    </w:p>
    <w:p w14:paraId="0F38AF8D" w14:textId="574779BE"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68" w:history="1">
        <w:r w:rsidR="000C0617" w:rsidRPr="00294912">
          <w:rPr>
            <w:rStyle w:val="ac"/>
            <w:noProof/>
          </w:rPr>
          <w:t>图</w:t>
        </w:r>
        <w:r w:rsidR="000C0617" w:rsidRPr="00294912">
          <w:rPr>
            <w:rStyle w:val="ac"/>
            <w:noProof/>
          </w:rPr>
          <w:t xml:space="preserve"> 16</w:t>
        </w:r>
        <w:r w:rsidR="000C0617" w:rsidRPr="00294912">
          <w:rPr>
            <w:rStyle w:val="ac"/>
            <w:noProof/>
          </w:rPr>
          <w:t>：电子元器件行业主题基金所选第二基准对应的基金数目</w:t>
        </w:r>
        <w:r w:rsidR="000C0617">
          <w:rPr>
            <w:noProof/>
            <w:webHidden/>
          </w:rPr>
          <w:tab/>
        </w:r>
        <w:r w:rsidR="000C0617">
          <w:rPr>
            <w:noProof/>
            <w:webHidden/>
          </w:rPr>
          <w:fldChar w:fldCharType="begin"/>
        </w:r>
        <w:r w:rsidR="000C0617">
          <w:rPr>
            <w:noProof/>
            <w:webHidden/>
          </w:rPr>
          <w:instrText xml:space="preserve"> PAGEREF _Toc65772368 \h </w:instrText>
        </w:r>
        <w:r w:rsidR="000C0617">
          <w:rPr>
            <w:noProof/>
            <w:webHidden/>
          </w:rPr>
        </w:r>
        <w:r w:rsidR="000C0617">
          <w:rPr>
            <w:noProof/>
            <w:webHidden/>
          </w:rPr>
          <w:fldChar w:fldCharType="separate"/>
        </w:r>
        <w:r w:rsidR="0010512F">
          <w:rPr>
            <w:noProof/>
            <w:webHidden/>
          </w:rPr>
          <w:t>16</w:t>
        </w:r>
        <w:r w:rsidR="000C0617">
          <w:rPr>
            <w:noProof/>
            <w:webHidden/>
          </w:rPr>
          <w:fldChar w:fldCharType="end"/>
        </w:r>
      </w:hyperlink>
    </w:p>
    <w:p w14:paraId="0CB369F3" w14:textId="31D4CCA9"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69" w:history="1">
        <w:r w:rsidR="000C0617" w:rsidRPr="00294912">
          <w:rPr>
            <w:rStyle w:val="ac"/>
            <w:noProof/>
          </w:rPr>
          <w:t>图</w:t>
        </w:r>
        <w:r w:rsidR="000C0617" w:rsidRPr="00294912">
          <w:rPr>
            <w:rStyle w:val="ac"/>
            <w:noProof/>
          </w:rPr>
          <w:t xml:space="preserve"> 17</w:t>
        </w:r>
        <w:r w:rsidR="000C0617" w:rsidRPr="00294912">
          <w:rPr>
            <w:rStyle w:val="ac"/>
            <w:noProof/>
          </w:rPr>
          <w:t>：电工电网行业主题基金所选第一基准对应的基金数目</w:t>
        </w:r>
        <w:r w:rsidR="000C0617">
          <w:rPr>
            <w:noProof/>
            <w:webHidden/>
          </w:rPr>
          <w:tab/>
        </w:r>
        <w:r w:rsidR="000C0617">
          <w:rPr>
            <w:noProof/>
            <w:webHidden/>
          </w:rPr>
          <w:fldChar w:fldCharType="begin"/>
        </w:r>
        <w:r w:rsidR="000C0617">
          <w:rPr>
            <w:noProof/>
            <w:webHidden/>
          </w:rPr>
          <w:instrText xml:space="preserve"> PAGEREF _Toc65772369 \h </w:instrText>
        </w:r>
        <w:r w:rsidR="000C0617">
          <w:rPr>
            <w:noProof/>
            <w:webHidden/>
          </w:rPr>
        </w:r>
        <w:r w:rsidR="000C0617">
          <w:rPr>
            <w:noProof/>
            <w:webHidden/>
          </w:rPr>
          <w:fldChar w:fldCharType="separate"/>
        </w:r>
        <w:r w:rsidR="0010512F">
          <w:rPr>
            <w:noProof/>
            <w:webHidden/>
          </w:rPr>
          <w:t>16</w:t>
        </w:r>
        <w:r w:rsidR="000C0617">
          <w:rPr>
            <w:noProof/>
            <w:webHidden/>
          </w:rPr>
          <w:fldChar w:fldCharType="end"/>
        </w:r>
      </w:hyperlink>
    </w:p>
    <w:p w14:paraId="59F44BD1" w14:textId="0EA07383"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70" w:history="1">
        <w:r w:rsidR="000C0617" w:rsidRPr="00294912">
          <w:rPr>
            <w:rStyle w:val="ac"/>
            <w:noProof/>
          </w:rPr>
          <w:t>图</w:t>
        </w:r>
        <w:r w:rsidR="000C0617" w:rsidRPr="00294912">
          <w:rPr>
            <w:rStyle w:val="ac"/>
            <w:noProof/>
          </w:rPr>
          <w:t xml:space="preserve"> 18</w:t>
        </w:r>
        <w:r w:rsidR="000C0617" w:rsidRPr="00294912">
          <w:rPr>
            <w:rStyle w:val="ac"/>
            <w:noProof/>
          </w:rPr>
          <w:t>：电工电网行业主题基金所选第二基准对应的基金数目</w:t>
        </w:r>
        <w:r w:rsidR="000C0617">
          <w:rPr>
            <w:noProof/>
            <w:webHidden/>
          </w:rPr>
          <w:tab/>
        </w:r>
        <w:r w:rsidR="000C0617">
          <w:rPr>
            <w:noProof/>
            <w:webHidden/>
          </w:rPr>
          <w:fldChar w:fldCharType="begin"/>
        </w:r>
        <w:r w:rsidR="000C0617">
          <w:rPr>
            <w:noProof/>
            <w:webHidden/>
          </w:rPr>
          <w:instrText xml:space="preserve"> PAGEREF _Toc65772370 \h </w:instrText>
        </w:r>
        <w:r w:rsidR="000C0617">
          <w:rPr>
            <w:noProof/>
            <w:webHidden/>
          </w:rPr>
        </w:r>
        <w:r w:rsidR="000C0617">
          <w:rPr>
            <w:noProof/>
            <w:webHidden/>
          </w:rPr>
          <w:fldChar w:fldCharType="separate"/>
        </w:r>
        <w:r w:rsidR="0010512F">
          <w:rPr>
            <w:noProof/>
            <w:webHidden/>
          </w:rPr>
          <w:t>16</w:t>
        </w:r>
        <w:r w:rsidR="000C0617">
          <w:rPr>
            <w:noProof/>
            <w:webHidden/>
          </w:rPr>
          <w:fldChar w:fldCharType="end"/>
        </w:r>
      </w:hyperlink>
    </w:p>
    <w:p w14:paraId="0C0D8824" w14:textId="7EFA591B"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71" w:history="1">
        <w:r w:rsidR="000C0617" w:rsidRPr="00294912">
          <w:rPr>
            <w:rStyle w:val="ac"/>
            <w:noProof/>
          </w:rPr>
          <w:t>图</w:t>
        </w:r>
        <w:r w:rsidR="000C0617" w:rsidRPr="00294912">
          <w:rPr>
            <w:rStyle w:val="ac"/>
            <w:noProof/>
          </w:rPr>
          <w:t xml:space="preserve"> 19</w:t>
        </w:r>
        <w:r w:rsidR="000C0617" w:rsidRPr="00294912">
          <w:rPr>
            <w:rStyle w:val="ac"/>
            <w:noProof/>
          </w:rPr>
          <w:t>：半导体行业主题基金所选第一基准对应的基金数目</w:t>
        </w:r>
        <w:r w:rsidR="000C0617">
          <w:rPr>
            <w:noProof/>
            <w:webHidden/>
          </w:rPr>
          <w:tab/>
        </w:r>
        <w:r w:rsidR="000C0617">
          <w:rPr>
            <w:noProof/>
            <w:webHidden/>
          </w:rPr>
          <w:fldChar w:fldCharType="begin"/>
        </w:r>
        <w:r w:rsidR="000C0617">
          <w:rPr>
            <w:noProof/>
            <w:webHidden/>
          </w:rPr>
          <w:instrText xml:space="preserve"> PAGEREF _Toc65772371 \h </w:instrText>
        </w:r>
        <w:r w:rsidR="000C0617">
          <w:rPr>
            <w:noProof/>
            <w:webHidden/>
          </w:rPr>
        </w:r>
        <w:r w:rsidR="000C0617">
          <w:rPr>
            <w:noProof/>
            <w:webHidden/>
          </w:rPr>
          <w:fldChar w:fldCharType="separate"/>
        </w:r>
        <w:r w:rsidR="0010512F">
          <w:rPr>
            <w:noProof/>
            <w:webHidden/>
          </w:rPr>
          <w:t>17</w:t>
        </w:r>
        <w:r w:rsidR="000C0617">
          <w:rPr>
            <w:noProof/>
            <w:webHidden/>
          </w:rPr>
          <w:fldChar w:fldCharType="end"/>
        </w:r>
      </w:hyperlink>
    </w:p>
    <w:p w14:paraId="7E2C802D" w14:textId="635D1814"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72" w:history="1">
        <w:r w:rsidR="000C0617" w:rsidRPr="00294912">
          <w:rPr>
            <w:rStyle w:val="ac"/>
            <w:noProof/>
          </w:rPr>
          <w:t>图</w:t>
        </w:r>
        <w:r w:rsidR="000C0617" w:rsidRPr="00294912">
          <w:rPr>
            <w:rStyle w:val="ac"/>
            <w:noProof/>
          </w:rPr>
          <w:t xml:space="preserve"> 20</w:t>
        </w:r>
        <w:r w:rsidR="000C0617" w:rsidRPr="00294912">
          <w:rPr>
            <w:rStyle w:val="ac"/>
            <w:noProof/>
          </w:rPr>
          <w:t>：半导体行业主题基金所选第二基准对应的基金数目</w:t>
        </w:r>
        <w:r w:rsidR="000C0617">
          <w:rPr>
            <w:noProof/>
            <w:webHidden/>
          </w:rPr>
          <w:tab/>
        </w:r>
        <w:r w:rsidR="000C0617">
          <w:rPr>
            <w:noProof/>
            <w:webHidden/>
          </w:rPr>
          <w:fldChar w:fldCharType="begin"/>
        </w:r>
        <w:r w:rsidR="000C0617">
          <w:rPr>
            <w:noProof/>
            <w:webHidden/>
          </w:rPr>
          <w:instrText xml:space="preserve"> PAGEREF _Toc65772372 \h </w:instrText>
        </w:r>
        <w:r w:rsidR="000C0617">
          <w:rPr>
            <w:noProof/>
            <w:webHidden/>
          </w:rPr>
        </w:r>
        <w:r w:rsidR="000C0617">
          <w:rPr>
            <w:noProof/>
            <w:webHidden/>
          </w:rPr>
          <w:fldChar w:fldCharType="separate"/>
        </w:r>
        <w:r w:rsidR="0010512F">
          <w:rPr>
            <w:noProof/>
            <w:webHidden/>
          </w:rPr>
          <w:t>17</w:t>
        </w:r>
        <w:r w:rsidR="000C0617">
          <w:rPr>
            <w:noProof/>
            <w:webHidden/>
          </w:rPr>
          <w:fldChar w:fldCharType="end"/>
        </w:r>
      </w:hyperlink>
    </w:p>
    <w:p w14:paraId="0C3E39E8" w14:textId="748FFFAC"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73" w:history="1">
        <w:r w:rsidR="000C0617" w:rsidRPr="00294912">
          <w:rPr>
            <w:rStyle w:val="ac"/>
            <w:noProof/>
          </w:rPr>
          <w:t>图</w:t>
        </w:r>
        <w:r w:rsidR="000C0617" w:rsidRPr="00294912">
          <w:rPr>
            <w:rStyle w:val="ac"/>
            <w:noProof/>
          </w:rPr>
          <w:t xml:space="preserve"> 21</w:t>
        </w:r>
        <w:r w:rsidR="000C0617" w:rsidRPr="00294912">
          <w:rPr>
            <w:rStyle w:val="ac"/>
            <w:noProof/>
          </w:rPr>
          <w:t>：生物科技行业主题基金所选第一基准对应的基金数目</w:t>
        </w:r>
        <w:r w:rsidR="000C0617">
          <w:rPr>
            <w:noProof/>
            <w:webHidden/>
          </w:rPr>
          <w:tab/>
        </w:r>
        <w:r w:rsidR="000C0617">
          <w:rPr>
            <w:noProof/>
            <w:webHidden/>
          </w:rPr>
          <w:fldChar w:fldCharType="begin"/>
        </w:r>
        <w:r w:rsidR="000C0617">
          <w:rPr>
            <w:noProof/>
            <w:webHidden/>
          </w:rPr>
          <w:instrText xml:space="preserve"> PAGEREF _Toc65772373 \h </w:instrText>
        </w:r>
        <w:r w:rsidR="000C0617">
          <w:rPr>
            <w:noProof/>
            <w:webHidden/>
          </w:rPr>
        </w:r>
        <w:r w:rsidR="000C0617">
          <w:rPr>
            <w:noProof/>
            <w:webHidden/>
          </w:rPr>
          <w:fldChar w:fldCharType="separate"/>
        </w:r>
        <w:r w:rsidR="0010512F">
          <w:rPr>
            <w:noProof/>
            <w:webHidden/>
          </w:rPr>
          <w:t>17</w:t>
        </w:r>
        <w:r w:rsidR="000C0617">
          <w:rPr>
            <w:noProof/>
            <w:webHidden/>
          </w:rPr>
          <w:fldChar w:fldCharType="end"/>
        </w:r>
      </w:hyperlink>
    </w:p>
    <w:p w14:paraId="4A4040FD" w14:textId="4BAEDC3E"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74" w:history="1">
        <w:r w:rsidR="000C0617" w:rsidRPr="00294912">
          <w:rPr>
            <w:rStyle w:val="ac"/>
            <w:noProof/>
          </w:rPr>
          <w:t>图</w:t>
        </w:r>
        <w:r w:rsidR="000C0617" w:rsidRPr="00294912">
          <w:rPr>
            <w:rStyle w:val="ac"/>
            <w:noProof/>
          </w:rPr>
          <w:t xml:space="preserve"> 22</w:t>
        </w:r>
        <w:r w:rsidR="000C0617" w:rsidRPr="00294912">
          <w:rPr>
            <w:rStyle w:val="ac"/>
            <w:noProof/>
          </w:rPr>
          <w:t>：电工电网行业主题基金所选第二基准对应的基金数目</w:t>
        </w:r>
        <w:r w:rsidR="000C0617">
          <w:rPr>
            <w:noProof/>
            <w:webHidden/>
          </w:rPr>
          <w:tab/>
        </w:r>
        <w:r w:rsidR="000C0617">
          <w:rPr>
            <w:noProof/>
            <w:webHidden/>
          </w:rPr>
          <w:fldChar w:fldCharType="begin"/>
        </w:r>
        <w:r w:rsidR="000C0617">
          <w:rPr>
            <w:noProof/>
            <w:webHidden/>
          </w:rPr>
          <w:instrText xml:space="preserve"> PAGEREF _Toc65772374 \h </w:instrText>
        </w:r>
        <w:r w:rsidR="000C0617">
          <w:rPr>
            <w:noProof/>
            <w:webHidden/>
          </w:rPr>
        </w:r>
        <w:r w:rsidR="000C0617">
          <w:rPr>
            <w:noProof/>
            <w:webHidden/>
          </w:rPr>
          <w:fldChar w:fldCharType="separate"/>
        </w:r>
        <w:r w:rsidR="0010512F">
          <w:rPr>
            <w:noProof/>
            <w:webHidden/>
          </w:rPr>
          <w:t>17</w:t>
        </w:r>
        <w:r w:rsidR="000C0617">
          <w:rPr>
            <w:noProof/>
            <w:webHidden/>
          </w:rPr>
          <w:fldChar w:fldCharType="end"/>
        </w:r>
      </w:hyperlink>
    </w:p>
    <w:p w14:paraId="1E09FD3C" w14:textId="65A1A108"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75" w:history="1">
        <w:r w:rsidR="000C0617" w:rsidRPr="00294912">
          <w:rPr>
            <w:rStyle w:val="ac"/>
            <w:noProof/>
          </w:rPr>
          <w:t>图</w:t>
        </w:r>
        <w:r w:rsidR="000C0617" w:rsidRPr="00294912">
          <w:rPr>
            <w:rStyle w:val="ac"/>
            <w:noProof/>
          </w:rPr>
          <w:t xml:space="preserve"> 23</w:t>
        </w:r>
        <w:r w:rsidR="000C0617" w:rsidRPr="00294912">
          <w:rPr>
            <w:rStyle w:val="ac"/>
            <w:noProof/>
          </w:rPr>
          <w:t>：银行行业主题基金所选第一基准对应的基金数目</w:t>
        </w:r>
        <w:r w:rsidR="000C0617">
          <w:rPr>
            <w:noProof/>
            <w:webHidden/>
          </w:rPr>
          <w:tab/>
        </w:r>
        <w:r w:rsidR="000C0617">
          <w:rPr>
            <w:noProof/>
            <w:webHidden/>
          </w:rPr>
          <w:fldChar w:fldCharType="begin"/>
        </w:r>
        <w:r w:rsidR="000C0617">
          <w:rPr>
            <w:noProof/>
            <w:webHidden/>
          </w:rPr>
          <w:instrText xml:space="preserve"> PAGEREF _Toc65772375 \h </w:instrText>
        </w:r>
        <w:r w:rsidR="000C0617">
          <w:rPr>
            <w:noProof/>
            <w:webHidden/>
          </w:rPr>
        </w:r>
        <w:r w:rsidR="000C0617">
          <w:rPr>
            <w:noProof/>
            <w:webHidden/>
          </w:rPr>
          <w:fldChar w:fldCharType="separate"/>
        </w:r>
        <w:r w:rsidR="0010512F">
          <w:rPr>
            <w:noProof/>
            <w:webHidden/>
          </w:rPr>
          <w:t>17</w:t>
        </w:r>
        <w:r w:rsidR="000C0617">
          <w:rPr>
            <w:noProof/>
            <w:webHidden/>
          </w:rPr>
          <w:fldChar w:fldCharType="end"/>
        </w:r>
      </w:hyperlink>
    </w:p>
    <w:p w14:paraId="004499AD" w14:textId="45CCFF2B"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76" w:history="1">
        <w:r w:rsidR="000C0617" w:rsidRPr="00294912">
          <w:rPr>
            <w:rStyle w:val="ac"/>
            <w:noProof/>
          </w:rPr>
          <w:t>图</w:t>
        </w:r>
        <w:r w:rsidR="000C0617" w:rsidRPr="00294912">
          <w:rPr>
            <w:rStyle w:val="ac"/>
            <w:noProof/>
          </w:rPr>
          <w:t xml:space="preserve"> 24</w:t>
        </w:r>
        <w:r w:rsidR="000C0617" w:rsidRPr="00294912">
          <w:rPr>
            <w:rStyle w:val="ac"/>
            <w:noProof/>
          </w:rPr>
          <w:t>：银行行业主题基金所选第二基准对应的基金数目</w:t>
        </w:r>
        <w:r w:rsidR="000C0617">
          <w:rPr>
            <w:noProof/>
            <w:webHidden/>
          </w:rPr>
          <w:tab/>
        </w:r>
        <w:r w:rsidR="000C0617">
          <w:rPr>
            <w:noProof/>
            <w:webHidden/>
          </w:rPr>
          <w:fldChar w:fldCharType="begin"/>
        </w:r>
        <w:r w:rsidR="000C0617">
          <w:rPr>
            <w:noProof/>
            <w:webHidden/>
          </w:rPr>
          <w:instrText xml:space="preserve"> PAGEREF _Toc65772376 \h </w:instrText>
        </w:r>
        <w:r w:rsidR="000C0617">
          <w:rPr>
            <w:noProof/>
            <w:webHidden/>
          </w:rPr>
        </w:r>
        <w:r w:rsidR="000C0617">
          <w:rPr>
            <w:noProof/>
            <w:webHidden/>
          </w:rPr>
          <w:fldChar w:fldCharType="separate"/>
        </w:r>
        <w:r w:rsidR="0010512F">
          <w:rPr>
            <w:noProof/>
            <w:webHidden/>
          </w:rPr>
          <w:t>17</w:t>
        </w:r>
        <w:r w:rsidR="000C0617">
          <w:rPr>
            <w:noProof/>
            <w:webHidden/>
          </w:rPr>
          <w:fldChar w:fldCharType="end"/>
        </w:r>
      </w:hyperlink>
    </w:p>
    <w:p w14:paraId="52B42614" w14:textId="62C84222" w:rsidR="00742EE3" w:rsidRPr="00526CC1" w:rsidRDefault="00742EE3" w:rsidP="00742EE3">
      <w:pPr>
        <w:pStyle w:val="ae"/>
        <w:ind w:left="3017"/>
        <w:rPr>
          <w:color w:val="0F243E" w:themeColor="text2" w:themeShade="80"/>
          <w:lang w:eastAsia="zh-CN"/>
        </w:rPr>
      </w:pPr>
      <w:r w:rsidRPr="003956CF">
        <w:rPr>
          <w:color w:val="0F243E" w:themeColor="text2" w:themeShade="80"/>
          <w:kern w:val="2"/>
          <w:szCs w:val="24"/>
          <w:lang w:eastAsia="zh-CN"/>
        </w:rPr>
        <w:fldChar w:fldCharType="end"/>
      </w:r>
    </w:p>
    <w:p w14:paraId="4B8422CF" w14:textId="35549839" w:rsidR="000C0617" w:rsidRDefault="00742EE3">
      <w:pPr>
        <w:pStyle w:val="ad"/>
        <w:tabs>
          <w:tab w:val="right" w:leader="dot" w:pos="10620"/>
        </w:tabs>
        <w:ind w:left="3082"/>
        <w:rPr>
          <w:rFonts w:asciiTheme="minorHAnsi" w:eastAsiaTheme="minorEastAsia" w:hAnsiTheme="minorHAnsi" w:cstheme="minorBidi"/>
          <w:noProof/>
          <w:szCs w:val="22"/>
        </w:rPr>
      </w:pPr>
      <w:r>
        <w:rPr>
          <w:rStyle w:val="ab"/>
          <w:rFonts w:ascii="Times New Roman" w:eastAsia="楷体_GB2312" w:hAnsi="Times New Roman" w:cs="Times New Roman"/>
          <w:color w:val="0F243E" w:themeColor="text2" w:themeShade="80"/>
        </w:rPr>
        <w:fldChar w:fldCharType="begin"/>
      </w:r>
      <w:r>
        <w:rPr>
          <w:rStyle w:val="ab"/>
          <w:rFonts w:ascii="Times New Roman" w:eastAsia="楷体_GB2312" w:hAnsi="Times New Roman" w:cs="Times New Roman"/>
          <w:color w:val="0F243E" w:themeColor="text2" w:themeShade="80"/>
        </w:rPr>
        <w:instrText xml:space="preserve"> TOC \h \z \c "</w:instrText>
      </w:r>
      <w:r>
        <w:rPr>
          <w:rStyle w:val="ab"/>
          <w:rFonts w:ascii="Times New Roman" w:eastAsia="楷体_GB2312" w:hAnsi="Times New Roman" w:cs="Times New Roman"/>
          <w:color w:val="0F243E" w:themeColor="text2" w:themeShade="80"/>
        </w:rPr>
        <w:instrText>表</w:instrText>
      </w:r>
      <w:r>
        <w:rPr>
          <w:rStyle w:val="ab"/>
          <w:rFonts w:ascii="Times New Roman" w:eastAsia="楷体_GB2312" w:hAnsi="Times New Roman" w:cs="Times New Roman"/>
          <w:color w:val="0F243E" w:themeColor="text2" w:themeShade="80"/>
        </w:rPr>
        <w:instrText xml:space="preserve">" </w:instrText>
      </w:r>
      <w:r>
        <w:rPr>
          <w:rStyle w:val="ab"/>
          <w:rFonts w:ascii="Times New Roman" w:eastAsia="楷体_GB2312" w:hAnsi="Times New Roman" w:cs="Times New Roman"/>
          <w:color w:val="0F243E" w:themeColor="text2" w:themeShade="80"/>
        </w:rPr>
        <w:fldChar w:fldCharType="separate"/>
      </w:r>
      <w:hyperlink w:anchor="_Toc65772377" w:history="1">
        <w:r w:rsidR="000C0617" w:rsidRPr="00BB3D0E">
          <w:rPr>
            <w:rStyle w:val="ac"/>
            <w:noProof/>
          </w:rPr>
          <w:t>表</w:t>
        </w:r>
        <w:r w:rsidR="000C0617" w:rsidRPr="00BB3D0E">
          <w:rPr>
            <w:rStyle w:val="ac"/>
            <w:noProof/>
          </w:rPr>
          <w:t xml:space="preserve"> 1</w:t>
        </w:r>
        <w:r w:rsidR="000C0617" w:rsidRPr="00BB3D0E">
          <w:rPr>
            <w:rStyle w:val="ac"/>
            <w:noProof/>
          </w:rPr>
          <w:t>：</w:t>
        </w:r>
        <w:r w:rsidR="000C0617" w:rsidRPr="00BB3D0E">
          <w:rPr>
            <w:rStyle w:val="ac"/>
            <w:noProof/>
          </w:rPr>
          <w:t>Wind</w:t>
        </w:r>
        <w:r w:rsidR="000C0617" w:rsidRPr="00BB3D0E">
          <w:rPr>
            <w:rStyle w:val="ac"/>
            <w:noProof/>
          </w:rPr>
          <w:t>基金一级分类下业绩评价基准组成部分个数情况统计</w:t>
        </w:r>
        <w:r w:rsidR="000C0617">
          <w:rPr>
            <w:noProof/>
            <w:webHidden/>
          </w:rPr>
          <w:tab/>
        </w:r>
        <w:r w:rsidR="000C0617">
          <w:rPr>
            <w:noProof/>
            <w:webHidden/>
          </w:rPr>
          <w:fldChar w:fldCharType="begin"/>
        </w:r>
        <w:r w:rsidR="000C0617">
          <w:rPr>
            <w:noProof/>
            <w:webHidden/>
          </w:rPr>
          <w:instrText xml:space="preserve"> PAGEREF _Toc65772377 \h </w:instrText>
        </w:r>
        <w:r w:rsidR="000C0617">
          <w:rPr>
            <w:noProof/>
            <w:webHidden/>
          </w:rPr>
        </w:r>
        <w:r w:rsidR="000C0617">
          <w:rPr>
            <w:noProof/>
            <w:webHidden/>
          </w:rPr>
          <w:fldChar w:fldCharType="separate"/>
        </w:r>
        <w:r w:rsidR="0010512F">
          <w:rPr>
            <w:noProof/>
            <w:webHidden/>
          </w:rPr>
          <w:t>11</w:t>
        </w:r>
        <w:r w:rsidR="000C0617">
          <w:rPr>
            <w:noProof/>
            <w:webHidden/>
          </w:rPr>
          <w:fldChar w:fldCharType="end"/>
        </w:r>
      </w:hyperlink>
    </w:p>
    <w:p w14:paraId="27383DB0" w14:textId="56D90145"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78" w:history="1">
        <w:r w:rsidR="000C0617" w:rsidRPr="00BB3D0E">
          <w:rPr>
            <w:rStyle w:val="ac"/>
            <w:noProof/>
          </w:rPr>
          <w:t>表</w:t>
        </w:r>
        <w:r w:rsidR="000C0617" w:rsidRPr="00BB3D0E">
          <w:rPr>
            <w:rStyle w:val="ac"/>
            <w:noProof/>
          </w:rPr>
          <w:t xml:space="preserve"> 2</w:t>
        </w:r>
        <w:r w:rsidR="000C0617" w:rsidRPr="00BB3D0E">
          <w:rPr>
            <w:rStyle w:val="ac"/>
            <w:noProof/>
          </w:rPr>
          <w:t>：</w:t>
        </w:r>
        <w:r w:rsidR="000C0617" w:rsidRPr="00BB3D0E">
          <w:rPr>
            <w:rStyle w:val="ac"/>
            <w:noProof/>
          </w:rPr>
          <w:t>Wind</w:t>
        </w:r>
        <w:r w:rsidR="000C0617" w:rsidRPr="00BB3D0E">
          <w:rPr>
            <w:rStyle w:val="ac"/>
            <w:noProof/>
          </w:rPr>
          <w:t>基金一级分类单一基准基金所选基准以及对应的基金数目</w:t>
        </w:r>
        <w:r w:rsidR="000C0617">
          <w:rPr>
            <w:noProof/>
            <w:webHidden/>
          </w:rPr>
          <w:tab/>
        </w:r>
        <w:r w:rsidR="000C0617">
          <w:rPr>
            <w:noProof/>
            <w:webHidden/>
          </w:rPr>
          <w:fldChar w:fldCharType="begin"/>
        </w:r>
        <w:r w:rsidR="000C0617">
          <w:rPr>
            <w:noProof/>
            <w:webHidden/>
          </w:rPr>
          <w:instrText xml:space="preserve"> PAGEREF _Toc65772378 \h </w:instrText>
        </w:r>
        <w:r w:rsidR="000C0617">
          <w:rPr>
            <w:noProof/>
            <w:webHidden/>
          </w:rPr>
        </w:r>
        <w:r w:rsidR="000C0617">
          <w:rPr>
            <w:noProof/>
            <w:webHidden/>
          </w:rPr>
          <w:fldChar w:fldCharType="separate"/>
        </w:r>
        <w:r w:rsidR="0010512F">
          <w:rPr>
            <w:noProof/>
            <w:webHidden/>
          </w:rPr>
          <w:t>11</w:t>
        </w:r>
        <w:r w:rsidR="000C0617">
          <w:rPr>
            <w:noProof/>
            <w:webHidden/>
          </w:rPr>
          <w:fldChar w:fldCharType="end"/>
        </w:r>
      </w:hyperlink>
    </w:p>
    <w:p w14:paraId="33A33E4A" w14:textId="07DAFA78"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79" w:history="1">
        <w:r w:rsidR="000C0617" w:rsidRPr="00BB3D0E">
          <w:rPr>
            <w:rStyle w:val="ac"/>
            <w:noProof/>
          </w:rPr>
          <w:t>表</w:t>
        </w:r>
        <w:r w:rsidR="000C0617" w:rsidRPr="00BB3D0E">
          <w:rPr>
            <w:rStyle w:val="ac"/>
            <w:noProof/>
          </w:rPr>
          <w:t xml:space="preserve"> 3</w:t>
        </w:r>
        <w:r w:rsidR="000C0617" w:rsidRPr="00BB3D0E">
          <w:rPr>
            <w:rStyle w:val="ac"/>
            <w:noProof/>
          </w:rPr>
          <w:t>：</w:t>
        </w:r>
        <w:r w:rsidR="000C0617" w:rsidRPr="00BB3D0E">
          <w:rPr>
            <w:rStyle w:val="ac"/>
            <w:noProof/>
          </w:rPr>
          <w:t>Wind</w:t>
        </w:r>
        <w:r w:rsidR="000C0617" w:rsidRPr="00BB3D0E">
          <w:rPr>
            <w:rStyle w:val="ac"/>
            <w:noProof/>
          </w:rPr>
          <w:t>基金一级分类双基准基金所选基准以及对应的基金数目</w:t>
        </w:r>
        <w:r w:rsidR="000C0617">
          <w:rPr>
            <w:noProof/>
            <w:webHidden/>
          </w:rPr>
          <w:tab/>
        </w:r>
        <w:r w:rsidR="000C0617">
          <w:rPr>
            <w:noProof/>
            <w:webHidden/>
          </w:rPr>
          <w:fldChar w:fldCharType="begin"/>
        </w:r>
        <w:r w:rsidR="000C0617">
          <w:rPr>
            <w:noProof/>
            <w:webHidden/>
          </w:rPr>
          <w:instrText xml:space="preserve"> PAGEREF _Toc65772379 \h </w:instrText>
        </w:r>
        <w:r w:rsidR="000C0617">
          <w:rPr>
            <w:noProof/>
            <w:webHidden/>
          </w:rPr>
        </w:r>
        <w:r w:rsidR="000C0617">
          <w:rPr>
            <w:noProof/>
            <w:webHidden/>
          </w:rPr>
          <w:fldChar w:fldCharType="separate"/>
        </w:r>
        <w:r w:rsidR="0010512F">
          <w:rPr>
            <w:noProof/>
            <w:webHidden/>
          </w:rPr>
          <w:t>12</w:t>
        </w:r>
        <w:r w:rsidR="000C0617">
          <w:rPr>
            <w:noProof/>
            <w:webHidden/>
          </w:rPr>
          <w:fldChar w:fldCharType="end"/>
        </w:r>
      </w:hyperlink>
    </w:p>
    <w:p w14:paraId="18995CF3" w14:textId="5C175F15"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80" w:history="1">
        <w:r w:rsidR="000C0617" w:rsidRPr="00BB3D0E">
          <w:rPr>
            <w:rStyle w:val="ac"/>
            <w:noProof/>
          </w:rPr>
          <w:t>表</w:t>
        </w:r>
        <w:r w:rsidR="000C0617" w:rsidRPr="00BB3D0E">
          <w:rPr>
            <w:rStyle w:val="ac"/>
            <w:noProof/>
          </w:rPr>
          <w:t xml:space="preserve"> 4</w:t>
        </w:r>
        <w:r w:rsidR="000C0617" w:rsidRPr="00BB3D0E">
          <w:rPr>
            <w:rStyle w:val="ac"/>
            <w:noProof/>
          </w:rPr>
          <w:t>：</w:t>
        </w:r>
        <w:r w:rsidR="000C0617" w:rsidRPr="00BB3D0E">
          <w:rPr>
            <w:rStyle w:val="ac"/>
            <w:noProof/>
          </w:rPr>
          <w:t>Wind</w:t>
        </w:r>
        <w:r w:rsidR="000C0617" w:rsidRPr="00BB3D0E">
          <w:rPr>
            <w:rStyle w:val="ac"/>
            <w:noProof/>
          </w:rPr>
          <w:t>基金一级分类三基准基金所选基准以及对应的基金数目</w:t>
        </w:r>
        <w:r w:rsidR="000C0617">
          <w:rPr>
            <w:noProof/>
            <w:webHidden/>
          </w:rPr>
          <w:tab/>
        </w:r>
        <w:r w:rsidR="000C0617">
          <w:rPr>
            <w:noProof/>
            <w:webHidden/>
          </w:rPr>
          <w:fldChar w:fldCharType="begin"/>
        </w:r>
        <w:r w:rsidR="000C0617">
          <w:rPr>
            <w:noProof/>
            <w:webHidden/>
          </w:rPr>
          <w:instrText xml:space="preserve"> PAGEREF _Toc65772380 \h </w:instrText>
        </w:r>
        <w:r w:rsidR="000C0617">
          <w:rPr>
            <w:noProof/>
            <w:webHidden/>
          </w:rPr>
        </w:r>
        <w:r w:rsidR="000C0617">
          <w:rPr>
            <w:noProof/>
            <w:webHidden/>
          </w:rPr>
          <w:fldChar w:fldCharType="separate"/>
        </w:r>
        <w:r w:rsidR="0010512F">
          <w:rPr>
            <w:noProof/>
            <w:webHidden/>
          </w:rPr>
          <w:t>13</w:t>
        </w:r>
        <w:r w:rsidR="000C0617">
          <w:rPr>
            <w:noProof/>
            <w:webHidden/>
          </w:rPr>
          <w:fldChar w:fldCharType="end"/>
        </w:r>
      </w:hyperlink>
    </w:p>
    <w:p w14:paraId="4E8F955E" w14:textId="44E551FC"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81" w:history="1">
        <w:r w:rsidR="000C0617" w:rsidRPr="00BB3D0E">
          <w:rPr>
            <w:rStyle w:val="ac"/>
            <w:noProof/>
          </w:rPr>
          <w:t>表</w:t>
        </w:r>
        <w:r w:rsidR="000C0617" w:rsidRPr="00BB3D0E">
          <w:rPr>
            <w:rStyle w:val="ac"/>
            <w:noProof/>
          </w:rPr>
          <w:t xml:space="preserve"> 5</w:t>
        </w:r>
        <w:r w:rsidR="000C0617" w:rsidRPr="00BB3D0E">
          <w:rPr>
            <w:rStyle w:val="ac"/>
            <w:noProof/>
          </w:rPr>
          <w:t>：行业主题基金业绩评价基准选择情况统计</w:t>
        </w:r>
        <w:r w:rsidR="000C0617">
          <w:rPr>
            <w:noProof/>
            <w:webHidden/>
          </w:rPr>
          <w:tab/>
        </w:r>
        <w:r w:rsidR="000C0617">
          <w:rPr>
            <w:noProof/>
            <w:webHidden/>
          </w:rPr>
          <w:fldChar w:fldCharType="begin"/>
        </w:r>
        <w:r w:rsidR="000C0617">
          <w:rPr>
            <w:noProof/>
            <w:webHidden/>
          </w:rPr>
          <w:instrText xml:space="preserve"> PAGEREF _Toc65772381 \h </w:instrText>
        </w:r>
        <w:r w:rsidR="000C0617">
          <w:rPr>
            <w:noProof/>
            <w:webHidden/>
          </w:rPr>
        </w:r>
        <w:r w:rsidR="000C0617">
          <w:rPr>
            <w:noProof/>
            <w:webHidden/>
          </w:rPr>
          <w:fldChar w:fldCharType="separate"/>
        </w:r>
        <w:r w:rsidR="0010512F">
          <w:rPr>
            <w:noProof/>
            <w:webHidden/>
          </w:rPr>
          <w:t>15</w:t>
        </w:r>
        <w:r w:rsidR="000C0617">
          <w:rPr>
            <w:noProof/>
            <w:webHidden/>
          </w:rPr>
          <w:fldChar w:fldCharType="end"/>
        </w:r>
      </w:hyperlink>
    </w:p>
    <w:p w14:paraId="75620EBD" w14:textId="52199B7C" w:rsidR="000C0617" w:rsidRDefault="00430157">
      <w:pPr>
        <w:pStyle w:val="ad"/>
        <w:tabs>
          <w:tab w:val="right" w:leader="dot" w:pos="10620"/>
        </w:tabs>
        <w:ind w:left="3082"/>
        <w:rPr>
          <w:rFonts w:asciiTheme="minorHAnsi" w:eastAsiaTheme="minorEastAsia" w:hAnsiTheme="minorHAnsi" w:cstheme="minorBidi"/>
          <w:noProof/>
          <w:szCs w:val="22"/>
        </w:rPr>
      </w:pPr>
      <w:hyperlink w:anchor="_Toc65772382" w:history="1">
        <w:r w:rsidR="000C0617" w:rsidRPr="00BB3D0E">
          <w:rPr>
            <w:rStyle w:val="ac"/>
            <w:noProof/>
          </w:rPr>
          <w:t>表</w:t>
        </w:r>
        <w:r w:rsidR="000C0617" w:rsidRPr="00BB3D0E">
          <w:rPr>
            <w:rStyle w:val="ac"/>
            <w:noProof/>
          </w:rPr>
          <w:t xml:space="preserve"> 6</w:t>
        </w:r>
        <w:r w:rsidR="000C0617" w:rsidRPr="00BB3D0E">
          <w:rPr>
            <w:rStyle w:val="ac"/>
            <w:noProof/>
          </w:rPr>
          <w:t>：行业主题基金业绩评价基准选择情况统计</w:t>
        </w:r>
        <w:r w:rsidR="000C0617">
          <w:rPr>
            <w:noProof/>
            <w:webHidden/>
          </w:rPr>
          <w:tab/>
        </w:r>
        <w:r w:rsidR="000C0617">
          <w:rPr>
            <w:noProof/>
            <w:webHidden/>
          </w:rPr>
          <w:fldChar w:fldCharType="begin"/>
        </w:r>
        <w:r w:rsidR="000C0617">
          <w:rPr>
            <w:noProof/>
            <w:webHidden/>
          </w:rPr>
          <w:instrText xml:space="preserve"> PAGEREF _Toc65772382 \h </w:instrText>
        </w:r>
        <w:r w:rsidR="000C0617">
          <w:rPr>
            <w:noProof/>
            <w:webHidden/>
          </w:rPr>
        </w:r>
        <w:r w:rsidR="000C0617">
          <w:rPr>
            <w:noProof/>
            <w:webHidden/>
          </w:rPr>
          <w:fldChar w:fldCharType="separate"/>
        </w:r>
        <w:r w:rsidR="0010512F">
          <w:rPr>
            <w:noProof/>
            <w:webHidden/>
          </w:rPr>
          <w:t>18</w:t>
        </w:r>
        <w:r w:rsidR="000C0617">
          <w:rPr>
            <w:noProof/>
            <w:webHidden/>
          </w:rPr>
          <w:fldChar w:fldCharType="end"/>
        </w:r>
      </w:hyperlink>
    </w:p>
    <w:p w14:paraId="17AF5770" w14:textId="4DDC4F76" w:rsidR="00742EE3" w:rsidRPr="00CB27DC" w:rsidRDefault="00742EE3" w:rsidP="00742EE3">
      <w:pPr>
        <w:pStyle w:val="ae"/>
        <w:ind w:left="3017"/>
        <w:rPr>
          <w:b/>
          <w:color w:val="0F243E" w:themeColor="text2" w:themeShade="80"/>
          <w:sz w:val="18"/>
          <w:szCs w:val="18"/>
          <w:lang w:eastAsia="zh-CN"/>
        </w:rPr>
      </w:pPr>
      <w:r>
        <w:rPr>
          <w:rStyle w:val="ab"/>
          <w:rFonts w:ascii="Times New Roman" w:eastAsia="楷体_GB2312" w:hAnsi="Times New Roman" w:cs="Times New Roman"/>
          <w:color w:val="0F243E" w:themeColor="text2" w:themeShade="80"/>
        </w:rPr>
        <w:fldChar w:fldCharType="end"/>
      </w:r>
      <w:r w:rsidRPr="00CB27DC">
        <w:rPr>
          <w:rStyle w:val="ab"/>
          <w:rFonts w:ascii="Times New Roman" w:eastAsia="楷体_GB2312" w:hAnsi="Times New Roman" w:cs="Times New Roman"/>
          <w:color w:val="0F243E" w:themeColor="text2" w:themeShade="80"/>
          <w:lang w:eastAsia="zh-CN"/>
        </w:rPr>
        <w:br w:type="page"/>
      </w:r>
      <w:bookmarkStart w:id="2" w:name="start_tag"/>
    </w:p>
    <w:p w14:paraId="3CBA25ED" w14:textId="1406ED06" w:rsidR="00742EE3" w:rsidRPr="009B1FB9" w:rsidRDefault="00742EE3" w:rsidP="00742EE3">
      <w:pPr>
        <w:pStyle w:val="1"/>
        <w:spacing w:before="326"/>
        <w:rPr>
          <w:lang w:eastAsia="zh-CN"/>
        </w:rPr>
      </w:pPr>
      <w:bookmarkStart w:id="3" w:name="_Toc518314372"/>
      <w:bookmarkStart w:id="4" w:name="_Toc34803846"/>
      <w:bookmarkStart w:id="5" w:name="_Toc65784015"/>
      <w:bookmarkEnd w:id="1"/>
      <w:bookmarkEnd w:id="2"/>
      <w:r>
        <w:rPr>
          <w:rFonts w:hint="eastAsia"/>
          <w:lang w:eastAsia="zh-CN"/>
        </w:rPr>
        <w:lastRenderedPageBreak/>
        <w:t>一、</w:t>
      </w:r>
      <w:r w:rsidR="00222605">
        <w:rPr>
          <w:rFonts w:hint="eastAsia"/>
          <w:lang w:eastAsia="zh-CN"/>
        </w:rPr>
        <w:t>基金业绩评价基准</w:t>
      </w:r>
      <w:bookmarkEnd w:id="3"/>
      <w:bookmarkEnd w:id="4"/>
      <w:r w:rsidR="00222605">
        <w:rPr>
          <w:rFonts w:hint="eastAsia"/>
          <w:lang w:eastAsia="zh-CN"/>
        </w:rPr>
        <w:t>的定义</w:t>
      </w:r>
      <w:bookmarkEnd w:id="5"/>
    </w:p>
    <w:p w14:paraId="04B73594" w14:textId="745530B5" w:rsidR="004C4B89" w:rsidRDefault="00430157" w:rsidP="00430157">
      <w:pPr>
        <w:pStyle w:val="ae"/>
        <w:spacing w:beforeLines="50" w:before="163" w:afterLines="50" w:after="163" w:line="252" w:lineRule="auto"/>
        <w:ind w:left="3017" w:firstLine="583"/>
        <w:jc w:val="both"/>
        <w:rPr>
          <w:lang w:eastAsia="zh-CN"/>
        </w:rPr>
      </w:pPr>
      <w:r>
        <w:rPr>
          <w:rFonts w:hint="eastAsia"/>
          <w:lang w:eastAsia="zh-CN"/>
        </w:rPr>
        <w:t>业界中认为的基金</w:t>
      </w:r>
      <w:r w:rsidR="00222605">
        <w:rPr>
          <w:rFonts w:hint="eastAsia"/>
          <w:lang w:eastAsia="zh-CN"/>
        </w:rPr>
        <w:t>业绩比较基准</w:t>
      </w:r>
      <w:r>
        <w:rPr>
          <w:rFonts w:hint="eastAsia"/>
          <w:lang w:eastAsia="zh-CN"/>
        </w:rPr>
        <w:t>即金融学学界中认为的投资组合的预期收益率</w:t>
      </w:r>
      <w:r w:rsidR="004C4B89">
        <w:rPr>
          <w:rFonts w:hint="eastAsia"/>
          <w:lang w:eastAsia="zh-CN"/>
        </w:rPr>
        <w:t>。但是在实务中，</w:t>
      </w:r>
      <w:r w:rsidR="00222605">
        <w:rPr>
          <w:rFonts w:hint="eastAsia"/>
          <w:lang w:eastAsia="zh-CN"/>
        </w:rPr>
        <w:t>由于监管要求不得使用预期收益率</w:t>
      </w:r>
      <w:r w:rsidR="004C4B89">
        <w:rPr>
          <w:rFonts w:hint="eastAsia"/>
          <w:lang w:eastAsia="zh-CN"/>
        </w:rPr>
        <w:t>等字眼以免误导投资者，基金管理人一般遵循</w:t>
      </w:r>
      <w:r w:rsidR="00222605">
        <w:rPr>
          <w:rFonts w:hint="eastAsia"/>
          <w:lang w:eastAsia="zh-CN"/>
        </w:rPr>
        <w:t>“实质重于形式”的</w:t>
      </w:r>
      <w:r w:rsidR="004C4B89">
        <w:rPr>
          <w:rFonts w:hint="eastAsia"/>
          <w:lang w:eastAsia="zh-CN"/>
        </w:rPr>
        <w:t>原则</w:t>
      </w:r>
      <w:r w:rsidR="00222605">
        <w:rPr>
          <w:rFonts w:hint="eastAsia"/>
          <w:lang w:eastAsia="zh-CN"/>
        </w:rPr>
        <w:t>，</w:t>
      </w:r>
      <w:r w:rsidR="004C4B89">
        <w:rPr>
          <w:rFonts w:hint="eastAsia"/>
          <w:lang w:eastAsia="zh-CN"/>
        </w:rPr>
        <w:t>即</w:t>
      </w:r>
      <w:r w:rsidR="00222605">
        <w:rPr>
          <w:rFonts w:hint="eastAsia"/>
          <w:lang w:eastAsia="zh-CN"/>
        </w:rPr>
        <w:t>约定“业绩比较基准”或“业绩报酬计提标准”，但</w:t>
      </w:r>
      <w:r w:rsidR="004C4B89">
        <w:rPr>
          <w:rFonts w:hint="eastAsia"/>
          <w:lang w:eastAsia="zh-CN"/>
        </w:rPr>
        <w:t>这些</w:t>
      </w:r>
      <w:r w:rsidR="00222605">
        <w:rPr>
          <w:rFonts w:hint="eastAsia"/>
          <w:lang w:eastAsia="zh-CN"/>
        </w:rPr>
        <w:t>概念的使用与</w:t>
      </w:r>
      <w:r w:rsidR="004C4B89">
        <w:rPr>
          <w:rFonts w:hint="eastAsia"/>
          <w:lang w:eastAsia="zh-CN"/>
        </w:rPr>
        <w:t>业绩评价基准的</w:t>
      </w:r>
      <w:r w:rsidR="00222605">
        <w:rPr>
          <w:rFonts w:hint="eastAsia"/>
          <w:lang w:eastAsia="zh-CN"/>
        </w:rPr>
        <w:t>内涵</w:t>
      </w:r>
      <w:r w:rsidR="004C4B89">
        <w:rPr>
          <w:rFonts w:hint="eastAsia"/>
          <w:lang w:eastAsia="zh-CN"/>
        </w:rPr>
        <w:t>是保持</w:t>
      </w:r>
      <w:r w:rsidR="00222605">
        <w:rPr>
          <w:rFonts w:hint="eastAsia"/>
          <w:lang w:eastAsia="zh-CN"/>
        </w:rPr>
        <w:t>一致</w:t>
      </w:r>
      <w:r w:rsidR="004C4B89">
        <w:rPr>
          <w:rFonts w:hint="eastAsia"/>
          <w:lang w:eastAsia="zh-CN"/>
        </w:rPr>
        <w:t>的</w:t>
      </w:r>
      <w:r w:rsidR="00222605">
        <w:rPr>
          <w:rFonts w:hint="eastAsia"/>
          <w:lang w:eastAsia="zh-CN"/>
        </w:rPr>
        <w:t>。</w:t>
      </w:r>
    </w:p>
    <w:p w14:paraId="4EE1B90D" w14:textId="77777777" w:rsidR="004C4B89" w:rsidRDefault="004C4B89" w:rsidP="00430157">
      <w:pPr>
        <w:pStyle w:val="ae"/>
        <w:spacing w:beforeLines="50" w:before="163" w:afterLines="50" w:after="163" w:line="252" w:lineRule="auto"/>
        <w:ind w:left="3017" w:firstLine="583"/>
        <w:jc w:val="both"/>
        <w:rPr>
          <w:lang w:eastAsia="zh-CN"/>
        </w:rPr>
      </w:pPr>
      <w:r>
        <w:rPr>
          <w:rFonts w:hint="eastAsia"/>
          <w:lang w:eastAsia="zh-CN"/>
        </w:rPr>
        <w:t>业绩比较基准</w:t>
      </w:r>
      <w:r>
        <w:rPr>
          <w:rFonts w:hint="eastAsia"/>
          <w:lang w:eastAsia="zh-CN"/>
        </w:rPr>
        <w:t>的含义可以从以下三个方面进行理解。</w:t>
      </w:r>
    </w:p>
    <w:p w14:paraId="033A8219" w14:textId="12A00E72" w:rsidR="004C4B89" w:rsidRDefault="004C4B89" w:rsidP="00430157">
      <w:pPr>
        <w:pStyle w:val="ae"/>
        <w:spacing w:beforeLines="50" w:before="163" w:afterLines="50" w:after="163" w:line="252" w:lineRule="auto"/>
        <w:ind w:left="3017" w:firstLine="583"/>
        <w:jc w:val="both"/>
        <w:rPr>
          <w:rFonts w:hint="eastAsia"/>
          <w:lang w:eastAsia="zh-CN"/>
        </w:rPr>
      </w:pPr>
      <w:r>
        <w:rPr>
          <w:rFonts w:hint="eastAsia"/>
          <w:lang w:eastAsia="zh-CN"/>
        </w:rPr>
        <w:t>首先，基金的业绩比较基准意味着投资组合回报情况的最基础要求，或者说是</w:t>
      </w:r>
      <w:r>
        <w:rPr>
          <w:rFonts w:hint="eastAsia"/>
          <w:lang w:eastAsia="zh-CN"/>
        </w:rPr>
        <w:t>“及格线”</w:t>
      </w:r>
      <w:r>
        <w:rPr>
          <w:rFonts w:hint="eastAsia"/>
          <w:lang w:eastAsia="zh-CN"/>
        </w:rPr>
        <w:t>。</w:t>
      </w:r>
      <w:r>
        <w:rPr>
          <w:rFonts w:hint="eastAsia"/>
          <w:lang w:eastAsia="zh-CN"/>
        </w:rPr>
        <w:t>不同基金的业绩比较基准差异相对较大。对于</w:t>
      </w:r>
      <w:r>
        <w:rPr>
          <w:rFonts w:hint="eastAsia"/>
          <w:lang w:eastAsia="zh-CN"/>
        </w:rPr>
        <w:t>主动投资</w:t>
      </w:r>
      <w:r>
        <w:rPr>
          <w:rFonts w:hint="eastAsia"/>
          <w:lang w:eastAsia="zh-CN"/>
        </w:rPr>
        <w:t>基金</w:t>
      </w:r>
      <w:r>
        <w:rPr>
          <w:rFonts w:hint="eastAsia"/>
          <w:lang w:eastAsia="zh-CN"/>
        </w:rPr>
        <w:t>（</w:t>
      </w:r>
      <w:r>
        <w:rPr>
          <w:rFonts w:hint="eastAsia"/>
          <w:lang w:eastAsia="zh-CN"/>
        </w:rPr>
        <w:t>Actively</w:t>
      </w:r>
      <w:r>
        <w:rPr>
          <w:lang w:eastAsia="zh-CN"/>
        </w:rPr>
        <w:t xml:space="preserve"> </w:t>
      </w:r>
      <w:r>
        <w:rPr>
          <w:rFonts w:hint="eastAsia"/>
          <w:lang w:eastAsia="zh-CN"/>
        </w:rPr>
        <w:t>investment</w:t>
      </w:r>
      <w:r>
        <w:rPr>
          <w:rFonts w:hint="eastAsia"/>
          <w:lang w:eastAsia="zh-CN"/>
        </w:rPr>
        <w:t>）</w:t>
      </w:r>
      <w:r>
        <w:rPr>
          <w:rFonts w:hint="eastAsia"/>
          <w:lang w:eastAsia="zh-CN"/>
        </w:rPr>
        <w:t>，我们可以通过基金业绩和业绩比较基准之间的</w:t>
      </w:r>
      <w:r>
        <w:rPr>
          <w:rFonts w:hint="eastAsia"/>
          <w:lang w:eastAsia="zh-CN"/>
        </w:rPr>
        <w:t>存在的超额收益的大小和波动性</w:t>
      </w:r>
      <w:r>
        <w:rPr>
          <w:rFonts w:hint="eastAsia"/>
          <w:lang w:eastAsia="zh-CN"/>
        </w:rPr>
        <w:t>来判断一个基金经理的主动管理能力。</w:t>
      </w:r>
    </w:p>
    <w:p w14:paraId="20A4DCA9" w14:textId="49F9F7CE" w:rsidR="00222605" w:rsidRDefault="004C4B89" w:rsidP="00430157">
      <w:pPr>
        <w:pStyle w:val="ae"/>
        <w:spacing w:beforeLines="50" w:before="163" w:afterLines="50" w:after="163" w:line="252" w:lineRule="auto"/>
        <w:ind w:left="3017" w:firstLine="583"/>
        <w:jc w:val="both"/>
        <w:rPr>
          <w:lang w:eastAsia="zh-CN"/>
        </w:rPr>
      </w:pPr>
      <w:r>
        <w:rPr>
          <w:rFonts w:hint="eastAsia"/>
          <w:lang w:eastAsia="zh-CN"/>
        </w:rPr>
        <w:t>其次，基金的业绩比较基准的构成代表了基金的基本投资风格。</w:t>
      </w:r>
      <w:r w:rsidR="00222605">
        <w:rPr>
          <w:rFonts w:hint="eastAsia"/>
          <w:lang w:eastAsia="zh-CN"/>
        </w:rPr>
        <w:t>市场上的业绩比较基准主要有单一数值型、区间数值型、基准利率或市场化利率上做加减和指数或指数组合。</w:t>
      </w:r>
      <w:r>
        <w:rPr>
          <w:rFonts w:hint="eastAsia"/>
          <w:lang w:eastAsia="zh-CN"/>
        </w:rPr>
        <w:t>对于单一组成部分构成基准的基金，其主要对标的是某一指数资产；对于由两个组成部分构成基准的基金，其基准的构成就代表了其在市场中性（</w:t>
      </w:r>
      <w:r>
        <w:rPr>
          <w:rFonts w:hint="eastAsia"/>
          <w:lang w:eastAsia="zh-CN"/>
        </w:rPr>
        <w:t>market</w:t>
      </w:r>
      <w:r>
        <w:rPr>
          <w:lang w:eastAsia="zh-CN"/>
        </w:rPr>
        <w:t xml:space="preserve"> neutralization</w:t>
      </w:r>
      <w:r>
        <w:rPr>
          <w:rFonts w:hint="eastAsia"/>
          <w:lang w:eastAsia="zh-CN"/>
        </w:rPr>
        <w:t>）环境下的战略型资产配置（</w:t>
      </w:r>
      <w:r>
        <w:rPr>
          <w:rFonts w:hint="eastAsia"/>
          <w:lang w:eastAsia="zh-CN"/>
        </w:rPr>
        <w:t>strategic</w:t>
      </w:r>
      <w:r>
        <w:rPr>
          <w:lang w:eastAsia="zh-CN"/>
        </w:rPr>
        <w:t xml:space="preserve"> </w:t>
      </w:r>
      <w:r>
        <w:rPr>
          <w:rFonts w:hint="eastAsia"/>
          <w:lang w:eastAsia="zh-CN"/>
        </w:rPr>
        <w:t>asset</w:t>
      </w:r>
      <w:r>
        <w:rPr>
          <w:lang w:eastAsia="zh-CN"/>
        </w:rPr>
        <w:t xml:space="preserve"> </w:t>
      </w:r>
      <w:r>
        <w:rPr>
          <w:rFonts w:hint="eastAsia"/>
          <w:lang w:eastAsia="zh-CN"/>
        </w:rPr>
        <w:t>allocation</w:t>
      </w:r>
      <w:r>
        <w:rPr>
          <w:rFonts w:hint="eastAsia"/>
          <w:lang w:eastAsia="zh-CN"/>
        </w:rPr>
        <w:t>）风格和相应的仓位水平。</w:t>
      </w:r>
      <w:r>
        <w:rPr>
          <w:rFonts w:hint="eastAsia"/>
          <w:lang w:eastAsia="zh-CN"/>
        </w:rPr>
        <w:t>比如，</w:t>
      </w:r>
      <w:r>
        <w:rPr>
          <w:lang w:eastAsia="zh-CN"/>
        </w:rPr>
        <w:t>A</w:t>
      </w:r>
      <w:r>
        <w:rPr>
          <w:rFonts w:hint="eastAsia"/>
          <w:lang w:eastAsia="zh-CN"/>
        </w:rPr>
        <w:t>基金的业绩比较基准为：</w:t>
      </w:r>
      <w:r>
        <w:rPr>
          <w:lang w:eastAsia="zh-CN"/>
        </w:rPr>
        <w:t>75%×</w:t>
      </w:r>
      <w:r>
        <w:rPr>
          <w:rFonts w:hint="eastAsia"/>
          <w:lang w:eastAsia="zh-CN"/>
        </w:rPr>
        <w:t>沪深</w:t>
      </w:r>
      <w:r>
        <w:rPr>
          <w:lang w:eastAsia="zh-CN"/>
        </w:rPr>
        <w:t>300</w:t>
      </w:r>
      <w:r>
        <w:rPr>
          <w:rFonts w:hint="eastAsia"/>
          <w:lang w:eastAsia="zh-CN"/>
        </w:rPr>
        <w:t>指数收益率</w:t>
      </w:r>
      <w:r>
        <w:rPr>
          <w:lang w:eastAsia="zh-CN"/>
        </w:rPr>
        <w:t>+25%×</w:t>
      </w:r>
      <w:r>
        <w:rPr>
          <w:rFonts w:hint="eastAsia"/>
          <w:lang w:eastAsia="zh-CN"/>
        </w:rPr>
        <w:t>中证全债指数收益率，</w:t>
      </w:r>
      <w:r>
        <w:rPr>
          <w:lang w:eastAsia="zh-CN"/>
        </w:rPr>
        <w:t>B</w:t>
      </w:r>
      <w:r>
        <w:rPr>
          <w:rFonts w:hint="eastAsia"/>
          <w:lang w:eastAsia="zh-CN"/>
        </w:rPr>
        <w:t>基金的业绩比较基准为：沪深</w:t>
      </w:r>
      <w:r>
        <w:rPr>
          <w:lang w:eastAsia="zh-CN"/>
        </w:rPr>
        <w:t>300</w:t>
      </w:r>
      <w:r>
        <w:rPr>
          <w:rFonts w:hint="eastAsia"/>
          <w:lang w:eastAsia="zh-CN"/>
        </w:rPr>
        <w:t>指数收益率×</w:t>
      </w:r>
      <w:r>
        <w:rPr>
          <w:lang w:eastAsia="zh-CN"/>
        </w:rPr>
        <w:t>20%+</w:t>
      </w:r>
      <w:r>
        <w:rPr>
          <w:rFonts w:hint="eastAsia"/>
          <w:lang w:eastAsia="zh-CN"/>
        </w:rPr>
        <w:t>中债总全价指数收益率×</w:t>
      </w:r>
      <w:r>
        <w:rPr>
          <w:lang w:eastAsia="zh-CN"/>
        </w:rPr>
        <w:t>80%</w:t>
      </w:r>
      <w:r>
        <w:rPr>
          <w:rFonts w:hint="eastAsia"/>
          <w:lang w:eastAsia="zh-CN"/>
        </w:rPr>
        <w:t>，前者为偏股混合型基金，后者为偏债混合型基金，虽然所选用的股指基准相同，但是总得来说</w:t>
      </w:r>
      <w:r>
        <w:rPr>
          <w:lang w:eastAsia="zh-CN"/>
        </w:rPr>
        <w:t>B</w:t>
      </w:r>
      <w:r>
        <w:rPr>
          <w:rFonts w:hint="eastAsia"/>
          <w:lang w:eastAsia="zh-CN"/>
        </w:rPr>
        <w:t>基金的基准股票仓位为</w:t>
      </w:r>
      <w:r>
        <w:rPr>
          <w:lang w:eastAsia="zh-CN"/>
        </w:rPr>
        <w:t>20%</w:t>
      </w:r>
      <w:r>
        <w:rPr>
          <w:rFonts w:hint="eastAsia"/>
          <w:lang w:eastAsia="zh-CN"/>
        </w:rPr>
        <w:t>，而</w:t>
      </w:r>
      <w:r>
        <w:rPr>
          <w:lang w:eastAsia="zh-CN"/>
        </w:rPr>
        <w:t>A</w:t>
      </w:r>
      <w:r>
        <w:rPr>
          <w:rFonts w:hint="eastAsia"/>
          <w:lang w:eastAsia="zh-CN"/>
        </w:rPr>
        <w:t>基金为</w:t>
      </w:r>
      <w:r>
        <w:rPr>
          <w:lang w:eastAsia="zh-CN"/>
        </w:rPr>
        <w:t>75%</w:t>
      </w:r>
      <w:r>
        <w:rPr>
          <w:rFonts w:hint="eastAsia"/>
          <w:lang w:eastAsia="zh-CN"/>
        </w:rPr>
        <w:t>。</w:t>
      </w:r>
    </w:p>
    <w:p w14:paraId="5348C170" w14:textId="36C58CD4" w:rsidR="00742EE3" w:rsidRDefault="00222605" w:rsidP="00222605">
      <w:pPr>
        <w:pStyle w:val="ae"/>
        <w:spacing w:beforeLines="50" w:before="163" w:afterLines="50" w:after="163" w:line="252" w:lineRule="auto"/>
        <w:ind w:left="3017"/>
        <w:jc w:val="both"/>
        <w:rPr>
          <w:lang w:eastAsia="zh-CN"/>
        </w:rPr>
      </w:pPr>
      <w:r>
        <w:rPr>
          <w:lang w:eastAsia="zh-CN"/>
        </w:rPr>
        <w:tab/>
      </w:r>
      <w:r w:rsidR="004C4B89">
        <w:rPr>
          <w:rFonts w:hint="eastAsia"/>
          <w:lang w:eastAsia="zh-CN"/>
        </w:rPr>
        <w:t>最后，基金的业绩</w:t>
      </w:r>
      <w:r>
        <w:rPr>
          <w:rFonts w:hint="eastAsia"/>
          <w:lang w:eastAsia="zh-CN"/>
        </w:rPr>
        <w:t>比较基准</w:t>
      </w:r>
      <w:r w:rsidR="004C4B89">
        <w:rPr>
          <w:rFonts w:hint="eastAsia"/>
          <w:lang w:eastAsia="zh-CN"/>
        </w:rPr>
        <w:t>还反映了基金的风险管理能力或其风险等级。从指数的选择上看，我们可以从业绩比较基准弄清基金与相应的系统性风险的关系，并且从这种理论上可以维持的系统性风险的关系来客观的评价基金的管理团队能力的高低。</w:t>
      </w:r>
    </w:p>
    <w:p w14:paraId="10A47F06" w14:textId="1F2C7A33" w:rsidR="009A63B1" w:rsidRDefault="009A63B1" w:rsidP="009A63B1">
      <w:pPr>
        <w:pStyle w:val="1"/>
        <w:spacing w:before="326"/>
        <w:rPr>
          <w:lang w:eastAsia="zh-CN"/>
        </w:rPr>
      </w:pPr>
      <w:bookmarkStart w:id="6" w:name="_Toc65784016"/>
      <w:r>
        <w:rPr>
          <w:rFonts w:hint="eastAsia"/>
          <w:lang w:eastAsia="zh-CN"/>
        </w:rPr>
        <w:t>二、</w:t>
      </w:r>
      <w:r w:rsidRPr="00222605">
        <w:rPr>
          <w:rFonts w:hint="eastAsia"/>
          <w:lang w:eastAsia="zh-CN"/>
        </w:rPr>
        <w:t>基准组合的适用性</w:t>
      </w:r>
      <w:r>
        <w:rPr>
          <w:rFonts w:hint="eastAsia"/>
          <w:lang w:eastAsia="zh-CN"/>
        </w:rPr>
        <w:t>评价</w:t>
      </w:r>
      <w:bookmarkEnd w:id="6"/>
    </w:p>
    <w:p w14:paraId="11A9B038" w14:textId="77777777" w:rsidR="009A63B1" w:rsidRDefault="009A63B1" w:rsidP="009A63B1">
      <w:pPr>
        <w:pStyle w:val="2"/>
        <w:spacing w:before="326"/>
        <w:ind w:leftChars="0"/>
        <w:rPr>
          <w:lang w:eastAsia="zh-CN"/>
        </w:rPr>
      </w:pPr>
      <w:bookmarkStart w:id="7" w:name="_Toc65784017"/>
      <w:r>
        <w:rPr>
          <w:rFonts w:hint="eastAsia"/>
          <w:lang w:eastAsia="zh-CN"/>
        </w:rPr>
        <w:t>（一）业绩评价基准的特征</w:t>
      </w:r>
      <w:bookmarkEnd w:id="7"/>
    </w:p>
    <w:p w14:paraId="35DA202C" w14:textId="77777777" w:rsidR="009A63B1" w:rsidRPr="00D54BE2" w:rsidRDefault="009A63B1" w:rsidP="009A63B1">
      <w:pPr>
        <w:autoSpaceDE w:val="0"/>
        <w:autoSpaceDN w:val="0"/>
        <w:adjustRightInd w:val="0"/>
        <w:spacing w:beforeLines="50" w:before="163" w:after="100"/>
        <w:ind w:leftChars="1257" w:left="3017" w:firstLineChars="1" w:firstLine="2"/>
        <w:jc w:val="both"/>
        <w:rPr>
          <w:rFonts w:ascii="Arial" w:eastAsia="楷体_GB2312" w:hAnsi="Arial"/>
          <w:kern w:val="0"/>
          <w:sz w:val="21"/>
          <w:szCs w:val="21"/>
          <w:lang w:eastAsia="zh-CN"/>
        </w:rPr>
      </w:pPr>
      <w:r w:rsidRPr="00D54BE2">
        <w:rPr>
          <w:rFonts w:ascii="Arial" w:eastAsia="楷体_GB2312" w:hAnsi="Arial" w:hint="eastAsia"/>
          <w:kern w:val="0"/>
          <w:sz w:val="21"/>
          <w:szCs w:val="21"/>
          <w:lang w:eastAsia="zh-CN"/>
        </w:rPr>
        <w:t>有效的业绩比较基准应该具备以下特征</w:t>
      </w:r>
      <w:r>
        <w:rPr>
          <w:rStyle w:val="aff7"/>
          <w:rFonts w:ascii="Arial" w:eastAsia="楷体_GB2312" w:hAnsi="Arial"/>
          <w:kern w:val="0"/>
          <w:sz w:val="21"/>
          <w:szCs w:val="21"/>
          <w:lang w:eastAsia="zh-CN"/>
        </w:rPr>
        <w:footnoteReference w:id="1"/>
      </w:r>
      <w:r w:rsidRPr="00D54BE2">
        <w:rPr>
          <w:rFonts w:ascii="Arial" w:eastAsia="楷体_GB2312" w:hAnsi="Arial" w:hint="eastAsia"/>
          <w:kern w:val="0"/>
          <w:sz w:val="21"/>
          <w:szCs w:val="21"/>
          <w:lang w:eastAsia="zh-CN"/>
        </w:rPr>
        <w:t>：</w:t>
      </w:r>
    </w:p>
    <w:p w14:paraId="0C110AEF"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清晰。构成业绩比较基准的指数的成份证券是市场公认的，并且指数的在基准中的权重构成是清晰的。</w:t>
      </w:r>
    </w:p>
    <w:p w14:paraId="04DD293A"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可投资。可以越过主动管理直接使用指数化工具复制某类资产业绩，即直接使用指数化工具就能获得整个业绩比较基准的表现。</w:t>
      </w:r>
    </w:p>
    <w:p w14:paraId="3383449A"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可衡量。给定时间窗口，业绩比较基准的业绩表现可以量化成数量指标。</w:t>
      </w:r>
    </w:p>
    <w:p w14:paraId="4DEB9A11"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恰当。业绩比较基准能较好的反映投资策略的表现以及组合经理的投资风格。</w:t>
      </w:r>
    </w:p>
    <w:p w14:paraId="62825B03"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lastRenderedPageBreak/>
        <w:t>反映当前投资观点。组合经理对于构成业绩比较基准的基础证券以及因子暴露（</w:t>
      </w:r>
      <w:r w:rsidRPr="00C25E5D">
        <w:rPr>
          <w:rFonts w:ascii="Arial" w:eastAsia="楷体_GB2312" w:hAnsi="Arial"/>
          <w:kern w:val="0"/>
          <w:szCs w:val="21"/>
        </w:rPr>
        <w:t>factor exposures</w:t>
      </w:r>
      <w:r w:rsidRPr="00C25E5D">
        <w:rPr>
          <w:rFonts w:ascii="Arial" w:eastAsia="楷体_GB2312" w:hAnsi="Arial" w:hint="eastAsia"/>
          <w:kern w:val="0"/>
          <w:szCs w:val="21"/>
        </w:rPr>
        <w:t>）有及时全面的了解。</w:t>
      </w:r>
    </w:p>
    <w:p w14:paraId="3DEA5DF4" w14:textId="77777777" w:rsidR="009A63B1" w:rsidRPr="00C25E5D" w:rsidRDefault="009A63B1" w:rsidP="009A63B1">
      <w:pPr>
        <w:pStyle w:val="af6"/>
        <w:numPr>
          <w:ilvl w:val="0"/>
          <w:numId w:val="8"/>
        </w:numPr>
        <w:autoSpaceDE w:val="0"/>
        <w:autoSpaceDN w:val="0"/>
        <w:adjustRightInd w:val="0"/>
        <w:spacing w:after="100"/>
        <w:ind w:firstLineChars="0"/>
        <w:rPr>
          <w:rFonts w:ascii="Arial" w:eastAsia="楷体_GB2312" w:hAnsi="Arial"/>
          <w:kern w:val="0"/>
          <w:szCs w:val="21"/>
        </w:rPr>
      </w:pPr>
      <w:r w:rsidRPr="00C25E5D">
        <w:rPr>
          <w:rFonts w:ascii="Arial" w:eastAsia="楷体_GB2312" w:hAnsi="Arial" w:hint="eastAsia"/>
          <w:kern w:val="0"/>
          <w:szCs w:val="21"/>
        </w:rPr>
        <w:t>提前制定。业绩比较基准的制定和公布要先于业绩评估。</w:t>
      </w:r>
    </w:p>
    <w:p w14:paraId="632327A4" w14:textId="77777777" w:rsidR="009A63B1" w:rsidRPr="00176693" w:rsidRDefault="009A63B1" w:rsidP="009A63B1">
      <w:pPr>
        <w:autoSpaceDE w:val="0"/>
        <w:autoSpaceDN w:val="0"/>
        <w:adjustRightInd w:val="0"/>
        <w:spacing w:after="100"/>
        <w:ind w:leftChars="1257" w:left="3017" w:firstLineChars="1" w:firstLine="2"/>
        <w:jc w:val="both"/>
        <w:rPr>
          <w:rFonts w:eastAsiaTheme="minorEastAsia"/>
          <w:lang w:eastAsia="zh-CN"/>
        </w:rPr>
      </w:pPr>
    </w:p>
    <w:p w14:paraId="56B49BCA" w14:textId="77777777" w:rsidR="009A63B1" w:rsidRPr="00176693" w:rsidRDefault="009A63B1" w:rsidP="009A63B1">
      <w:pPr>
        <w:pStyle w:val="2"/>
        <w:spacing w:before="326"/>
        <w:ind w:leftChars="0"/>
        <w:rPr>
          <w:rFonts w:eastAsiaTheme="minorEastAsia"/>
          <w:lang w:eastAsia="zh-CN"/>
        </w:rPr>
      </w:pPr>
      <w:bookmarkStart w:id="8" w:name="_Toc65784018"/>
      <w:r>
        <w:rPr>
          <w:rFonts w:hint="eastAsia"/>
          <w:lang w:eastAsia="zh-CN"/>
        </w:rPr>
        <w:t>（二）正交属性检测基金业绩评价基准的适用性</w:t>
      </w:r>
      <w:bookmarkEnd w:id="8"/>
    </w:p>
    <w:p w14:paraId="69C96CB9" w14:textId="77777777" w:rsidR="009A63B1" w:rsidRDefault="009A63B1" w:rsidP="009A63B1">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r w:rsidRPr="00222605">
        <w:rPr>
          <w:rFonts w:ascii="Arial" w:eastAsia="楷体_GB2312" w:hAnsi="Arial"/>
          <w:kern w:val="0"/>
          <w:sz w:val="21"/>
          <w:szCs w:val="21"/>
          <w:lang w:eastAsia="zh-CN"/>
        </w:rPr>
        <w:t>1995</w:t>
      </w:r>
      <w:r w:rsidRPr="00222605">
        <w:rPr>
          <w:rFonts w:ascii="Arial" w:eastAsia="楷体_GB2312" w:hAnsi="Arial" w:hint="eastAsia"/>
          <w:kern w:val="0"/>
          <w:sz w:val="21"/>
          <w:szCs w:val="21"/>
          <w:lang w:eastAsia="zh-CN"/>
        </w:rPr>
        <w:t>年，</w:t>
      </w:r>
      <w:r w:rsidRPr="00222605">
        <w:rPr>
          <w:rFonts w:ascii="Arial" w:eastAsia="楷体_GB2312" w:hAnsi="Arial"/>
          <w:kern w:val="0"/>
          <w:sz w:val="21"/>
          <w:szCs w:val="21"/>
          <w:lang w:eastAsia="zh-CN"/>
        </w:rPr>
        <w:t>Tierney</w:t>
      </w:r>
      <w:r w:rsidRPr="00222605">
        <w:rPr>
          <w:rFonts w:ascii="Arial" w:eastAsia="楷体_GB2312" w:hAnsi="Arial" w:hint="eastAsia"/>
          <w:kern w:val="0"/>
          <w:sz w:val="21"/>
          <w:szCs w:val="21"/>
          <w:lang w:eastAsia="zh-CN"/>
        </w:rPr>
        <w:t>和</w:t>
      </w:r>
      <w:r w:rsidRPr="00222605">
        <w:rPr>
          <w:rFonts w:ascii="Arial" w:eastAsia="楷体_GB2312" w:hAnsi="Arial"/>
          <w:kern w:val="0"/>
          <w:sz w:val="21"/>
          <w:szCs w:val="21"/>
          <w:lang w:eastAsia="zh-CN"/>
        </w:rPr>
        <w:t>Bailey</w:t>
      </w:r>
      <w:r w:rsidRPr="00222605">
        <w:rPr>
          <w:rFonts w:ascii="Arial" w:eastAsia="楷体_GB2312" w:hAnsi="Arial" w:hint="eastAsia"/>
          <w:kern w:val="0"/>
          <w:sz w:val="21"/>
          <w:szCs w:val="21"/>
          <w:lang w:eastAsia="zh-CN"/>
        </w:rPr>
        <w:t>在原有研究的基础上，在“</w:t>
      </w:r>
      <w:r w:rsidRPr="00222605">
        <w:rPr>
          <w:rFonts w:ascii="Arial" w:eastAsia="楷体_GB2312" w:hAnsi="Arial"/>
          <w:kern w:val="0"/>
          <w:sz w:val="21"/>
          <w:szCs w:val="21"/>
          <w:lang w:eastAsia="zh-CN"/>
        </w:rPr>
        <w:t>Benchmark Orthogonally Properties”</w:t>
      </w:r>
      <w:r>
        <w:rPr>
          <w:rStyle w:val="aff7"/>
          <w:rFonts w:ascii="Arial" w:eastAsia="楷体_GB2312" w:hAnsi="Arial"/>
          <w:kern w:val="0"/>
          <w:sz w:val="21"/>
          <w:szCs w:val="21"/>
          <w:lang w:eastAsia="zh-CN"/>
        </w:rPr>
        <w:footnoteReference w:id="2"/>
      </w:r>
      <w:r w:rsidRPr="00222605">
        <w:rPr>
          <w:rFonts w:ascii="Arial" w:eastAsia="楷体_GB2312" w:hAnsi="Arial" w:hint="eastAsia"/>
          <w:kern w:val="0"/>
          <w:sz w:val="21"/>
          <w:szCs w:val="21"/>
          <w:lang w:eastAsia="zh-CN"/>
        </w:rPr>
        <w:t>一文中提出可应用正交属性来检测基准组合的适用性，进一步量化了适用性的判断方式。</w:t>
      </w:r>
      <w:r>
        <w:rPr>
          <w:rFonts w:ascii="Arial" w:eastAsia="楷体_GB2312" w:hAnsi="Arial" w:hint="eastAsia"/>
          <w:kern w:val="0"/>
          <w:sz w:val="21"/>
          <w:szCs w:val="21"/>
          <w:lang w:eastAsia="zh-CN"/>
        </w:rPr>
        <w:t>即</w:t>
      </w:r>
      <w:r w:rsidRPr="00222605">
        <w:rPr>
          <w:rFonts w:ascii="Arial" w:eastAsia="楷体_GB2312" w:hAnsi="Arial" w:hint="eastAsia"/>
          <w:kern w:val="0"/>
          <w:sz w:val="21"/>
          <w:szCs w:val="21"/>
          <w:lang w:eastAsia="zh-CN"/>
        </w:rPr>
        <w:t>采用正交属性判断方式探讨我国主动股基业绩比较基准适用性，即基金组合对基准组合的敏感系数β是否更为靠近</w:t>
      </w:r>
      <w:r w:rsidRPr="00222605">
        <w:rPr>
          <w:rFonts w:ascii="Arial" w:eastAsia="楷体_GB2312" w:hAnsi="Arial"/>
          <w:kern w:val="0"/>
          <w:sz w:val="21"/>
          <w:szCs w:val="21"/>
          <w:lang w:eastAsia="zh-CN"/>
        </w:rPr>
        <w:t>1</w:t>
      </w:r>
      <w:r w:rsidRPr="00222605">
        <w:rPr>
          <w:rFonts w:ascii="Arial" w:eastAsia="楷体_GB2312" w:hAnsi="Arial" w:hint="eastAsia"/>
          <w:kern w:val="0"/>
          <w:sz w:val="21"/>
          <w:szCs w:val="21"/>
          <w:lang w:eastAsia="zh-CN"/>
        </w:rPr>
        <w:t>，如基准组合能够正确反映基金经理的投资风格，且能对基金组合业绩做出客观、正确的评价，则该系数应等于</w:t>
      </w:r>
      <w:r w:rsidRPr="00222605">
        <w:rPr>
          <w:rFonts w:ascii="Arial" w:eastAsia="楷体_GB2312" w:hAnsi="Arial"/>
          <w:kern w:val="0"/>
          <w:sz w:val="21"/>
          <w:szCs w:val="21"/>
          <w:lang w:eastAsia="zh-CN"/>
        </w:rPr>
        <w:t>1</w:t>
      </w:r>
      <w:r>
        <w:rPr>
          <w:rFonts w:ascii="Arial" w:eastAsia="楷体_GB2312" w:hAnsi="Arial" w:hint="eastAsia"/>
          <w:kern w:val="0"/>
          <w:sz w:val="21"/>
          <w:szCs w:val="21"/>
          <w:lang w:eastAsia="zh-CN"/>
        </w:rPr>
        <w:t>。</w:t>
      </w:r>
    </w:p>
    <w:p w14:paraId="6F5CD4F6" w14:textId="77777777" w:rsidR="009A63B1" w:rsidRDefault="009A63B1" w:rsidP="009A63B1">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r>
        <w:rPr>
          <w:rFonts w:ascii="Arial" w:eastAsia="楷体_GB2312" w:hAnsi="Arial"/>
          <w:kern w:val="0"/>
          <w:sz w:val="21"/>
          <w:szCs w:val="21"/>
          <w:lang w:eastAsia="zh-CN"/>
        </w:rPr>
        <w:tab/>
      </w:r>
      <w:r>
        <w:rPr>
          <w:rFonts w:ascii="Arial" w:eastAsia="楷体_GB2312" w:hAnsi="Arial" w:hint="eastAsia"/>
          <w:kern w:val="0"/>
          <w:sz w:val="21"/>
          <w:szCs w:val="21"/>
          <w:lang w:eastAsia="zh-CN"/>
        </w:rPr>
        <w:t>首先，假设投资组合</w:t>
      </w:r>
      <w:r>
        <w:rPr>
          <w:rFonts w:ascii="Arial" w:eastAsia="楷体_GB2312" w:hAnsi="Arial" w:hint="eastAsia"/>
          <w:kern w:val="0"/>
          <w:sz w:val="21"/>
          <w:szCs w:val="21"/>
          <w:lang w:eastAsia="zh-CN"/>
        </w:rPr>
        <w:t>P</w:t>
      </w:r>
      <w:r>
        <w:rPr>
          <w:rFonts w:ascii="Arial" w:eastAsia="楷体_GB2312" w:hAnsi="Arial" w:hint="eastAsia"/>
          <w:kern w:val="0"/>
          <w:sz w:val="21"/>
          <w:szCs w:val="21"/>
          <w:lang w:eastAsia="zh-CN"/>
        </w:rPr>
        <w:t>有一个合适的基准</w:t>
      </w:r>
      <w:r>
        <w:rPr>
          <w:rFonts w:ascii="Arial" w:eastAsia="楷体_GB2312" w:hAnsi="Arial" w:hint="eastAsia"/>
          <w:kern w:val="0"/>
          <w:sz w:val="21"/>
          <w:szCs w:val="21"/>
          <w:lang w:eastAsia="zh-CN"/>
        </w:rPr>
        <w:t>B</w:t>
      </w:r>
      <w:r>
        <w:rPr>
          <w:rFonts w:ascii="Arial" w:eastAsia="楷体_GB2312" w:hAnsi="Arial" w:hint="eastAsia"/>
          <w:kern w:val="0"/>
          <w:sz w:val="21"/>
          <w:szCs w:val="21"/>
          <w:lang w:eastAsia="zh-CN"/>
        </w:rPr>
        <w:t>。</w:t>
      </w:r>
    </w:p>
    <w:p w14:paraId="5762E6D0" w14:textId="12666D29" w:rsidR="009A63B1" w:rsidRDefault="009A63B1" w:rsidP="009A63B1">
      <w:pPr>
        <w:pStyle w:val="AMDisplayEquation"/>
        <w:spacing w:after="0"/>
      </w:pPr>
      <w:r>
        <w:tab/>
      </w:r>
      <w:r w:rsidRPr="001E5939">
        <w:rPr>
          <w:position w:val="-11"/>
        </w:rPr>
        <w:object w:dxaOrig="1595" w:dyaOrig="326" w14:anchorId="4880B6A7">
          <v:shape id="_x0000_i1025" type="#_x0000_t75" style="width:79.75pt;height:16.25pt" o:ole="">
            <v:imagedata r:id="rId35" o:title=""/>
          </v:shape>
          <o:OLEObject Type="Embed" ProgID="Equation.AxMath" ShapeID="_x0000_i1025" DrawAspect="Content" ObjectID="_1676403454" r:id="rId3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1</w:instrText>
        </w:r>
      </w:fldSimple>
      <w:r>
        <w:instrText>)</w:instrText>
      </w:r>
      <w:r>
        <w:fldChar w:fldCharType="end"/>
      </w:r>
    </w:p>
    <w:p w14:paraId="083DA6BD" w14:textId="77777777" w:rsidR="009A63B1" w:rsidRDefault="009A63B1" w:rsidP="009A63B1">
      <w:pPr>
        <w:pStyle w:val="AMDisplayEquation"/>
        <w:spacing w:after="0"/>
        <w:ind w:firstLineChars="301" w:firstLine="632"/>
      </w:pPr>
      <w:r>
        <w:rPr>
          <w:rFonts w:hint="eastAsia"/>
        </w:rPr>
        <w:t>将基金经理的主动投资组合定义为</w:t>
      </w:r>
      <w:r>
        <w:rPr>
          <w:rFonts w:hint="eastAsia"/>
        </w:rPr>
        <w:t>A</w:t>
      </w:r>
      <w:r>
        <w:rPr>
          <w:rFonts w:hint="eastAsia"/>
        </w:rPr>
        <w:t>，</w:t>
      </w:r>
      <w:r w:rsidRPr="00ED5405">
        <w:rPr>
          <w:position w:val="-10"/>
        </w:rPr>
        <w:object w:dxaOrig="1032" w:dyaOrig="314" w14:anchorId="0CEBF97E">
          <v:shape id="_x0000_i1026" type="#_x0000_t75" style="width:51.85pt;height:15.85pt" o:ole="">
            <v:imagedata r:id="rId37" o:title=""/>
          </v:shape>
          <o:OLEObject Type="Embed" ProgID="Equation.AxMath" ShapeID="_x0000_i1026" DrawAspect="Content" ObjectID="_1676403455" r:id="rId38"/>
        </w:object>
      </w:r>
      <w:r>
        <w:rPr>
          <w:rFonts w:hint="eastAsia"/>
        </w:rPr>
        <w:t>。所以投资组合可以拆为两个部分，基金经理的基准（代表其投资风格）和基金经理的主动管理决策（代表其投资技巧）。</w:t>
      </w:r>
      <w:r w:rsidRPr="000B67AB">
        <w:rPr>
          <w:rFonts w:hint="eastAsia"/>
        </w:rPr>
        <w:t>从长期看，投资组合和基准的</w:t>
      </w:r>
      <w:r w:rsidRPr="000B67AB">
        <w:rPr>
          <w:position w:val="-10"/>
        </w:rPr>
        <w:object w:dxaOrig="187" w:dyaOrig="314" w14:anchorId="53CEFB90">
          <v:shape id="_x0000_i1027" type="#_x0000_t75" style="width:9.7pt;height:15.85pt" o:ole="">
            <v:imagedata r:id="rId39" o:title=""/>
          </v:shape>
          <o:OLEObject Type="Embed" ProgID="Equation.AxMath" ShapeID="_x0000_i1027" DrawAspect="Content" ObjectID="_1676403456" r:id="rId40"/>
        </w:object>
      </w:r>
      <w:r>
        <w:rPr>
          <w:rFonts w:hint="eastAsia"/>
        </w:rPr>
        <w:t>为</w:t>
      </w:r>
      <w:r>
        <w:rPr>
          <w:rFonts w:hint="eastAsia"/>
        </w:rPr>
        <w:t>1</w:t>
      </w:r>
      <w:r>
        <w:rPr>
          <w:rFonts w:hint="eastAsia"/>
        </w:rPr>
        <w:t>，即</w:t>
      </w:r>
      <w:r w:rsidRPr="000B67AB">
        <w:rPr>
          <w:position w:val="-11"/>
        </w:rPr>
        <w:object w:dxaOrig="1092" w:dyaOrig="326" w14:anchorId="4695A445">
          <v:shape id="_x0000_i1028" type="#_x0000_t75" style="width:54.6pt;height:16.25pt" o:ole="">
            <v:imagedata r:id="rId41" o:title=""/>
          </v:shape>
          <o:OLEObject Type="Embed" ProgID="Equation.AxMath" ShapeID="_x0000_i1028" DrawAspect="Content" ObjectID="_1676403457" r:id="rId42"/>
        </w:object>
      </w:r>
      <w:r>
        <w:rPr>
          <w:rFonts w:hint="eastAsia"/>
        </w:rPr>
        <w:t>。可以推出：</w:t>
      </w:r>
    </w:p>
    <w:p w14:paraId="403246B9" w14:textId="7E0C07DA" w:rsidR="009A63B1" w:rsidRDefault="009A63B1" w:rsidP="009A63B1">
      <w:pPr>
        <w:autoSpaceDE w:val="0"/>
        <w:autoSpaceDN w:val="0"/>
        <w:adjustRightInd w:val="0"/>
        <w:spacing w:after="100"/>
        <w:ind w:leftChars="1257" w:left="3017" w:firstLineChars="1" w:firstLine="2"/>
        <w:jc w:val="both"/>
      </w:pPr>
      <w:r>
        <w:rPr>
          <w:rFonts w:eastAsiaTheme="minorEastAsia"/>
          <w:lang w:eastAsia="zh-CN"/>
        </w:rPr>
        <w:tab/>
      </w:r>
      <w:r>
        <w:rPr>
          <w:lang w:eastAsia="zh-CN"/>
        </w:rPr>
        <w:tab/>
      </w:r>
      <w:r w:rsidRPr="00CA1FF1">
        <w:rPr>
          <w:position w:val="-11"/>
        </w:rPr>
        <w:object w:dxaOrig="5164" w:dyaOrig="338" w14:anchorId="75CBC68D">
          <v:shape id="_x0000_i1029" type="#_x0000_t75" style="width:257.8pt;height:17.05pt" o:ole="">
            <v:imagedata r:id="rId43" o:title=""/>
          </v:shape>
          <o:OLEObject Type="Embed" ProgID="Equation.AxMath" ShapeID="_x0000_i1029" DrawAspect="Content" ObjectID="_1676403458" r:id="rId44"/>
        </w:object>
      </w:r>
      <w:r>
        <w:rPr>
          <w:lang w:eastAsia="zh-CN"/>
        </w:rPr>
        <w:tab/>
        <w:t xml:space="preserve">    </w:t>
      </w:r>
      <w:r>
        <w:fldChar w:fldCharType="begin"/>
      </w:r>
      <w:r>
        <w:rPr>
          <w:lang w:eastAsia="zh-CN"/>
        </w:rPr>
        <w:instrText xml:space="preserve"> MACROBUTTON AMMPlaceRM \* MERGEFORMAT </w:instrText>
      </w:r>
      <w:r>
        <w:fldChar w:fldCharType="begin"/>
      </w:r>
      <w:r>
        <w:rPr>
          <w:lang w:eastAsia="zh-CN"/>
        </w:rPr>
        <w:instrText xml:space="preserve"> SEQ AMEqn \h \* MERGEFORMAT </w:instrText>
      </w:r>
      <w:r>
        <w:fldChar w:fldCharType="end"/>
      </w:r>
      <w:r>
        <w:rPr>
          <w:lang w:eastAsia="zh-CN"/>
        </w:rPr>
        <w:instrText>(</w:instrText>
      </w:r>
      <w:r>
        <w:fldChar w:fldCharType="begin"/>
      </w:r>
      <w:r>
        <w:rPr>
          <w:lang w:eastAsia="zh-CN"/>
        </w:rPr>
        <w:instrText xml:space="preserve"> SEQ AMSec \c \* Arabic \* MERGEFORMAT </w:instrText>
      </w:r>
      <w:r>
        <w:fldChar w:fldCharType="separate"/>
      </w:r>
      <w:r w:rsidR="0010512F">
        <w:rPr>
          <w:noProof/>
          <w:lang w:eastAsia="zh-CN"/>
        </w:rPr>
        <w:instrText>1</w:instrText>
      </w:r>
      <w:r>
        <w:fldChar w:fldCharType="end"/>
      </w:r>
      <w:r>
        <w:rPr>
          <w:lang w:eastAsia="zh-CN"/>
        </w:rPr>
        <w:instrText>.</w:instrText>
      </w:r>
      <w:r>
        <w:fldChar w:fldCharType="begin"/>
      </w:r>
      <w:r>
        <w:rPr>
          <w:lang w:eastAsia="zh-CN"/>
        </w:rPr>
        <w:instrText xml:space="preserve"> SEQ AMEqn \c \* Arabic \* MERGEFORMAT </w:instrText>
      </w:r>
      <w:r>
        <w:fldChar w:fldCharType="separate"/>
      </w:r>
      <w:r w:rsidR="0010512F">
        <w:rPr>
          <w:noProof/>
          <w:lang w:eastAsia="zh-CN"/>
        </w:rPr>
        <w:instrText>2</w:instrText>
      </w:r>
      <w:r>
        <w:fldChar w:fldCharType="end"/>
      </w:r>
      <w:r>
        <w:rPr>
          <w:lang w:eastAsia="zh-CN"/>
        </w:rPr>
        <w:instrText>)</w:instrText>
      </w:r>
      <w:r>
        <w:fldChar w:fldCharType="end"/>
      </w:r>
    </w:p>
    <w:p w14:paraId="63D00B89" w14:textId="31C0C685" w:rsidR="009A63B1" w:rsidRDefault="009A63B1" w:rsidP="009A63B1">
      <w:pPr>
        <w:pStyle w:val="AMDisplayEquation"/>
      </w:pPr>
      <w:r>
        <w:tab/>
      </w:r>
      <w:r w:rsidRPr="00CA1FF1">
        <w:rPr>
          <w:position w:val="-54"/>
        </w:rPr>
        <w:object w:dxaOrig="3331" w:dyaOrig="1212" w14:anchorId="258D071C">
          <v:shape id="_x0000_i1030" type="#_x0000_t75" style="width:166.45pt;height:60.75pt" o:ole="">
            <v:imagedata r:id="rId45" o:title=""/>
          </v:shape>
          <o:OLEObject Type="Embed" ProgID="Equation.AxMath" ShapeID="_x0000_i1030" DrawAspect="Content" ObjectID="_1676403459" r:id="rId4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3</w:instrText>
        </w:r>
      </w:fldSimple>
      <w:r>
        <w:instrText>)</w:instrText>
      </w:r>
      <w:r>
        <w:fldChar w:fldCharType="end"/>
      </w:r>
    </w:p>
    <w:p w14:paraId="3F5768ED" w14:textId="77777777" w:rsidR="009A63B1" w:rsidRDefault="009A63B1" w:rsidP="009A63B1">
      <w:pPr>
        <w:pStyle w:val="AMDisplayEquation"/>
        <w:spacing w:after="0"/>
        <w:ind w:firstLineChars="301" w:firstLine="632"/>
      </w:pPr>
      <w:r w:rsidRPr="005044F1">
        <w:rPr>
          <w:rFonts w:hint="eastAsia"/>
        </w:rPr>
        <w:t>在实证研究中，</w:t>
      </w:r>
      <w:r>
        <w:rPr>
          <w:rFonts w:hint="eastAsia"/>
        </w:rPr>
        <w:t>如果投资组合的真实收益率与基准的收益率进行回归的回归系数在一定的显著性水平下为</w:t>
      </w:r>
      <w:r>
        <w:rPr>
          <w:rFonts w:hint="eastAsia"/>
        </w:rPr>
        <w:t>1</w:t>
      </w:r>
      <w:r>
        <w:rPr>
          <w:rFonts w:hint="eastAsia"/>
        </w:rPr>
        <w:t>，则这个基准是一个合适的基金业绩评价基准。</w:t>
      </w:r>
    </w:p>
    <w:p w14:paraId="176123FE" w14:textId="77777777" w:rsidR="009A63B1" w:rsidRDefault="009A63B1" w:rsidP="009A63B1">
      <w:pPr>
        <w:pStyle w:val="AMDisplayEquation"/>
        <w:spacing w:after="0"/>
        <w:ind w:firstLineChars="301" w:firstLine="632"/>
      </w:pPr>
      <w:r w:rsidRPr="00C674C8">
        <w:rPr>
          <w:rFonts w:hint="eastAsia"/>
        </w:rPr>
        <w:t>同时，</w:t>
      </w:r>
      <w:r>
        <w:rPr>
          <w:rFonts w:hint="eastAsia"/>
        </w:rPr>
        <w:t>基金</w:t>
      </w:r>
      <w:r w:rsidRPr="00C674C8">
        <w:rPr>
          <w:rFonts w:hint="eastAsia"/>
        </w:rPr>
        <w:t>和</w:t>
      </w:r>
      <w:r>
        <w:rPr>
          <w:rFonts w:hint="eastAsia"/>
        </w:rPr>
        <w:t>市场的</w:t>
      </w:r>
      <w:r w:rsidRPr="000B67AB">
        <w:rPr>
          <w:position w:val="-10"/>
        </w:rPr>
        <w:object w:dxaOrig="187" w:dyaOrig="314" w14:anchorId="2E5688A0">
          <v:shape id="_x0000_i1031" type="#_x0000_t75" style="width:9.7pt;height:15.85pt" o:ole="">
            <v:imagedata r:id="rId39" o:title=""/>
          </v:shape>
          <o:OLEObject Type="Embed" ProgID="Equation.AxMath" ShapeID="_x0000_i1031" DrawAspect="Content" ObjectID="_1676403460" r:id="rId47"/>
        </w:object>
      </w:r>
      <w:r>
        <w:rPr>
          <w:rFonts w:hint="eastAsia"/>
        </w:rPr>
        <w:t>和基准和市场的</w:t>
      </w:r>
      <w:r w:rsidRPr="000B67AB">
        <w:rPr>
          <w:position w:val="-10"/>
        </w:rPr>
        <w:object w:dxaOrig="187" w:dyaOrig="314" w14:anchorId="48C43898">
          <v:shape id="_x0000_i1032" type="#_x0000_t75" style="width:9.7pt;height:15.85pt" o:ole="">
            <v:imagedata r:id="rId39" o:title=""/>
          </v:shape>
          <o:OLEObject Type="Embed" ProgID="Equation.AxMath" ShapeID="_x0000_i1032" DrawAspect="Content" ObjectID="_1676403461" r:id="rId48"/>
        </w:object>
      </w:r>
      <w:r>
        <w:rPr>
          <w:rFonts w:hint="eastAsia"/>
        </w:rPr>
        <w:t>相同。</w:t>
      </w:r>
    </w:p>
    <w:p w14:paraId="04AE7D3A" w14:textId="7F0E1089" w:rsidR="009A63B1" w:rsidRDefault="009A63B1" w:rsidP="009A63B1">
      <w:pPr>
        <w:pStyle w:val="AMDisplayEquation"/>
        <w:spacing w:after="0"/>
      </w:pPr>
      <w:r>
        <w:tab/>
      </w:r>
      <w:r w:rsidRPr="007D712B">
        <w:rPr>
          <w:position w:val="-26"/>
        </w:rPr>
        <w:object w:dxaOrig="3687" w:dyaOrig="644" w14:anchorId="2ABBEA39">
          <v:shape id="_x0000_i1033" type="#_x0000_t75" style="width:184.25pt;height:32.5pt" o:ole="">
            <v:imagedata r:id="rId49" o:title=""/>
          </v:shape>
          <o:OLEObject Type="Embed" ProgID="Equation.AxMath" ShapeID="_x0000_i1033" DrawAspect="Content" ObjectID="_1676403462" r:id="rId5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4</w:instrText>
        </w:r>
      </w:fldSimple>
      <w:r>
        <w:instrText>)</w:instrText>
      </w:r>
      <w:r>
        <w:fldChar w:fldCharType="end"/>
      </w:r>
    </w:p>
    <w:p w14:paraId="3506C528" w14:textId="77777777" w:rsidR="009A63B1" w:rsidRDefault="009A63B1" w:rsidP="009A63B1">
      <w:pPr>
        <w:pStyle w:val="AMDisplayEquation"/>
        <w:spacing w:after="0"/>
        <w:ind w:firstLineChars="0" w:firstLine="1"/>
        <w:jc w:val="left"/>
      </w:pPr>
      <w:r>
        <w:t xml:space="preserve">      </w:t>
      </w:r>
      <w:r w:rsidRPr="007D712B">
        <w:rPr>
          <w:rFonts w:hint="eastAsia"/>
        </w:rPr>
        <w:t>等式两边同除</w:t>
      </w:r>
      <w:r w:rsidRPr="007D712B">
        <w:rPr>
          <w:position w:val="-11"/>
        </w:rPr>
        <w:object w:dxaOrig="880" w:dyaOrig="326" w14:anchorId="06155FBB">
          <v:shape id="_x0000_i1034" type="#_x0000_t75" style="width:44.15pt;height:16.25pt" o:ole="">
            <v:imagedata r:id="rId51" o:title=""/>
          </v:shape>
          <o:OLEObject Type="Embed" ProgID="Equation.AxMath" ShapeID="_x0000_i1034" DrawAspect="Content" ObjectID="_1676403463" r:id="rId52"/>
        </w:object>
      </w:r>
      <w:r>
        <w:rPr>
          <w:rFonts w:hint="eastAsia"/>
        </w:rPr>
        <w:t>，并考虑</w:t>
      </w:r>
      <w:r w:rsidRPr="00160375">
        <w:rPr>
          <w:position w:val="-11"/>
        </w:rPr>
        <w:object w:dxaOrig="2265" w:dyaOrig="326" w14:anchorId="7D06464C">
          <v:shape id="_x0000_i1035" type="#_x0000_t75" style="width:113.4pt;height:16.25pt" o:ole="">
            <v:imagedata r:id="rId53" o:title=""/>
          </v:shape>
          <o:OLEObject Type="Embed" ProgID="Equation.AxMath" ShapeID="_x0000_i1035" DrawAspect="Content" ObjectID="_1676403464" r:id="rId54"/>
        </w:object>
      </w:r>
      <w:r>
        <w:rPr>
          <w:rFonts w:hint="eastAsia"/>
        </w:rPr>
        <w:t>。</w:t>
      </w:r>
    </w:p>
    <w:p w14:paraId="5FC65404" w14:textId="245C9061" w:rsidR="009A63B1" w:rsidRDefault="009A63B1" w:rsidP="009A63B1">
      <w:pPr>
        <w:pStyle w:val="AMDisplayEquation"/>
        <w:spacing w:after="0"/>
      </w:pPr>
      <w:r>
        <w:tab/>
      </w:r>
      <w:r w:rsidRPr="00C00772">
        <w:rPr>
          <w:position w:val="-29"/>
        </w:rPr>
        <w:object w:dxaOrig="4252" w:dyaOrig="694" w14:anchorId="74C3C8BE">
          <v:shape id="_x0000_i1036" type="#_x0000_t75" style="width:212.5pt;height:34.85pt" o:ole="">
            <v:imagedata r:id="rId55" o:title=""/>
          </v:shape>
          <o:OLEObject Type="Embed" ProgID="Equation.AxMath" ShapeID="_x0000_i1036" DrawAspect="Content" ObjectID="_1676403465" r:id="rId56"/>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9" w:name="ZEqnNum122504"/>
      <w:r>
        <w:instrText>(</w:instrText>
      </w:r>
      <w:fldSimple w:instr=" SEQ AMSec \c \* Arabic \* MERGEFORMAT ">
        <w:r w:rsidR="0010512F">
          <w:rPr>
            <w:noProof/>
          </w:rPr>
          <w:instrText>1</w:instrText>
        </w:r>
      </w:fldSimple>
      <w:r>
        <w:instrText>.</w:instrText>
      </w:r>
      <w:fldSimple w:instr=" SEQ AMEqn \c \* Arabic \* MERGEFORMAT ">
        <w:r w:rsidR="0010512F">
          <w:rPr>
            <w:noProof/>
          </w:rPr>
          <w:instrText>5</w:instrText>
        </w:r>
      </w:fldSimple>
      <w:r>
        <w:instrText>)</w:instrText>
      </w:r>
      <w:bookmarkEnd w:id="9"/>
      <w:r>
        <w:fldChar w:fldCharType="end"/>
      </w:r>
    </w:p>
    <w:p w14:paraId="5691F80A" w14:textId="6DC0696C" w:rsidR="009A63B1" w:rsidRDefault="009A63B1" w:rsidP="009A63B1">
      <w:pPr>
        <w:pStyle w:val="AMDisplayEquation"/>
        <w:spacing w:after="0"/>
        <w:ind w:firstLineChars="301" w:firstLine="632"/>
      </w:pPr>
      <w:r w:rsidRPr="0096533E">
        <w:rPr>
          <w:rFonts w:hint="eastAsia"/>
        </w:rPr>
        <w:t>公式</w:t>
      </w:r>
      <w:r w:rsidRPr="0096533E">
        <w:fldChar w:fldCharType="begin"/>
      </w:r>
      <w:r w:rsidRPr="0096533E">
        <w:instrText xml:space="preserve"> GOTOBUTTON ZEqnNum122504  \* MERGEFORMAT </w:instrText>
      </w:r>
      <w:fldSimple w:instr=" REF ZEqnNum122504 \* Charformat \! \* MERGEFORMAT ">
        <w:r w:rsidR="0010512F">
          <w:instrText>(1.5)</w:instrText>
        </w:r>
      </w:fldSimple>
      <w:r w:rsidRPr="0096533E">
        <w:fldChar w:fldCharType="end"/>
      </w:r>
      <w:r w:rsidRPr="0096533E">
        <w:rPr>
          <w:rFonts w:hint="eastAsia"/>
        </w:rPr>
        <w:t>意味着一个好的投资组合的长期系统性风险和基准的长期系统性风险不存在显著的差异。</w:t>
      </w:r>
    </w:p>
    <w:p w14:paraId="38E588A0" w14:textId="77777777" w:rsidR="009A63B1" w:rsidRDefault="009A63B1" w:rsidP="009A63B1">
      <w:pPr>
        <w:pStyle w:val="AMDisplayEquation"/>
        <w:spacing w:after="0"/>
        <w:ind w:firstLineChars="301" w:firstLine="632"/>
      </w:pPr>
      <w:r w:rsidRPr="00A758E9">
        <w:rPr>
          <w:rFonts w:hint="eastAsia"/>
        </w:rPr>
        <w:t>同时，这篇论文还证明了基金相对于市场组合的波动率要比基金相对于基准组合的波动率大，这意味着基金相对于基准应该更加稳定才是更好的业绩评价基准。</w:t>
      </w:r>
    </w:p>
    <w:p w14:paraId="58B738AA" w14:textId="77777777" w:rsidR="009A63B1" w:rsidRDefault="009A63B1" w:rsidP="009A63B1">
      <w:pPr>
        <w:pStyle w:val="AMDisplayEquation"/>
        <w:spacing w:after="0"/>
        <w:ind w:firstLineChars="301" w:firstLine="632"/>
      </w:pPr>
      <w:r w:rsidRPr="00A758E9">
        <w:rPr>
          <w:rFonts w:hint="eastAsia"/>
        </w:rPr>
        <w:t>我们首先在</w:t>
      </w:r>
      <w:r w:rsidRPr="007B4655">
        <w:rPr>
          <w:position w:val="-10"/>
        </w:rPr>
        <w:object w:dxaOrig="1032" w:dyaOrig="314" w14:anchorId="15F91A09">
          <v:shape id="_x0000_i1037" type="#_x0000_t75" style="width:51.85pt;height:15.85pt" o:ole="">
            <v:imagedata r:id="rId37" o:title=""/>
          </v:shape>
          <o:OLEObject Type="Embed" ProgID="Equation.AxMath" ShapeID="_x0000_i1037" DrawAspect="Content" ObjectID="_1676403466" r:id="rId57"/>
        </w:object>
      </w:r>
      <w:r>
        <w:rPr>
          <w:rFonts w:hint="eastAsia"/>
        </w:rPr>
        <w:t>中考虑市场组合，即</w:t>
      </w:r>
      <w:r w:rsidRPr="007B4655">
        <w:rPr>
          <w:position w:val="-11"/>
        </w:rPr>
        <w:object w:dxaOrig="2120" w:dyaOrig="326" w14:anchorId="10688C3C">
          <v:shape id="_x0000_i1038" type="#_x0000_t75" style="width:106.05pt;height:16.25pt" o:ole="">
            <v:imagedata r:id="rId58" o:title=""/>
          </v:shape>
          <o:OLEObject Type="Embed" ProgID="Equation.AxMath" ShapeID="_x0000_i1038" DrawAspect="Content" ObjectID="_1676403467" r:id="rId59"/>
        </w:object>
      </w:r>
      <w:r>
        <w:rPr>
          <w:rFonts w:hint="eastAsia"/>
        </w:rPr>
        <w:t>。其中</w:t>
      </w:r>
      <w:r w:rsidRPr="007B4655">
        <w:rPr>
          <w:position w:val="-11"/>
        </w:rPr>
        <w:object w:dxaOrig="823" w:dyaOrig="326" w14:anchorId="15D89FC8">
          <v:shape id="_x0000_i1039" type="#_x0000_t75" style="width:41.4pt;height:16.25pt" o:ole="">
            <v:imagedata r:id="rId60" o:title=""/>
          </v:shape>
          <o:OLEObject Type="Embed" ProgID="Equation.AxMath" ShapeID="_x0000_i1039" DrawAspect="Content" ObjectID="_1676403468" r:id="rId61"/>
        </w:object>
      </w:r>
      <w:r>
        <w:rPr>
          <w:rFonts w:hint="eastAsia"/>
        </w:rPr>
        <w:t>可以视为基金的风格漂移，</w:t>
      </w:r>
      <w:r>
        <w:rPr>
          <w:rFonts w:hint="eastAsia"/>
        </w:rPr>
        <w:t>A</w:t>
      </w:r>
      <w:r>
        <w:rPr>
          <w:rFonts w:hint="eastAsia"/>
        </w:rPr>
        <w:t>视为基金的主动管理的部分。我们对等式两边取收益率的期望：</w:t>
      </w:r>
    </w:p>
    <w:p w14:paraId="0805CA19" w14:textId="264F9A2A" w:rsidR="009A63B1" w:rsidRPr="00A758E9" w:rsidRDefault="009A63B1" w:rsidP="009A63B1">
      <w:pPr>
        <w:pStyle w:val="AMDisplayEquation"/>
        <w:spacing w:after="0"/>
        <w:ind w:firstLineChars="301" w:firstLine="632"/>
      </w:pPr>
      <w:r>
        <w:tab/>
      </w:r>
      <w:r w:rsidRPr="00A861BD">
        <w:object w:dxaOrig="2951" w:dyaOrig="338" w14:anchorId="32768829">
          <v:shape id="_x0000_i1040" type="#_x0000_t75" style="width:147.5pt;height:17.05pt" o:ole="">
            <v:imagedata r:id="rId62" o:title=""/>
          </v:shape>
          <o:OLEObject Type="Embed" ProgID="Equation.AxMath" ShapeID="_x0000_i1040" DrawAspect="Content" ObjectID="_1676403469" r:id="rId63"/>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0" w:name="ZEqnNum850455"/>
      <w:r>
        <w:instrText>(</w:instrText>
      </w:r>
      <w:fldSimple w:instr=" SEQ AMSec \c \* Arabic \* MERGEFORMAT ">
        <w:r w:rsidR="0010512F">
          <w:rPr>
            <w:noProof/>
          </w:rPr>
          <w:instrText>1</w:instrText>
        </w:r>
      </w:fldSimple>
      <w:r>
        <w:instrText>.</w:instrText>
      </w:r>
      <w:fldSimple w:instr=" SEQ AMEqn \c \* Arabic \* MERGEFORMAT ">
        <w:r w:rsidR="0010512F">
          <w:rPr>
            <w:noProof/>
          </w:rPr>
          <w:instrText>6</w:instrText>
        </w:r>
      </w:fldSimple>
      <w:r>
        <w:instrText>)</w:instrText>
      </w:r>
      <w:bookmarkEnd w:id="10"/>
      <w:r>
        <w:fldChar w:fldCharType="end"/>
      </w:r>
    </w:p>
    <w:p w14:paraId="6126C99E" w14:textId="77646BE8" w:rsidR="009A63B1" w:rsidRDefault="009A63B1" w:rsidP="009A63B1">
      <w:pPr>
        <w:pStyle w:val="AMDisplayEquation"/>
        <w:spacing w:after="0"/>
        <w:ind w:firstLineChars="301" w:firstLine="632"/>
      </w:pPr>
      <w:r w:rsidRPr="00A758E9">
        <w:rPr>
          <w:rFonts w:hint="eastAsia"/>
        </w:rPr>
        <w:t>定义</w:t>
      </w:r>
      <w:r w:rsidRPr="00A758E9">
        <w:rPr>
          <w:rFonts w:hint="eastAsia"/>
        </w:rPr>
        <w:t>X</w:t>
      </w:r>
      <w:r w:rsidRPr="00A758E9">
        <w:rPr>
          <w:rFonts w:hint="eastAsia"/>
        </w:rPr>
        <w:t>为基金超过市场组合的收益部分，即</w:t>
      </w:r>
      <w:r w:rsidRPr="00A861BD">
        <w:rPr>
          <w:position w:val="-10"/>
        </w:rPr>
        <w:object w:dxaOrig="1066" w:dyaOrig="314" w14:anchorId="085251D5">
          <v:shape id="_x0000_i1041" type="#_x0000_t75" style="width:53.4pt;height:15.85pt" o:ole="">
            <v:imagedata r:id="rId64" o:title=""/>
          </v:shape>
          <o:OLEObject Type="Embed" ProgID="Equation.AxMath" ShapeID="_x0000_i1041" DrawAspect="Content" ObjectID="_1676403470" r:id="rId65"/>
        </w:object>
      </w:r>
      <w:r>
        <w:rPr>
          <w:rFonts w:hint="eastAsia"/>
        </w:rPr>
        <w:t>。</w:t>
      </w:r>
      <w:r>
        <w:rPr>
          <w:rFonts w:hint="eastAsia"/>
        </w:rPr>
        <w:t>X</w:t>
      </w:r>
      <w:r>
        <w:rPr>
          <w:rFonts w:hint="eastAsia"/>
        </w:rPr>
        <w:t>部分的期望收益为</w:t>
      </w:r>
      <w:r w:rsidRPr="00A861BD">
        <w:rPr>
          <w:position w:val="-11"/>
        </w:rPr>
        <w:object w:dxaOrig="2840" w:dyaOrig="338" w14:anchorId="591A100D">
          <v:shape id="_x0000_i1042" type="#_x0000_t75" style="width:142.45pt;height:17.05pt" o:ole="">
            <v:imagedata r:id="rId66" o:title=""/>
          </v:shape>
          <o:OLEObject Type="Embed" ProgID="Equation.AxMath" ShapeID="_x0000_i1042" DrawAspect="Content" ObjectID="_1676403471" r:id="rId67"/>
        </w:object>
      </w:r>
      <w:r>
        <w:rPr>
          <w:rFonts w:hint="eastAsia"/>
        </w:rPr>
        <w:t>。用公式</w:t>
      </w:r>
      <w:r>
        <w:fldChar w:fldCharType="begin"/>
      </w:r>
      <w:r>
        <w:instrText xml:space="preserve"> GOTOBUTTON ZEqnNum850455  \* MERGEFORMAT </w:instrText>
      </w:r>
      <w:fldSimple w:instr=" REF ZEqnNum850455 \* Charformat \! \* MERGEFORMAT ">
        <w:r w:rsidR="0010512F">
          <w:instrText>(1.6)</w:instrText>
        </w:r>
      </w:fldSimple>
      <w:r>
        <w:fldChar w:fldCharType="end"/>
      </w:r>
      <w:r>
        <w:rPr>
          <w:rFonts w:hint="eastAsia"/>
        </w:rPr>
        <w:t>进行替换，即</w:t>
      </w:r>
      <w:r w:rsidRPr="00A861BD">
        <w:rPr>
          <w:position w:val="-11"/>
        </w:rPr>
        <w:object w:dxaOrig="1820" w:dyaOrig="338" w14:anchorId="57E69AFD">
          <v:shape id="_x0000_i1043" type="#_x0000_t75" style="width:90.95pt;height:17.05pt" o:ole="">
            <v:imagedata r:id="rId68" o:title=""/>
          </v:shape>
          <o:OLEObject Type="Embed" ProgID="Equation.AxMath" ShapeID="_x0000_i1043" DrawAspect="Content" ObjectID="_1676403472" r:id="rId69"/>
        </w:object>
      </w:r>
      <w:r>
        <w:rPr>
          <w:rFonts w:hint="eastAsia"/>
        </w:rPr>
        <w:t>。</w:t>
      </w:r>
    </w:p>
    <w:p w14:paraId="28119681" w14:textId="77777777" w:rsidR="009A63B1" w:rsidRPr="00F47632" w:rsidRDefault="009A63B1" w:rsidP="009A63B1">
      <w:pPr>
        <w:pStyle w:val="AMDisplayEquation"/>
        <w:spacing w:after="0"/>
        <w:ind w:firstLineChars="301" w:firstLine="632"/>
      </w:pPr>
      <w:r w:rsidRPr="00F47632">
        <w:rPr>
          <w:rFonts w:hint="eastAsia"/>
        </w:rPr>
        <w:t>所以</w:t>
      </w:r>
      <w:r w:rsidRPr="00F47632">
        <w:rPr>
          <w:rFonts w:hint="eastAsia"/>
        </w:rPr>
        <w:t>X</w:t>
      </w:r>
      <w:r w:rsidRPr="00F47632">
        <w:rPr>
          <w:rFonts w:hint="eastAsia"/>
        </w:rPr>
        <w:t>的波动率可以写成：</w:t>
      </w:r>
    </w:p>
    <w:p w14:paraId="45C7A01D" w14:textId="79E9A98F" w:rsidR="009A63B1" w:rsidRDefault="009A63B1" w:rsidP="009A63B1">
      <w:pPr>
        <w:pStyle w:val="AMDisplayEquation"/>
        <w:spacing w:after="0"/>
        <w:ind w:firstLineChars="301" w:firstLine="632"/>
      </w:pPr>
      <w:r>
        <w:tab/>
      </w:r>
      <w:r w:rsidRPr="00A861BD">
        <w:object w:dxaOrig="5706" w:dyaOrig="720" w14:anchorId="44D4B4B3">
          <v:shape id="_x0000_i1044" type="#_x0000_t75" style="width:285.7pt;height:36pt" o:ole="">
            <v:imagedata r:id="rId70" o:title=""/>
          </v:shape>
          <o:OLEObject Type="Embed" ProgID="Equation.AxMath" ShapeID="_x0000_i1044" DrawAspect="Content" ObjectID="_1676403473" r:id="rId7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7</w:instrText>
        </w:r>
      </w:fldSimple>
      <w:r>
        <w:instrText>)</w:instrText>
      </w:r>
      <w:r>
        <w:fldChar w:fldCharType="end"/>
      </w:r>
    </w:p>
    <w:p w14:paraId="16565CCB" w14:textId="77777777" w:rsidR="009A63B1" w:rsidRDefault="009A63B1" w:rsidP="009A63B1">
      <w:pPr>
        <w:pStyle w:val="AMDisplayEquation"/>
        <w:spacing w:after="0"/>
        <w:ind w:firstLineChars="200" w:firstLine="420"/>
      </w:pPr>
      <w:r>
        <w:rPr>
          <w:rFonts w:hint="eastAsia"/>
        </w:rPr>
        <w:t>从基准的正交性定理可以得到</w:t>
      </w:r>
      <w:r w:rsidRPr="00A861BD">
        <w:rPr>
          <w:position w:val="-11"/>
        </w:rPr>
        <w:object w:dxaOrig="2455" w:dyaOrig="338" w14:anchorId="2F251A3C">
          <v:shape id="_x0000_i1045" type="#_x0000_t75" style="width:122.3pt;height:17.05pt" o:ole="">
            <v:imagedata r:id="rId72" o:title=""/>
          </v:shape>
          <o:OLEObject Type="Embed" ProgID="Equation.AxMath" ShapeID="_x0000_i1045" DrawAspect="Content" ObjectID="_1676403474" r:id="rId73"/>
        </w:object>
      </w:r>
    </w:p>
    <w:p w14:paraId="0A328C93" w14:textId="6CBE9161" w:rsidR="009A63B1" w:rsidRPr="009A0C83" w:rsidRDefault="009A63B1" w:rsidP="009A63B1">
      <w:pPr>
        <w:pStyle w:val="AMDisplayEquation"/>
        <w:spacing w:after="0"/>
        <w:ind w:firstLineChars="301" w:firstLine="632"/>
      </w:pPr>
      <w:r>
        <w:tab/>
      </w:r>
      <w:r w:rsidRPr="00A861BD">
        <w:object w:dxaOrig="4292" w:dyaOrig="720" w14:anchorId="3D6C3628">
          <v:shape id="_x0000_i1046" type="#_x0000_t75" style="width:214.85pt;height:36pt" o:ole="">
            <v:imagedata r:id="rId74" o:title=""/>
          </v:shape>
          <o:OLEObject Type="Embed" ProgID="Equation.AxMath" ShapeID="_x0000_i1046" DrawAspect="Content" ObjectID="_1676403475" r:id="rId7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1" w:name="ZEqnNum886035"/>
      <w:r>
        <w:instrText>(</w:instrText>
      </w:r>
      <w:fldSimple w:instr=" SEQ AMSec \c \* Arabic \* MERGEFORMAT ">
        <w:r w:rsidR="0010512F">
          <w:rPr>
            <w:noProof/>
          </w:rPr>
          <w:instrText>1</w:instrText>
        </w:r>
      </w:fldSimple>
      <w:r>
        <w:instrText>.</w:instrText>
      </w:r>
      <w:fldSimple w:instr=" SEQ AMEqn \c \* Arabic \* MERGEFORMAT ">
        <w:r w:rsidR="0010512F">
          <w:rPr>
            <w:noProof/>
          </w:rPr>
          <w:instrText>8</w:instrText>
        </w:r>
      </w:fldSimple>
      <w:r>
        <w:instrText>)</w:instrText>
      </w:r>
      <w:bookmarkEnd w:id="11"/>
      <w:r>
        <w:fldChar w:fldCharType="end"/>
      </w:r>
    </w:p>
    <w:p w14:paraId="5047990D" w14:textId="3B22A848" w:rsidR="009A63B1" w:rsidRDefault="009A63B1" w:rsidP="009A63B1">
      <w:pPr>
        <w:pStyle w:val="AMDisplayEquation"/>
        <w:spacing w:after="0"/>
        <w:ind w:firstLineChars="200" w:firstLine="420"/>
      </w:pPr>
      <w:r>
        <w:rPr>
          <w:rFonts w:hint="eastAsia"/>
        </w:rPr>
        <w:t>因为</w:t>
      </w:r>
      <w:r w:rsidRPr="00A861BD">
        <w:rPr>
          <w:position w:val="-11"/>
        </w:rPr>
        <w:object w:dxaOrig="1947" w:dyaOrig="338" w14:anchorId="7B666582">
          <v:shape id="_x0000_i1047" type="#_x0000_t75" style="width:97.95pt;height:17.05pt" o:ole="">
            <v:imagedata r:id="rId76" o:title=""/>
          </v:shape>
          <o:OLEObject Type="Embed" ProgID="Equation.AxMath" ShapeID="_x0000_i1047" DrawAspect="Content" ObjectID="_1676403476" r:id="rId77"/>
        </w:object>
      </w:r>
      <w:r>
        <w:rPr>
          <w:rFonts w:hint="eastAsia"/>
        </w:rPr>
        <w:t>，公式</w:t>
      </w:r>
      <w:r>
        <w:fldChar w:fldCharType="begin"/>
      </w:r>
      <w:r>
        <w:instrText xml:space="preserve"> GOTOBUTTON ZEqnNum886035  \* MERGEFORMAT </w:instrText>
      </w:r>
      <w:fldSimple w:instr=" REF ZEqnNum886035 \* Charformat \! \* MERGEFORMAT ">
        <w:r w:rsidR="0010512F">
          <w:instrText>(1.8)</w:instrText>
        </w:r>
      </w:fldSimple>
      <w:r>
        <w:fldChar w:fldCharType="end"/>
      </w:r>
      <w:r>
        <w:rPr>
          <w:rFonts w:hint="eastAsia"/>
        </w:rPr>
        <w:t>表明</w:t>
      </w:r>
      <w:r w:rsidRPr="00A758E9">
        <w:rPr>
          <w:rFonts w:hint="eastAsia"/>
        </w:rPr>
        <w:t>基金相对于市场组合的波动率要比基</w:t>
      </w:r>
      <w:r w:rsidR="004A0A6F">
        <w:rPr>
          <w:rFonts w:hint="eastAsia"/>
        </w:rPr>
        <w:t>准</w:t>
      </w:r>
      <w:r w:rsidRPr="00A758E9">
        <w:rPr>
          <w:rFonts w:hint="eastAsia"/>
        </w:rPr>
        <w:t>相对于基准组合的波动率大</w:t>
      </w:r>
      <w:r>
        <w:rPr>
          <w:rFonts w:hint="eastAsia"/>
        </w:rPr>
        <w:t>。</w:t>
      </w:r>
    </w:p>
    <w:p w14:paraId="65C763A8" w14:textId="77777777" w:rsidR="009A63B1" w:rsidRPr="00176693" w:rsidRDefault="009A63B1" w:rsidP="009A63B1">
      <w:pPr>
        <w:pStyle w:val="2"/>
        <w:spacing w:before="326"/>
        <w:ind w:leftChars="0"/>
        <w:rPr>
          <w:rFonts w:eastAsiaTheme="minorEastAsia"/>
          <w:lang w:eastAsia="zh-CN"/>
        </w:rPr>
      </w:pPr>
      <w:bookmarkStart w:id="12" w:name="_Toc65784019"/>
      <w:r>
        <w:rPr>
          <w:rFonts w:hint="eastAsia"/>
          <w:lang w:eastAsia="zh-CN"/>
        </w:rPr>
        <w:t>（三）从基金业绩归因中评估业绩评价基准选择的影响</w:t>
      </w:r>
      <w:bookmarkEnd w:id="12"/>
    </w:p>
    <w:p w14:paraId="2D471F5D" w14:textId="77777777" w:rsidR="009A63B1" w:rsidRPr="001431AC" w:rsidRDefault="009A63B1" w:rsidP="009A63B1">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r w:rsidRPr="001431AC">
        <w:rPr>
          <w:rFonts w:ascii="Arial" w:eastAsia="楷体_GB2312" w:hAnsi="Arial"/>
          <w:kern w:val="0"/>
          <w:sz w:val="21"/>
          <w:szCs w:val="21"/>
          <w:lang w:eastAsia="zh-CN"/>
        </w:rPr>
        <w:t xml:space="preserve">Broeders D, Haan L D </w:t>
      </w:r>
      <w:r w:rsidRPr="001431AC">
        <w:rPr>
          <w:rFonts w:ascii="Arial" w:eastAsia="楷体_GB2312" w:hAnsi="Arial"/>
          <w:kern w:val="0"/>
          <w:sz w:val="21"/>
          <w:szCs w:val="21"/>
          <w:vertAlign w:val="superscript"/>
          <w:lang w:eastAsia="zh-CN"/>
        </w:rPr>
        <w:footnoteReference w:id="3"/>
      </w:r>
      <w:r w:rsidRPr="001431AC">
        <w:rPr>
          <w:rFonts w:ascii="Arial" w:eastAsia="楷体_GB2312" w:hAnsi="Arial" w:hint="eastAsia"/>
          <w:kern w:val="0"/>
          <w:sz w:val="21"/>
          <w:szCs w:val="21"/>
          <w:lang w:eastAsia="zh-CN"/>
        </w:rPr>
        <w:t>在</w:t>
      </w:r>
      <w:r w:rsidRPr="001431AC">
        <w:rPr>
          <w:rFonts w:ascii="Arial" w:eastAsia="楷体_GB2312" w:hAnsi="Arial" w:hint="eastAsia"/>
          <w:kern w:val="0"/>
          <w:sz w:val="21"/>
          <w:szCs w:val="21"/>
          <w:lang w:eastAsia="zh-CN"/>
        </w:rPr>
        <w:t>2</w:t>
      </w:r>
      <w:r w:rsidRPr="001431AC">
        <w:rPr>
          <w:rFonts w:ascii="Arial" w:eastAsia="楷体_GB2312" w:hAnsi="Arial"/>
          <w:kern w:val="0"/>
          <w:sz w:val="21"/>
          <w:szCs w:val="21"/>
          <w:lang w:eastAsia="zh-CN"/>
        </w:rPr>
        <w:t>018</w:t>
      </w:r>
      <w:r w:rsidRPr="001431AC">
        <w:rPr>
          <w:rFonts w:ascii="Arial" w:eastAsia="楷体_GB2312" w:hAnsi="Arial" w:hint="eastAsia"/>
          <w:kern w:val="0"/>
          <w:sz w:val="21"/>
          <w:szCs w:val="21"/>
          <w:lang w:eastAsia="zh-CN"/>
        </w:rPr>
        <w:t>年的论文“</w:t>
      </w:r>
      <w:r w:rsidRPr="001431AC">
        <w:rPr>
          <w:rFonts w:ascii="Arial" w:eastAsia="楷体_GB2312" w:hAnsi="Arial"/>
          <w:kern w:val="0"/>
          <w:sz w:val="21"/>
          <w:szCs w:val="21"/>
          <w:lang w:eastAsia="zh-CN"/>
        </w:rPr>
        <w:t>Benchmark Selection and Performance</w:t>
      </w:r>
      <w:r w:rsidRPr="001431AC">
        <w:rPr>
          <w:rFonts w:ascii="Arial" w:eastAsia="楷体_GB2312" w:hAnsi="Arial" w:hint="eastAsia"/>
          <w:kern w:val="0"/>
          <w:sz w:val="21"/>
          <w:szCs w:val="21"/>
          <w:lang w:eastAsia="zh-CN"/>
        </w:rPr>
        <w:t>”中提出了五个衡量基准适用性的方法：</w:t>
      </w:r>
    </w:p>
    <w:p w14:paraId="1C8B0BE1" w14:textId="77777777" w:rsidR="009A63B1" w:rsidRDefault="009A63B1" w:rsidP="009A63B1">
      <w:pPr>
        <w:pStyle w:val="AMDisplayEquation"/>
        <w:numPr>
          <w:ilvl w:val="0"/>
          <w:numId w:val="7"/>
        </w:numPr>
        <w:spacing w:after="0"/>
        <w:ind w:leftChars="0" w:firstLineChars="0"/>
      </w:pPr>
      <w:r w:rsidRPr="000B1FC6">
        <w:rPr>
          <w:rFonts w:hint="eastAsia"/>
        </w:rPr>
        <w:t>业绩归因。</w:t>
      </w:r>
      <w:r>
        <w:rPr>
          <w:rFonts w:hint="eastAsia"/>
        </w:rPr>
        <w:t>Brinson</w:t>
      </w:r>
      <w:r>
        <w:rPr>
          <w:rFonts w:hint="eastAsia"/>
        </w:rPr>
        <w:t>（</w:t>
      </w:r>
      <w:r>
        <w:rPr>
          <w:rFonts w:hint="eastAsia"/>
        </w:rPr>
        <w:t>1</w:t>
      </w:r>
      <w:r>
        <w:t>986</w:t>
      </w:r>
      <w:r>
        <w:rPr>
          <w:rFonts w:hint="eastAsia"/>
        </w:rPr>
        <w:t>，</w:t>
      </w:r>
      <w:r>
        <w:rPr>
          <w:rFonts w:hint="eastAsia"/>
        </w:rPr>
        <w:t>1</w:t>
      </w:r>
      <w:r>
        <w:t>991</w:t>
      </w:r>
      <w:r>
        <w:rPr>
          <w:rFonts w:hint="eastAsia"/>
        </w:rPr>
        <w:t>）</w:t>
      </w:r>
      <w:r>
        <w:rPr>
          <w:rStyle w:val="aff7"/>
        </w:rPr>
        <w:footnoteReference w:id="4"/>
      </w:r>
      <w:r>
        <w:rPr>
          <w:rFonts w:hint="eastAsia"/>
        </w:rPr>
        <w:t>模型</w:t>
      </w:r>
      <w:r w:rsidRPr="000B1FC6">
        <w:rPr>
          <w:rFonts w:hint="eastAsia"/>
        </w:rPr>
        <w:t>将基金收益归因到资产配置政策、市场择时和证券选择三个方面</w:t>
      </w:r>
      <w:r>
        <w:rPr>
          <w:rFonts w:hint="eastAsia"/>
        </w:rPr>
        <w:t>。在评价基金时可以增加基准选择这一个维度来进行拓展。</w:t>
      </w:r>
    </w:p>
    <w:p w14:paraId="1D536918" w14:textId="12E79C9A" w:rsidR="009A63B1" w:rsidRDefault="009A63B1" w:rsidP="009A63B1">
      <w:pPr>
        <w:pStyle w:val="AMDisplayEquation"/>
      </w:pPr>
      <w:r>
        <w:tab/>
      </w:r>
      <w:r w:rsidRPr="001D1863">
        <w:rPr>
          <w:position w:val="-81"/>
        </w:rPr>
        <w:object w:dxaOrig="5146" w:dyaOrig="1741" w14:anchorId="22512949">
          <v:shape id="_x0000_i1048" type="#_x0000_t75" style="width:257.4pt;height:87.1pt" o:ole="">
            <v:imagedata r:id="rId78" o:title=""/>
          </v:shape>
          <o:OLEObject Type="Embed" ProgID="Equation.AxMath" ShapeID="_x0000_i1048" DrawAspect="Content" ObjectID="_1676403477" r:id="rId7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9</w:instrText>
        </w:r>
      </w:fldSimple>
      <w:r>
        <w:instrText>)</w:instrText>
      </w:r>
      <w:r>
        <w:fldChar w:fldCharType="end"/>
      </w:r>
    </w:p>
    <w:p w14:paraId="23F37398" w14:textId="33755724" w:rsidR="000C0617" w:rsidRDefault="009A63B1" w:rsidP="009A63B1">
      <w:pPr>
        <w:pStyle w:val="AMDisplayEquation"/>
      </w:pPr>
      <w:r>
        <w:lastRenderedPageBreak/>
        <w:tab/>
      </w:r>
      <w:r w:rsidRPr="00317943">
        <w:rPr>
          <w:position w:val="-99"/>
        </w:rPr>
        <w:object w:dxaOrig="5120" w:dyaOrig="2121" w14:anchorId="1EA98F24">
          <v:shape id="_x0000_i1049" type="#_x0000_t75" style="width:256.25pt;height:106.05pt" o:ole="">
            <v:imagedata r:id="rId80" o:title=""/>
          </v:shape>
          <o:OLEObject Type="Embed" ProgID="Equation.AxMath" ShapeID="_x0000_i1049" DrawAspect="Content" ObjectID="_1676403478" r:id="rId81"/>
        </w:object>
      </w:r>
    </w:p>
    <w:tbl>
      <w:tblPr>
        <w:tblW w:w="5443" w:type="dxa"/>
        <w:tblInd w:w="4217" w:type="dxa"/>
        <w:tblLayout w:type="fixed"/>
        <w:tblLook w:val="0000" w:firstRow="0" w:lastRow="0" w:firstColumn="0" w:lastColumn="0" w:noHBand="0" w:noVBand="0"/>
      </w:tblPr>
      <w:tblGrid>
        <w:gridCol w:w="5443"/>
      </w:tblGrid>
      <w:tr w:rsidR="009A63B1" w:rsidRPr="00C72F7D" w14:paraId="01A593A3" w14:textId="77777777" w:rsidTr="00D01B9E">
        <w:tc>
          <w:tcPr>
            <w:tcW w:w="5443" w:type="dxa"/>
            <w:tcBorders>
              <w:bottom w:val="single" w:sz="4" w:space="0" w:color="auto"/>
            </w:tcBorders>
            <w:shd w:val="clear" w:color="auto" w:fill="auto"/>
          </w:tcPr>
          <w:p w14:paraId="4DA658B2" w14:textId="71B48604" w:rsidR="009A63B1" w:rsidRPr="00C72F7D" w:rsidRDefault="009A63B1" w:rsidP="00D01B9E">
            <w:pPr>
              <w:pStyle w:val="af0"/>
              <w:rPr>
                <w:lang w:eastAsia="zh-CN"/>
              </w:rPr>
            </w:pPr>
            <w:bookmarkStart w:id="18" w:name="_Toc65772353"/>
            <w:r>
              <w:rPr>
                <w:rFonts w:hint="eastAsia"/>
                <w:lang w:eastAsia="zh-CN"/>
              </w:rPr>
              <w:t>图</w:t>
            </w:r>
            <w:r>
              <w:rPr>
                <w:lang w:eastAsia="zh-CN"/>
              </w:rPr>
              <w:t xml:space="preserve"> </w:t>
            </w:r>
            <w:r>
              <w:fldChar w:fldCharType="begin"/>
            </w:r>
            <w:r w:rsidRPr="000C0617">
              <w:rPr>
                <w:lang w:eastAsia="zh-CN"/>
              </w:rPr>
              <w:instrText xml:space="preserve"> SEQ </w:instrText>
            </w:r>
            <w:r w:rsidRPr="000C0617">
              <w:rPr>
                <w:lang w:eastAsia="zh-CN"/>
              </w:rPr>
              <w:instrText>图</w:instrText>
            </w:r>
            <w:r w:rsidRPr="000C0617">
              <w:rPr>
                <w:lang w:eastAsia="zh-CN"/>
              </w:rPr>
              <w:instrText xml:space="preserve"> \* ARABIC </w:instrText>
            </w:r>
            <w:r>
              <w:fldChar w:fldCharType="separate"/>
            </w:r>
            <w:r w:rsidR="0010512F">
              <w:rPr>
                <w:noProof/>
                <w:lang w:eastAsia="zh-CN"/>
              </w:rPr>
              <w:t>1</w:t>
            </w:r>
            <w:r>
              <w:fldChar w:fldCharType="end"/>
            </w:r>
            <w:r>
              <w:rPr>
                <w:rFonts w:hint="eastAsia"/>
                <w:lang w:eastAsia="zh-CN"/>
              </w:rPr>
              <w:t>：包括基准选择的四维度业绩归因分析</w:t>
            </w:r>
            <w:bookmarkEnd w:id="18"/>
          </w:p>
        </w:tc>
      </w:tr>
      <w:tr w:rsidR="009A63B1" w:rsidRPr="009B1FB9" w14:paraId="2FF9C254" w14:textId="77777777" w:rsidTr="00D01B9E">
        <w:trPr>
          <w:trHeight w:hRule="exact" w:val="2891"/>
        </w:trPr>
        <w:tc>
          <w:tcPr>
            <w:tcW w:w="5443" w:type="dxa"/>
            <w:tcBorders>
              <w:top w:val="single" w:sz="4" w:space="0" w:color="auto"/>
              <w:bottom w:val="single" w:sz="4" w:space="0" w:color="auto"/>
            </w:tcBorders>
            <w:shd w:val="clear" w:color="auto" w:fill="auto"/>
            <w:vAlign w:val="center"/>
          </w:tcPr>
          <w:p w14:paraId="481D8811" w14:textId="77777777" w:rsidR="009A63B1" w:rsidRPr="009B1FB9" w:rsidRDefault="009A63B1" w:rsidP="00D01B9E">
            <w:pPr>
              <w:pStyle w:val="ae"/>
              <w:ind w:leftChars="0" w:left="0" w:firstLineChars="200" w:firstLine="420"/>
              <w:rPr>
                <w:color w:val="0F243E" w:themeColor="text2" w:themeShade="80"/>
              </w:rPr>
            </w:pPr>
            <w:r w:rsidRPr="00B37306">
              <w:rPr>
                <w:rFonts w:eastAsiaTheme="minorEastAsia"/>
                <w:noProof/>
              </w:rPr>
              <mc:AlternateContent>
                <mc:Choice Requires="wpg">
                  <w:drawing>
                    <wp:inline distT="0" distB="0" distL="0" distR="0" wp14:anchorId="673D8480" wp14:editId="3E1115BD">
                      <wp:extent cx="2676479" cy="1740412"/>
                      <wp:effectExtent l="19050" t="19050" r="10160" b="12700"/>
                      <wp:docPr id="1" name="组合 85"/>
                      <wp:cNvGraphicFramePr/>
                      <a:graphic xmlns:a="http://schemas.openxmlformats.org/drawingml/2006/main">
                        <a:graphicData uri="http://schemas.microsoft.com/office/word/2010/wordprocessingGroup">
                          <wpg:wgp>
                            <wpg:cNvGrpSpPr/>
                            <wpg:grpSpPr>
                              <a:xfrm>
                                <a:off x="0" y="0"/>
                                <a:ext cx="2676479" cy="1740412"/>
                                <a:chOff x="0" y="0"/>
                                <a:chExt cx="10677776" cy="6734613"/>
                              </a:xfrm>
                            </wpg:grpSpPr>
                            <pic:pic xmlns:pic="http://schemas.openxmlformats.org/drawingml/2006/picture">
                              <pic:nvPicPr>
                                <pic:cNvPr id="2" name="图片 2"/>
                                <pic:cNvPicPr/>
                              </pic:nvPicPr>
                              <pic:blipFill>
                                <a:blip r:embed="rId8"/>
                                <a:stretch>
                                  <a:fillRect/>
                                </a:stretch>
                              </pic:blipFill>
                              <pic:spPr>
                                <a:xfrm>
                                  <a:off x="0" y="0"/>
                                  <a:ext cx="1406636" cy="1349693"/>
                                </a:xfrm>
                                <a:prstGeom prst="rect">
                                  <a:avLst/>
                                </a:prstGeom>
                                <a:ln>
                                  <a:solidFill>
                                    <a:schemeClr val="tx1"/>
                                  </a:solidFill>
                                </a:ln>
                              </pic:spPr>
                            </pic:pic>
                            <pic:pic xmlns:pic="http://schemas.openxmlformats.org/drawingml/2006/picture">
                              <pic:nvPicPr>
                                <pic:cNvPr id="3" name="图片 3"/>
                                <pic:cNvPicPr/>
                              </pic:nvPicPr>
                              <pic:blipFill>
                                <a:blip r:embed="rId9"/>
                                <a:stretch>
                                  <a:fillRect/>
                                </a:stretch>
                              </pic:blipFill>
                              <pic:spPr>
                                <a:xfrm>
                                  <a:off x="0" y="2521819"/>
                                  <a:ext cx="1935163" cy="1349375"/>
                                </a:xfrm>
                                <a:prstGeom prst="rect">
                                  <a:avLst/>
                                </a:prstGeom>
                                <a:ln>
                                  <a:solidFill>
                                    <a:schemeClr val="tx1"/>
                                  </a:solidFill>
                                </a:ln>
                              </pic:spPr>
                            </pic:pic>
                            <pic:pic xmlns:pic="http://schemas.openxmlformats.org/drawingml/2006/picture">
                              <pic:nvPicPr>
                                <pic:cNvPr id="27" name="图片 27"/>
                                <pic:cNvPicPr/>
                              </pic:nvPicPr>
                              <pic:blipFill>
                                <a:blip r:embed="rId10"/>
                                <a:stretch>
                                  <a:fillRect/>
                                </a:stretch>
                              </pic:blipFill>
                              <pic:spPr>
                                <a:xfrm>
                                  <a:off x="2663770" y="2521819"/>
                                  <a:ext cx="1755775" cy="1349375"/>
                                </a:xfrm>
                                <a:prstGeom prst="rect">
                                  <a:avLst/>
                                </a:prstGeom>
                                <a:ln>
                                  <a:solidFill>
                                    <a:schemeClr val="tx1"/>
                                  </a:solidFill>
                                </a:ln>
                              </pic:spPr>
                            </pic:pic>
                            <pic:pic xmlns:pic="http://schemas.openxmlformats.org/drawingml/2006/picture">
                              <pic:nvPicPr>
                                <pic:cNvPr id="28" name="图片 28"/>
                                <pic:cNvPicPr/>
                              </pic:nvPicPr>
                              <pic:blipFill>
                                <a:blip r:embed="rId11"/>
                                <a:stretch>
                                  <a:fillRect/>
                                </a:stretch>
                              </pic:blipFill>
                              <pic:spPr>
                                <a:xfrm>
                                  <a:off x="5148152" y="2521819"/>
                                  <a:ext cx="2005012" cy="1349375"/>
                                </a:xfrm>
                                <a:prstGeom prst="rect">
                                  <a:avLst/>
                                </a:prstGeom>
                                <a:ln>
                                  <a:solidFill>
                                    <a:schemeClr val="tx1"/>
                                  </a:solidFill>
                                </a:ln>
                              </pic:spPr>
                            </pic:pic>
                            <pic:pic xmlns:pic="http://schemas.openxmlformats.org/drawingml/2006/picture">
                              <pic:nvPicPr>
                                <pic:cNvPr id="29" name="图片 29"/>
                                <pic:cNvPicPr/>
                              </pic:nvPicPr>
                              <pic:blipFill>
                                <a:blip r:embed="rId12"/>
                                <a:stretch>
                                  <a:fillRect/>
                                </a:stretch>
                              </pic:blipFill>
                              <pic:spPr>
                                <a:xfrm>
                                  <a:off x="7881772" y="2521819"/>
                                  <a:ext cx="1655763" cy="1349375"/>
                                </a:xfrm>
                                <a:prstGeom prst="rect">
                                  <a:avLst/>
                                </a:prstGeom>
                                <a:ln>
                                  <a:solidFill>
                                    <a:schemeClr val="tx1"/>
                                  </a:solidFill>
                                </a:ln>
                              </pic:spPr>
                            </pic:pic>
                            <pic:pic xmlns:pic="http://schemas.openxmlformats.org/drawingml/2006/picture">
                              <pic:nvPicPr>
                                <pic:cNvPr id="30" name="图片 30"/>
                                <pic:cNvPicPr/>
                              </pic:nvPicPr>
                              <pic:blipFill>
                                <a:blip r:embed="rId13"/>
                                <a:stretch>
                                  <a:fillRect/>
                                </a:stretch>
                              </pic:blipFill>
                              <pic:spPr>
                                <a:xfrm>
                                  <a:off x="2461461" y="0"/>
                                  <a:ext cx="1914525" cy="1349375"/>
                                </a:xfrm>
                                <a:prstGeom prst="rect">
                                  <a:avLst/>
                                </a:prstGeom>
                                <a:ln>
                                  <a:solidFill>
                                    <a:schemeClr val="tx1"/>
                                  </a:solidFill>
                                </a:ln>
                              </pic:spPr>
                            </pic:pic>
                            <pic:pic xmlns:pic="http://schemas.openxmlformats.org/drawingml/2006/picture">
                              <pic:nvPicPr>
                                <pic:cNvPr id="31" name="图片 31"/>
                                <pic:cNvPicPr/>
                              </pic:nvPicPr>
                              <pic:blipFill>
                                <a:blip r:embed="rId14"/>
                                <a:stretch>
                                  <a:fillRect/>
                                </a:stretch>
                              </pic:blipFill>
                              <pic:spPr>
                                <a:xfrm>
                                  <a:off x="7971536" y="0"/>
                                  <a:ext cx="966787" cy="1339850"/>
                                </a:xfrm>
                                <a:prstGeom prst="rect">
                                  <a:avLst/>
                                </a:prstGeom>
                                <a:ln>
                                  <a:solidFill>
                                    <a:schemeClr val="tx1"/>
                                  </a:solidFill>
                                </a:ln>
                              </pic:spPr>
                            </pic:pic>
                            <pic:pic xmlns:pic="http://schemas.openxmlformats.org/drawingml/2006/picture">
                              <pic:nvPicPr>
                                <pic:cNvPr id="64" name="图片 64"/>
                                <pic:cNvPicPr/>
                              </pic:nvPicPr>
                              <pic:blipFill>
                                <a:blip r:embed="rId15"/>
                                <a:stretch>
                                  <a:fillRect/>
                                </a:stretch>
                              </pic:blipFill>
                              <pic:spPr>
                                <a:xfrm>
                                  <a:off x="5430811" y="0"/>
                                  <a:ext cx="1485900" cy="1349375"/>
                                </a:xfrm>
                                <a:prstGeom prst="rect">
                                  <a:avLst/>
                                </a:prstGeom>
                                <a:ln>
                                  <a:solidFill>
                                    <a:schemeClr val="tx1"/>
                                  </a:solidFill>
                                </a:ln>
                              </pic:spPr>
                            </pic:pic>
                            <wps:wsp>
                              <wps:cNvPr id="65" name="直接箭头连接符 65"/>
                              <wps:cNvCnPr>
                                <a:cxnSpLocks/>
                              </wps:cNvCnPr>
                              <wps:spPr>
                                <a:xfrm>
                                  <a:off x="703318" y="1349693"/>
                                  <a:ext cx="264263"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a:cxnSpLocks/>
                              </wps:cNvCnPr>
                              <wps:spPr>
                                <a:xfrm flipH="1">
                                  <a:off x="967582" y="1349375"/>
                                  <a:ext cx="2451141"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a:cxnSpLocks/>
                              </wps:cNvCnPr>
                              <wps:spPr>
                                <a:xfrm>
                                  <a:off x="703318" y="1349693"/>
                                  <a:ext cx="2838339" cy="11721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a:cxnSpLocks/>
                              </wps:cNvCnPr>
                              <wps:spPr>
                                <a:xfrm>
                                  <a:off x="3418723" y="1349375"/>
                                  <a:ext cx="122934"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a:cxnSpLocks/>
                              </wps:cNvCnPr>
                              <wps:spPr>
                                <a:xfrm flipH="1">
                                  <a:off x="3541657" y="1349375"/>
                                  <a:ext cx="2632104"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a:cxnSpLocks/>
                              </wps:cNvCnPr>
                              <wps:spPr>
                                <a:xfrm>
                                  <a:off x="3418723" y="1349375"/>
                                  <a:ext cx="2731935"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a:cxnSpLocks/>
                              </wps:cNvCnPr>
                              <wps:spPr>
                                <a:xfrm>
                                  <a:off x="6173761" y="1349375"/>
                                  <a:ext cx="2535892" cy="11724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73" name="图片 73"/>
                                <pic:cNvPicPr/>
                              </pic:nvPicPr>
                              <pic:blipFill>
                                <a:blip r:embed="rId16"/>
                                <a:stretch>
                                  <a:fillRect/>
                                </a:stretch>
                              </pic:blipFill>
                              <pic:spPr>
                                <a:xfrm>
                                  <a:off x="9993148" y="0"/>
                                  <a:ext cx="628650" cy="1339850"/>
                                </a:xfrm>
                                <a:prstGeom prst="rect">
                                  <a:avLst/>
                                </a:prstGeom>
                                <a:ln>
                                  <a:solidFill>
                                    <a:schemeClr val="tx1"/>
                                  </a:solidFill>
                                </a:ln>
                              </pic:spPr>
                            </pic:pic>
                            <pic:pic xmlns:pic="http://schemas.openxmlformats.org/drawingml/2006/picture">
                              <pic:nvPicPr>
                                <pic:cNvPr id="74" name="图片 74"/>
                                <pic:cNvPicPr/>
                              </pic:nvPicPr>
                              <pic:blipFill>
                                <a:blip r:embed="rId17"/>
                                <a:stretch>
                                  <a:fillRect/>
                                </a:stretch>
                              </pic:blipFill>
                              <pic:spPr>
                                <a:xfrm>
                                  <a:off x="9699876" y="5394763"/>
                                  <a:ext cx="977900" cy="1339850"/>
                                </a:xfrm>
                                <a:prstGeom prst="rect">
                                  <a:avLst/>
                                </a:prstGeom>
                                <a:ln>
                                  <a:solidFill>
                                    <a:schemeClr val="tx1"/>
                                  </a:solidFill>
                                </a:ln>
                              </pic:spPr>
                            </pic:pic>
                            <wps:wsp>
                              <wps:cNvPr id="75" name="直接箭头连接符 75"/>
                              <wps:cNvCnPr>
                                <a:cxnSpLocks/>
                              </wps:cNvCnPr>
                              <wps:spPr>
                                <a:xfrm flipH="1">
                                  <a:off x="6150658" y="1339850"/>
                                  <a:ext cx="2304271" cy="11819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a:cxnSpLocks/>
                              </wps:cNvCnPr>
                              <wps:spPr>
                                <a:xfrm flipH="1">
                                  <a:off x="8709653" y="1339850"/>
                                  <a:ext cx="1597820" cy="11819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a:cxnSpLocks/>
                              </wps:cNvCnPr>
                              <wps:spPr>
                                <a:xfrm>
                                  <a:off x="967581" y="3871194"/>
                                  <a:ext cx="9221245"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a:cxnSpLocks/>
                              </wps:cNvCnPr>
                              <wps:spPr>
                                <a:xfrm>
                                  <a:off x="3541657" y="3871194"/>
                                  <a:ext cx="6647169"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a:cxnSpLocks/>
                              </wps:cNvCnPr>
                              <wps:spPr>
                                <a:xfrm>
                                  <a:off x="6150658" y="3871194"/>
                                  <a:ext cx="4038168"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直接箭头连接符 80"/>
                              <wps:cNvCnPr>
                                <a:cxnSpLocks/>
                              </wps:cNvCnPr>
                              <wps:spPr>
                                <a:xfrm>
                                  <a:off x="8709653" y="3871194"/>
                                  <a:ext cx="1479173" cy="15235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a:cxnSpLocks/>
                              </wps:cNvCnPr>
                              <wps:spPr>
                                <a:xfrm flipH="1">
                                  <a:off x="10188826" y="1339850"/>
                                  <a:ext cx="118647" cy="405491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连接符: 肘形 82"/>
                              <wps:cNvCnPr>
                                <a:cxnSpLocks/>
                              </wps:cNvCnPr>
                              <wps:spPr>
                                <a:xfrm rot="16200000" flipH="1">
                                  <a:off x="7294421" y="2500357"/>
                                  <a:ext cx="4054913" cy="1733897"/>
                                </a:xfrm>
                                <a:prstGeom prst="bentConnector3">
                                  <a:avLst>
                                    <a:gd name="adj1" fmla="val 1304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D84B7DC" id="组合 85" o:spid="_x0000_s1026" style="width:210.75pt;height:137.05pt;mso-position-horizontal-relative:char;mso-position-vertical-relative:line" coordsize="106777,67346"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">
                      <v:shape id="图片 2" o:spid="_x0000_s1027" type="#_x0000_t75" style="position:absolute;width:14066;height:13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" stroked="t" strokecolor="black [3213]">
                        <v:imagedata r:id="rId18" o:title=""/>
                      </v:shape>
                      <v:shape id="图片 3" o:spid="_x0000_s1028" type="#_x0000_t75" style="position:absolute;top:25218;width:19351;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" stroked="t" strokecolor="black [3213]">
                        <v:imagedata r:id="rId19" o:title=""/>
                      </v:shape>
                      <v:shape id="图片 27" o:spid="_x0000_s1029" type="#_x0000_t75" style="position:absolute;left:26637;top:25218;width:17558;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" stroked="t" strokecolor="black [3213]">
                        <v:imagedata r:id="rId20" o:title=""/>
                      </v:shape>
                      <v:shape id="图片 28" o:spid="_x0000_s1030" type="#_x0000_t75" style="position:absolute;left:51481;top:25218;width:20050;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" stroked="t" strokecolor="black [3213]">
                        <v:imagedata r:id="rId21" o:title=""/>
                      </v:shape>
                      <v:shape id="图片 29" o:spid="_x0000_s1031" type="#_x0000_t75" style="position:absolute;left:78817;top:25218;width:16558;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" stroked="t" strokecolor="black [3213]">
                        <v:imagedata r:id="rId22" o:title=""/>
                      </v:shape>
                      <v:shape id="图片 30" o:spid="_x0000_s1032" type="#_x0000_t75" style="position:absolute;left:24614;width:19145;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" stroked="t" strokecolor="black [3213]">
                        <v:imagedata r:id="rId23" o:title=""/>
                      </v:shape>
                      <v:shape id="图片 31" o:spid="_x0000_s1033" type="#_x0000_t75" style="position:absolute;left:79715;width:9668;height:1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" stroked="t" strokecolor="black [3213]">
                        <v:imagedata r:id="rId24" o:title=""/>
                      </v:shape>
                      <v:shape id="图片 64" o:spid="_x0000_s1034" type="#_x0000_t75" style="position:absolute;left:54308;width:14859;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" stroked="t" strokecolor="black [3213]">
                        <v:imagedata r:id="rId25" o:title=""/>
                      </v:shape>
                      <v:shape id="直接箭头连接符 65" o:spid="_x0000_s1035" type="#_x0000_t32" style="position:absolute;left:7033;top:13496;width:2642;height:11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" strokecolor="black [3213]" strokeweight="1pt">
                        <v:stroke endarrow="block"/>
                        <o:lock v:ext="edit" shapetype="f"/>
                      </v:shape>
                      <v:shape id="直接箭头连接符 67" o:spid="_x0000_s1036" type="#_x0000_t32" style="position:absolute;left:9675;top:13493;width:24512;height:11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" strokecolor="black [3213]" strokeweight="1pt">
                        <v:stroke endarrow="block"/>
                        <o:lock v:ext="edit" shapetype="f"/>
                      </v:shape>
                      <v:shape id="直接箭头连接符 68" o:spid="_x0000_s1037" type="#_x0000_t32" style="position:absolute;left:7033;top:13496;width:28383;height:11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" strokecolor="black [3213]" strokeweight="1pt">
                        <v:stroke endarrow="block"/>
                        <o:lock v:ext="edit" shapetype="f"/>
                      </v:shape>
                      <v:shape id="直接箭头连接符 69" o:spid="_x0000_s1038" type="#_x0000_t32" style="position:absolute;left:34187;top:13493;width:122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" strokecolor="black [3213]" strokeweight="1pt">
                        <v:stroke endarrow="block"/>
                        <o:lock v:ext="edit" shapetype="f"/>
                      </v:shape>
                      <v:shape id="直接箭头连接符 70" o:spid="_x0000_s1039" type="#_x0000_t32" style="position:absolute;left:35416;top:13493;width:26321;height:117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" strokecolor="black [3213]" strokeweight="1pt">
                        <v:stroke endarrow="block"/>
                        <o:lock v:ext="edit" shapetype="f"/>
                      </v:shape>
                      <v:shape id="直接箭头连接符 71" o:spid="_x0000_s1040" type="#_x0000_t32" style="position:absolute;left:34187;top:13493;width:2731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" strokecolor="black [3213]" strokeweight="1pt">
                        <v:stroke endarrow="block"/>
                        <o:lock v:ext="edit" shapetype="f"/>
                      </v:shape>
                      <v:shape id="直接箭头连接符 72" o:spid="_x0000_s1041" type="#_x0000_t32" style="position:absolute;left:61737;top:13493;width:25359;height:11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" strokecolor="black [3213]" strokeweight="1pt">
                        <v:stroke endarrow="block"/>
                        <o:lock v:ext="edit" shapetype="f"/>
                      </v:shape>
                      <v:shape id="图片 73" o:spid="_x0000_s1042" type="#_x0000_t75" style="position:absolute;left:99931;width:6286;height:1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" stroked="t" strokecolor="black [3213]">
                        <v:imagedata r:id="rId26" o:title=""/>
                      </v:shape>
                      <v:shape id="图片 74" o:spid="_x0000_s1043" type="#_x0000_t75" style="position:absolute;left:96998;top:53947;width:9779;height:13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" stroked="t" strokecolor="black [3213]">
                        <v:imagedata r:id="rId27" o:title=""/>
                      </v:shape>
                      <v:shape id="直接箭头连接符 75" o:spid="_x0000_s1044" type="#_x0000_t32" style="position:absolute;left:61506;top:13398;width:23043;height:11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" strokecolor="black [3213]" strokeweight="1pt">
                        <v:stroke endarrow="block"/>
                        <o:lock v:ext="edit" shapetype="f"/>
                      </v:shape>
                      <v:shape id="直接箭头连接符 76" o:spid="_x0000_s1045" type="#_x0000_t32" style="position:absolute;left:87096;top:13398;width:15978;height:11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" strokecolor="black [3213]" strokeweight="1pt">
                        <v:stroke endarrow="block"/>
                        <o:lock v:ext="edit" shapetype="f"/>
                      </v:shape>
                      <v:shape id="直接箭头连接符 77" o:spid="_x0000_s1046" type="#_x0000_t32" style="position:absolute;left:9675;top:38711;width:92213;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" strokecolor="black [3213]" strokeweight="1pt">
                        <v:stroke endarrow="block"/>
                        <o:lock v:ext="edit" shapetype="f"/>
                      </v:shape>
                      <v:shape id="直接箭头连接符 78" o:spid="_x0000_s1047" type="#_x0000_t32" style="position:absolute;left:35416;top:38711;width:6647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" strokecolor="black [3213]" strokeweight="1pt">
                        <v:stroke endarrow="block"/>
                        <o:lock v:ext="edit" shapetype="f"/>
                      </v:shape>
                      <v:shape id="直接箭头连接符 79" o:spid="_x0000_s1048" type="#_x0000_t32" style="position:absolute;left:61506;top:38711;width:4038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" strokecolor="black [3213]" strokeweight="1pt">
                        <v:stroke endarrow="block"/>
                        <o:lock v:ext="edit" shapetype="f"/>
                      </v:shape>
                      <v:shape id="直接箭头连接符 80" o:spid="_x0000_s1049" type="#_x0000_t32" style="position:absolute;left:87096;top:38711;width:14792;height:15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" strokecolor="black [3213]" strokeweight="1pt">
                        <v:stroke endarrow="block"/>
                        <o:lock v:ext="edit" shapetype="f"/>
                      </v:shape>
                      <v:shape id="直接箭头连接符 81" o:spid="_x0000_s1050" type="#_x0000_t32" style="position:absolute;left:101888;top:13398;width:1186;height:405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" strokecolor="black [3213]" strokeweight="1pt">
                        <v:stroke endarrow="block"/>
                        <o:lock v:ext="edit" shapetype="f"/>
                      </v:shape>
                      <v:shape id="连接符: 肘形 82" o:spid="_x0000_s1051" type="#_x0000_t34" style="position:absolute;left:72944;top:25003;width:40549;height:173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" adj="2817" strokecolor="black [3213]" strokeweight="1pt">
                        <v:stroke endarrow="block"/>
                        <o:lock v:ext="edit" shapetype="f"/>
                      </v:shape>
                      <w10:anchorlock/>
                    </v:group>
                  </w:pict>
                </mc:Fallback>
              </mc:AlternateContent>
            </w:r>
          </w:p>
        </w:tc>
      </w:tr>
      <w:tr w:rsidR="009A63B1" w14:paraId="05DB874A" w14:textId="77777777" w:rsidTr="00D01B9E">
        <w:tc>
          <w:tcPr>
            <w:tcW w:w="5443" w:type="dxa"/>
            <w:tcBorders>
              <w:top w:val="single" w:sz="4" w:space="0" w:color="auto"/>
            </w:tcBorders>
            <w:shd w:val="clear" w:color="auto" w:fill="auto"/>
          </w:tcPr>
          <w:p w14:paraId="1BA0E0C4" w14:textId="77777777" w:rsidR="009A63B1" w:rsidRDefault="009A63B1" w:rsidP="00D01B9E">
            <w:pPr>
              <w:pStyle w:val="aff2"/>
              <w:rPr>
                <w:noProof/>
              </w:rPr>
            </w:pPr>
            <w:r w:rsidRPr="00C66411">
              <w:t>数据来源：</w:t>
            </w:r>
            <w:r w:rsidRPr="001431AC">
              <w:t>Broeders D, Haan L D</w:t>
            </w:r>
            <w:r w:rsidRPr="00C66411">
              <w:rPr>
                <w:rFonts w:hint="eastAsia"/>
              </w:rPr>
              <w:t>，</w:t>
            </w:r>
            <w:r w:rsidRPr="00C66411">
              <w:t>广发证券发展研究中心</w:t>
            </w:r>
          </w:p>
        </w:tc>
      </w:tr>
    </w:tbl>
    <w:p w14:paraId="51E1CB51" w14:textId="77777777" w:rsidR="009A63B1" w:rsidRPr="001431AC" w:rsidRDefault="009A63B1" w:rsidP="009A63B1">
      <w:pPr>
        <w:rPr>
          <w:rFonts w:eastAsiaTheme="minorEastAsia"/>
          <w:lang w:eastAsia="zh-CN"/>
        </w:rPr>
      </w:pPr>
    </w:p>
    <w:p w14:paraId="5E41CD6C" w14:textId="02F23AFB" w:rsidR="009A63B1" w:rsidRDefault="009A63B1" w:rsidP="009A63B1">
      <w:pPr>
        <w:pStyle w:val="AMDisplayEquation"/>
        <w:numPr>
          <w:ilvl w:val="0"/>
          <w:numId w:val="7"/>
        </w:numPr>
        <w:spacing w:after="0"/>
        <w:ind w:leftChars="0" w:firstLineChars="0"/>
      </w:pPr>
      <w:r>
        <w:rPr>
          <w:rFonts w:hint="eastAsia"/>
        </w:rPr>
        <w:t>计算基准对收益波动的贡献度。即根据</w:t>
      </w:r>
      <w:r>
        <w:rPr>
          <w:rFonts w:hint="eastAsia"/>
        </w:rPr>
        <w:t>Brown</w:t>
      </w:r>
      <w:r>
        <w:rPr>
          <w:rFonts w:hint="eastAsia"/>
        </w:rPr>
        <w:t>等（</w:t>
      </w:r>
      <w:r>
        <w:rPr>
          <w:rFonts w:hint="eastAsia"/>
        </w:rPr>
        <w:t>2</w:t>
      </w:r>
      <w:r>
        <w:t>010</w:t>
      </w:r>
      <w:r>
        <w:rPr>
          <w:rFonts w:hint="eastAsia"/>
        </w:rPr>
        <w:t>）</w:t>
      </w:r>
      <w:r>
        <w:rPr>
          <w:rStyle w:val="aff7"/>
        </w:rPr>
        <w:footnoteReference w:id="5"/>
      </w:r>
      <w:r>
        <w:rPr>
          <w:rFonts w:hint="eastAsia"/>
        </w:rPr>
        <w:t>提出的方法对资产配置、基准选择、市场择时和证券选择在实践序列和横截面维度上进行研究。即从</w:t>
      </w:r>
      <w:r>
        <w:fldChar w:fldCharType="begin"/>
      </w:r>
      <w:r>
        <w:instrText xml:space="preserve"> GOTOBUTTON ZEqnNum288494  \* MERGEFORMAT </w:instrText>
      </w:r>
      <w:fldSimple w:instr=" REF ZEqnNum288494 \* Charformat \! \* MERGEFORMAT ">
        <w:r w:rsidR="0010512F">
          <w:instrText>(1.10)</w:instrText>
        </w:r>
      </w:fldSimple>
      <w:r>
        <w:fldChar w:fldCharType="end"/>
      </w:r>
      <w:r>
        <w:rPr>
          <w:rFonts w:hint="eastAsia"/>
        </w:rPr>
        <w:t>进行横截面回归得到得到的</w:t>
      </w:r>
      <w:r w:rsidRPr="00B64DBF">
        <w:rPr>
          <w:position w:val="-10"/>
        </w:rPr>
        <w:object w:dxaOrig="231" w:dyaOrig="316" w14:anchorId="69E525B4">
          <v:shape id="_x0000_i1050" type="#_x0000_t75" style="width:11.6pt;height:15.85pt" o:ole="">
            <v:imagedata r:id="rId82" o:title=""/>
          </v:shape>
          <o:OLEObject Type="Embed" ProgID="Equation.AxMath" ShapeID="_x0000_i1050" DrawAspect="Content" ObjectID="_1676403479" r:id="rId83"/>
        </w:object>
      </w:r>
      <w:r>
        <w:rPr>
          <w:rFonts w:hint="eastAsia"/>
        </w:rPr>
        <w:t>为波动率的贡献度。</w:t>
      </w:r>
    </w:p>
    <w:p w14:paraId="1D7290C3" w14:textId="52A1C357" w:rsidR="009A63B1" w:rsidRPr="007E1442" w:rsidRDefault="009A63B1" w:rsidP="009A63B1">
      <w:pPr>
        <w:pStyle w:val="AMDisplayEquation"/>
      </w:pPr>
      <w:r>
        <w:tab/>
      </w:r>
      <w:r w:rsidRPr="007E1442">
        <w:rPr>
          <w:position w:val="-10"/>
        </w:rPr>
        <w:object w:dxaOrig="5338" w:dyaOrig="319" w14:anchorId="16E44B20">
          <v:shape id="_x0000_i1051" type="#_x0000_t75" style="width:266.7pt;height:16.25pt" o:ole="">
            <v:imagedata r:id="rId84" o:title=""/>
          </v:shape>
          <o:OLEObject Type="Embed" ProgID="Equation.AxMath" ShapeID="_x0000_i1051" DrawAspect="Content" ObjectID="_1676403480" r:id="rId8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9" w:name="ZEqnNum288494"/>
      <w:r>
        <w:instrText>(</w:instrText>
      </w:r>
      <w:fldSimple w:instr=" SEQ AMSec \c \* Arabic \* MERGEFORMAT ">
        <w:r w:rsidR="0010512F">
          <w:rPr>
            <w:noProof/>
          </w:rPr>
          <w:instrText>1</w:instrText>
        </w:r>
      </w:fldSimple>
      <w:r>
        <w:instrText>.</w:instrText>
      </w:r>
      <w:fldSimple w:instr=" SEQ AMEqn \c \* Arabic \* MERGEFORMAT ">
        <w:r w:rsidR="0010512F">
          <w:rPr>
            <w:noProof/>
          </w:rPr>
          <w:instrText>10</w:instrText>
        </w:r>
      </w:fldSimple>
      <w:r>
        <w:instrText>)</w:instrText>
      </w:r>
      <w:bookmarkEnd w:id="19"/>
      <w:r>
        <w:fldChar w:fldCharType="end"/>
      </w:r>
    </w:p>
    <w:p w14:paraId="4F284B3A" w14:textId="77777777" w:rsidR="009A63B1" w:rsidRDefault="009A63B1" w:rsidP="009A63B1">
      <w:pPr>
        <w:pStyle w:val="AMDisplayEquation"/>
        <w:numPr>
          <w:ilvl w:val="0"/>
          <w:numId w:val="7"/>
        </w:numPr>
        <w:spacing w:after="0"/>
        <w:ind w:leftChars="0" w:firstLineChars="0"/>
      </w:pPr>
      <w:r w:rsidRPr="00495EEF">
        <w:rPr>
          <w:rFonts w:hint="eastAsia"/>
        </w:rPr>
        <w:t>计算基准对剔除市场波动后的贡献度。这和以上第二点比较相像，但是剔除了市场本身的波动。</w:t>
      </w:r>
      <w:r>
        <w:rPr>
          <w:rFonts w:hint="eastAsia"/>
        </w:rPr>
        <w:t>比如，定义了在业绩比较基准权重下的战略资产配置收益</w:t>
      </w:r>
      <w:r w:rsidRPr="00E94906">
        <w:rPr>
          <w:position w:val="-10"/>
        </w:rPr>
        <w:object w:dxaOrig="548" w:dyaOrig="319" w14:anchorId="4F22D135">
          <v:shape id="_x0000_i1052" type="#_x0000_t75" style="width:27.5pt;height:16.25pt" o:ole="">
            <v:imagedata r:id="rId86" o:title=""/>
          </v:shape>
          <o:OLEObject Type="Embed" ProgID="Equation.AxMath" ShapeID="_x0000_i1052" DrawAspect="Content" ObjectID="_1676403481" r:id="rId87"/>
        </w:object>
      </w:r>
      <w:r>
        <w:rPr>
          <w:rFonts w:hint="eastAsia"/>
        </w:rPr>
        <w:t>和标准基准权重下的战略资产配置收益</w:t>
      </w:r>
    </w:p>
    <w:p w14:paraId="57DAC75C" w14:textId="4C892594" w:rsidR="009A63B1" w:rsidRPr="00E94906" w:rsidRDefault="009A63B1" w:rsidP="009A63B1">
      <w:pPr>
        <w:pStyle w:val="AMDisplayEquation"/>
      </w:pPr>
      <w:r>
        <w:tab/>
      </w:r>
      <w:r w:rsidRPr="00E94906">
        <w:rPr>
          <w:position w:val="-23"/>
        </w:rPr>
        <w:object w:dxaOrig="2360" w:dyaOrig="934" w14:anchorId="05C0BC25">
          <v:shape id="_x0000_i1053" type="#_x0000_t75" style="width:118.05pt;height:46.85pt" o:ole="">
            <v:imagedata r:id="rId88" o:title=""/>
          </v:shape>
          <o:OLEObject Type="Embed" ProgID="Equation.AxMath" ShapeID="_x0000_i1053" DrawAspect="Content" ObjectID="_1676403482" r:id="rId8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11</w:instrText>
        </w:r>
      </w:fldSimple>
      <w:r>
        <w:instrText>)</w:instrText>
      </w:r>
      <w:r>
        <w:fldChar w:fldCharType="end"/>
      </w:r>
    </w:p>
    <w:p w14:paraId="7F1F05B6" w14:textId="4A00B54A" w:rsidR="009A63B1" w:rsidRDefault="009A63B1" w:rsidP="009A63B1">
      <w:pPr>
        <w:pStyle w:val="AMDisplayEquation"/>
      </w:pPr>
      <w:r>
        <w:tab/>
      </w:r>
      <w:r w:rsidRPr="00E94906">
        <w:rPr>
          <w:position w:val="-23"/>
        </w:rPr>
        <w:object w:dxaOrig="2341" w:dyaOrig="934" w14:anchorId="4DFE7B68">
          <v:shape id="_x0000_i1054" type="#_x0000_t75" style="width:116.9pt;height:46.85pt" o:ole="">
            <v:imagedata r:id="rId90" o:title=""/>
          </v:shape>
          <o:OLEObject Type="Embed" ProgID="Equation.AxMath" ShapeID="_x0000_i1054" DrawAspect="Content" ObjectID="_1676403483" r:id="rId9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12</w:instrText>
        </w:r>
      </w:fldSimple>
      <w:r>
        <w:instrText>)</w:instrText>
      </w:r>
      <w:r>
        <w:fldChar w:fldCharType="end"/>
      </w:r>
    </w:p>
    <w:p w14:paraId="642B0988" w14:textId="77777777" w:rsidR="009A63B1" w:rsidRDefault="009A63B1" w:rsidP="009A63B1">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r>
        <w:rPr>
          <w:rFonts w:eastAsiaTheme="minorEastAsia"/>
          <w:lang w:eastAsia="zh-CN"/>
        </w:rPr>
        <w:tab/>
      </w:r>
      <w:r w:rsidRPr="00E94906">
        <w:rPr>
          <w:rFonts w:ascii="Arial" w:eastAsia="楷体_GB2312" w:hAnsi="Arial" w:hint="eastAsia"/>
          <w:kern w:val="0"/>
          <w:sz w:val="21"/>
          <w:szCs w:val="21"/>
          <w:lang w:eastAsia="zh-CN"/>
        </w:rPr>
        <w:t>此时，超额收益的业绩归因可以写为</w:t>
      </w:r>
    </w:p>
    <w:p w14:paraId="62198E54" w14:textId="5B562F1F" w:rsidR="009A63B1" w:rsidRPr="00E94906" w:rsidRDefault="009A63B1" w:rsidP="009A63B1">
      <w:pPr>
        <w:pStyle w:val="AMDisplayEquation"/>
      </w:pPr>
      <w:r>
        <w:lastRenderedPageBreak/>
        <w:tab/>
      </w:r>
      <w:r w:rsidRPr="00E94906">
        <w:rPr>
          <w:position w:val="-98"/>
        </w:rPr>
        <w:object w:dxaOrig="6263" w:dyaOrig="2102" w14:anchorId="36D125D0">
          <v:shape id="_x0000_i1055" type="#_x0000_t75" style="width:312.75pt;height:105.3pt" o:ole="">
            <v:imagedata r:id="rId92" o:title=""/>
          </v:shape>
          <o:OLEObject Type="Embed" ProgID="Equation.AxMath" ShapeID="_x0000_i1055" DrawAspect="Content" ObjectID="_1676403484" r:id="rId9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13</w:instrText>
        </w:r>
      </w:fldSimple>
      <w:r>
        <w:instrText>)</w:instrText>
      </w:r>
      <w:r>
        <w:fldChar w:fldCharType="end"/>
      </w:r>
    </w:p>
    <w:p w14:paraId="09762A40" w14:textId="77777777" w:rsidR="009A63B1" w:rsidRDefault="009A63B1" w:rsidP="009A63B1">
      <w:pPr>
        <w:pStyle w:val="AMDisplayEquation"/>
        <w:numPr>
          <w:ilvl w:val="0"/>
          <w:numId w:val="7"/>
        </w:numPr>
        <w:spacing w:after="0"/>
        <w:ind w:leftChars="0" w:firstLineChars="0"/>
      </w:pPr>
      <w:r w:rsidRPr="00495EEF">
        <w:rPr>
          <w:rFonts w:hint="eastAsia"/>
        </w:rPr>
        <w:t>从主动改变战略型资产配置的角度计算收益。按照</w:t>
      </w:r>
      <w:r w:rsidRPr="00495EEF">
        <w:rPr>
          <w:rFonts w:hint="eastAsia"/>
        </w:rPr>
        <w:t>Andonov</w:t>
      </w:r>
      <w:r w:rsidRPr="00495EEF">
        <w:t xml:space="preserve"> </w:t>
      </w:r>
      <w:r w:rsidRPr="00495EEF">
        <w:rPr>
          <w:rFonts w:hint="eastAsia"/>
        </w:rPr>
        <w:t>等（</w:t>
      </w:r>
      <w:r w:rsidRPr="00495EEF">
        <w:rPr>
          <w:rFonts w:hint="eastAsia"/>
        </w:rPr>
        <w:t>2</w:t>
      </w:r>
      <w:r w:rsidRPr="00495EEF">
        <w:t>012</w:t>
      </w:r>
      <w:r w:rsidRPr="00495EEF">
        <w:rPr>
          <w:rFonts w:hint="eastAsia"/>
        </w:rPr>
        <w:t>）</w:t>
      </w:r>
      <w:r w:rsidRPr="00163CE7">
        <w:rPr>
          <w:vertAlign w:val="superscript"/>
        </w:rPr>
        <w:footnoteReference w:id="6"/>
      </w:r>
      <w:r w:rsidRPr="00495EEF">
        <w:rPr>
          <w:rFonts w:hint="eastAsia"/>
        </w:rPr>
        <w:t>将战略型资产配置的收益波动从时间序列和横截面收益波动的角度进行分解。</w:t>
      </w:r>
    </w:p>
    <w:p w14:paraId="40D5DAF3" w14:textId="201E36ED" w:rsidR="009A63B1" w:rsidRDefault="009A63B1" w:rsidP="009A63B1">
      <w:pPr>
        <w:pStyle w:val="AMDisplayEquation"/>
        <w:numPr>
          <w:ilvl w:val="0"/>
          <w:numId w:val="7"/>
        </w:numPr>
        <w:spacing w:after="0"/>
        <w:ind w:leftChars="0" w:firstLineChars="0"/>
      </w:pPr>
      <w:r w:rsidRPr="00495EEF">
        <w:rPr>
          <w:rFonts w:hint="eastAsia"/>
        </w:rPr>
        <w:t>从主动改变战略型资产配置的角度计算收益。这和以上第四点比较相像，但是计算的是剔除了风险后的收益。</w:t>
      </w:r>
    </w:p>
    <w:p w14:paraId="422DD37A" w14:textId="77777777" w:rsidR="00A82F2A" w:rsidRPr="00A82F2A" w:rsidRDefault="00A82F2A" w:rsidP="00A82F2A">
      <w:pPr>
        <w:pStyle w:val="AMDisplayEquation"/>
        <w:spacing w:after="0"/>
        <w:ind w:leftChars="0" w:left="3797" w:firstLineChars="0" w:firstLine="0"/>
        <w:rPr>
          <w:rFonts w:eastAsiaTheme="minorEastAsia" w:hint="eastAsia"/>
        </w:rPr>
      </w:pPr>
    </w:p>
    <w:p w14:paraId="1204FCFD" w14:textId="7E4105AD" w:rsidR="00A82F2A" w:rsidRPr="00176693" w:rsidRDefault="00A82F2A" w:rsidP="00A82F2A">
      <w:pPr>
        <w:pStyle w:val="2"/>
        <w:spacing w:before="326"/>
        <w:ind w:leftChars="0"/>
        <w:rPr>
          <w:rFonts w:eastAsiaTheme="minorEastAsia"/>
          <w:lang w:eastAsia="zh-CN"/>
        </w:rPr>
      </w:pPr>
      <w:r>
        <w:rPr>
          <w:rFonts w:hint="eastAsia"/>
          <w:lang w:eastAsia="zh-CN"/>
        </w:rPr>
        <w:t>（</w:t>
      </w:r>
      <w:r>
        <w:rPr>
          <w:rFonts w:hint="eastAsia"/>
          <w:lang w:eastAsia="zh-CN"/>
        </w:rPr>
        <w:t>四</w:t>
      </w:r>
      <w:r>
        <w:rPr>
          <w:rFonts w:hint="eastAsia"/>
          <w:lang w:eastAsia="zh-CN"/>
        </w:rPr>
        <w:t>）</w:t>
      </w:r>
      <w:r>
        <w:rPr>
          <w:rFonts w:hint="eastAsia"/>
          <w:lang w:eastAsia="zh-CN"/>
        </w:rPr>
        <w:t>债券型基金</w:t>
      </w:r>
      <w:r>
        <w:rPr>
          <w:rFonts w:hint="eastAsia"/>
          <w:lang w:eastAsia="zh-CN"/>
        </w:rPr>
        <w:t>业绩评价基准的</w:t>
      </w:r>
      <w:r>
        <w:rPr>
          <w:rFonts w:hint="eastAsia"/>
          <w:lang w:eastAsia="zh-CN"/>
        </w:rPr>
        <w:t>选择</w:t>
      </w:r>
    </w:p>
    <w:p w14:paraId="5D5080F6" w14:textId="3926D535" w:rsidR="00475118" w:rsidRDefault="00A82F2A" w:rsidP="00475118">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r w:rsidRPr="00475118">
        <w:rPr>
          <w:rFonts w:ascii="Arial" w:eastAsia="楷体_GB2312" w:hAnsi="Arial"/>
          <w:kern w:val="0"/>
          <w:sz w:val="21"/>
          <w:szCs w:val="21"/>
          <w:lang w:eastAsia="zh-CN"/>
        </w:rPr>
        <w:t>Bülent Baygün, Tzucker R</w:t>
      </w:r>
      <w:r w:rsidRPr="00E90DE7">
        <w:rPr>
          <w:rFonts w:ascii="Arial" w:eastAsia="楷体_GB2312" w:hAnsi="Arial"/>
          <w:kern w:val="0"/>
          <w:sz w:val="21"/>
          <w:szCs w:val="21"/>
          <w:vertAlign w:val="superscript"/>
          <w:lang w:eastAsia="zh-CN"/>
        </w:rPr>
        <w:footnoteReference w:id="7"/>
      </w:r>
      <w:r w:rsidRPr="00475118">
        <w:rPr>
          <w:rFonts w:ascii="Arial" w:eastAsia="楷体_GB2312" w:hAnsi="Arial" w:hint="eastAsia"/>
          <w:kern w:val="0"/>
          <w:sz w:val="21"/>
          <w:szCs w:val="21"/>
          <w:lang w:eastAsia="zh-CN"/>
        </w:rPr>
        <w:t>提出了如何衡量债券型基金业绩评价基准的规则，包括：</w:t>
      </w:r>
      <w:r w:rsidRPr="00475118">
        <w:rPr>
          <w:rFonts w:ascii="Arial" w:eastAsia="楷体_GB2312" w:hAnsi="Arial" w:hint="eastAsia"/>
          <w:kern w:val="0"/>
          <w:sz w:val="21"/>
          <w:szCs w:val="21"/>
          <w:lang w:eastAsia="zh-CN"/>
        </w:rPr>
        <w:t>1</w:t>
      </w:r>
      <w:r w:rsidRPr="00475118">
        <w:rPr>
          <w:rFonts w:ascii="Arial" w:eastAsia="楷体_GB2312" w:hAnsi="Arial"/>
          <w:kern w:val="0"/>
          <w:sz w:val="21"/>
          <w:szCs w:val="21"/>
          <w:lang w:eastAsia="zh-CN"/>
        </w:rPr>
        <w:t xml:space="preserve">. </w:t>
      </w:r>
      <w:r w:rsidRPr="00475118">
        <w:rPr>
          <w:rFonts w:ascii="Arial" w:eastAsia="楷体_GB2312" w:hAnsi="Arial" w:hint="eastAsia"/>
          <w:kern w:val="0"/>
          <w:sz w:val="21"/>
          <w:szCs w:val="21"/>
          <w:lang w:eastAsia="zh-CN"/>
        </w:rPr>
        <w:t>与投资者相关；</w:t>
      </w:r>
      <w:r w:rsidRPr="00475118">
        <w:rPr>
          <w:rFonts w:ascii="Arial" w:eastAsia="楷体_GB2312" w:hAnsi="Arial" w:hint="eastAsia"/>
          <w:kern w:val="0"/>
          <w:sz w:val="21"/>
          <w:szCs w:val="21"/>
          <w:lang w:eastAsia="zh-CN"/>
        </w:rPr>
        <w:t>2</w:t>
      </w:r>
      <w:r w:rsidRPr="00475118">
        <w:rPr>
          <w:rFonts w:ascii="Arial" w:eastAsia="楷体_GB2312" w:hAnsi="Arial"/>
          <w:kern w:val="0"/>
          <w:sz w:val="21"/>
          <w:szCs w:val="21"/>
          <w:lang w:eastAsia="zh-CN"/>
        </w:rPr>
        <w:t xml:space="preserve">. </w:t>
      </w:r>
      <w:r w:rsidRPr="00475118">
        <w:rPr>
          <w:rFonts w:ascii="Arial" w:eastAsia="楷体_GB2312" w:hAnsi="Arial" w:hint="eastAsia"/>
          <w:kern w:val="0"/>
          <w:sz w:val="21"/>
          <w:szCs w:val="21"/>
          <w:lang w:eastAsia="zh-CN"/>
        </w:rPr>
        <w:t>能够代表市场；</w:t>
      </w:r>
      <w:r w:rsidRPr="00475118">
        <w:rPr>
          <w:rFonts w:ascii="Arial" w:eastAsia="楷体_GB2312" w:hAnsi="Arial" w:hint="eastAsia"/>
          <w:kern w:val="0"/>
          <w:sz w:val="21"/>
          <w:szCs w:val="21"/>
          <w:lang w:eastAsia="zh-CN"/>
        </w:rPr>
        <w:t>3</w:t>
      </w:r>
      <w:r w:rsidRPr="00475118">
        <w:rPr>
          <w:rFonts w:ascii="Arial" w:eastAsia="楷体_GB2312" w:hAnsi="Arial"/>
          <w:kern w:val="0"/>
          <w:sz w:val="21"/>
          <w:szCs w:val="21"/>
          <w:lang w:eastAsia="zh-CN"/>
        </w:rPr>
        <w:t xml:space="preserve">. </w:t>
      </w:r>
      <w:r w:rsidR="00475118" w:rsidRPr="00475118">
        <w:rPr>
          <w:rFonts w:ascii="Arial" w:eastAsia="楷体_GB2312" w:hAnsi="Arial" w:hint="eastAsia"/>
          <w:kern w:val="0"/>
          <w:sz w:val="21"/>
          <w:szCs w:val="21"/>
          <w:lang w:eastAsia="zh-CN"/>
        </w:rPr>
        <w:t>在规则上透明且保持一致；</w:t>
      </w:r>
      <w:r w:rsidR="00475118" w:rsidRPr="00475118">
        <w:rPr>
          <w:rFonts w:ascii="Arial" w:eastAsia="楷体_GB2312" w:hAnsi="Arial" w:hint="eastAsia"/>
          <w:kern w:val="0"/>
          <w:sz w:val="21"/>
          <w:szCs w:val="21"/>
          <w:lang w:eastAsia="zh-CN"/>
        </w:rPr>
        <w:t>4</w:t>
      </w:r>
      <w:r w:rsidR="00475118" w:rsidRPr="00475118">
        <w:rPr>
          <w:rFonts w:ascii="Arial" w:eastAsia="楷体_GB2312" w:hAnsi="Arial"/>
          <w:kern w:val="0"/>
          <w:sz w:val="21"/>
          <w:szCs w:val="21"/>
          <w:lang w:eastAsia="zh-CN"/>
        </w:rPr>
        <w:t xml:space="preserve">. </w:t>
      </w:r>
      <w:r w:rsidR="00475118" w:rsidRPr="00475118">
        <w:rPr>
          <w:rFonts w:ascii="Arial" w:eastAsia="楷体_GB2312" w:hAnsi="Arial" w:hint="eastAsia"/>
          <w:kern w:val="0"/>
          <w:sz w:val="21"/>
          <w:szCs w:val="21"/>
          <w:lang w:eastAsia="zh-CN"/>
        </w:rPr>
        <w:t>可投资型和可复制性；</w:t>
      </w:r>
      <w:r w:rsidR="00475118" w:rsidRPr="00475118">
        <w:rPr>
          <w:rFonts w:ascii="Arial" w:eastAsia="楷体_GB2312" w:hAnsi="Arial" w:hint="eastAsia"/>
          <w:kern w:val="0"/>
          <w:sz w:val="21"/>
          <w:szCs w:val="21"/>
          <w:lang w:eastAsia="zh-CN"/>
        </w:rPr>
        <w:t>5</w:t>
      </w:r>
      <w:r w:rsidR="00475118" w:rsidRPr="00475118">
        <w:rPr>
          <w:rFonts w:ascii="Arial" w:eastAsia="楷体_GB2312" w:hAnsi="Arial"/>
          <w:kern w:val="0"/>
          <w:sz w:val="21"/>
          <w:szCs w:val="21"/>
          <w:lang w:eastAsia="zh-CN"/>
        </w:rPr>
        <w:t xml:space="preserve">. </w:t>
      </w:r>
      <w:r w:rsidR="00475118" w:rsidRPr="00475118">
        <w:rPr>
          <w:rFonts w:ascii="Arial" w:eastAsia="楷体_GB2312" w:hAnsi="Arial" w:hint="eastAsia"/>
          <w:kern w:val="0"/>
          <w:sz w:val="21"/>
          <w:szCs w:val="21"/>
          <w:lang w:eastAsia="zh-CN"/>
        </w:rPr>
        <w:t>基于高质量的数据；</w:t>
      </w:r>
      <w:r w:rsidR="00475118" w:rsidRPr="00475118">
        <w:rPr>
          <w:rFonts w:ascii="Arial" w:eastAsia="楷体_GB2312" w:hAnsi="Arial" w:hint="eastAsia"/>
          <w:kern w:val="0"/>
          <w:sz w:val="21"/>
          <w:szCs w:val="21"/>
          <w:lang w:eastAsia="zh-CN"/>
        </w:rPr>
        <w:t>6</w:t>
      </w:r>
      <w:r w:rsidR="00475118" w:rsidRPr="00475118">
        <w:rPr>
          <w:rFonts w:ascii="Arial" w:eastAsia="楷体_GB2312" w:hAnsi="Arial"/>
          <w:kern w:val="0"/>
          <w:sz w:val="21"/>
          <w:szCs w:val="21"/>
          <w:lang w:eastAsia="zh-CN"/>
        </w:rPr>
        <w:t xml:space="preserve">. </w:t>
      </w:r>
      <w:r w:rsidR="00475118" w:rsidRPr="00475118">
        <w:rPr>
          <w:rFonts w:ascii="Arial" w:eastAsia="楷体_GB2312" w:hAnsi="Arial" w:hint="eastAsia"/>
          <w:kern w:val="0"/>
          <w:sz w:val="21"/>
          <w:szCs w:val="21"/>
          <w:lang w:eastAsia="zh-CN"/>
        </w:rPr>
        <w:t>独立。</w:t>
      </w:r>
      <w:r w:rsidR="00475118">
        <w:rPr>
          <w:rFonts w:ascii="Arial" w:eastAsia="楷体_GB2312" w:hAnsi="Arial" w:hint="eastAsia"/>
          <w:kern w:val="0"/>
          <w:sz w:val="21"/>
          <w:szCs w:val="21"/>
          <w:lang w:eastAsia="zh-CN"/>
        </w:rPr>
        <w:t>我们可以通过考虑远期利率、考虑不同的经济场景（</w:t>
      </w:r>
      <w:r w:rsidR="00475118">
        <w:rPr>
          <w:rFonts w:ascii="Arial" w:eastAsia="楷体_GB2312" w:hAnsi="Arial" w:hint="eastAsia"/>
          <w:kern w:val="0"/>
          <w:sz w:val="21"/>
          <w:szCs w:val="21"/>
          <w:lang w:eastAsia="zh-CN"/>
        </w:rPr>
        <w:t>Economic</w:t>
      </w:r>
      <w:r w:rsidR="00475118">
        <w:rPr>
          <w:rFonts w:ascii="Arial" w:eastAsia="楷体_GB2312" w:hAnsi="Arial"/>
          <w:kern w:val="0"/>
          <w:sz w:val="21"/>
          <w:szCs w:val="21"/>
          <w:lang w:eastAsia="zh-CN"/>
        </w:rPr>
        <w:t xml:space="preserve"> S</w:t>
      </w:r>
      <w:r w:rsidR="00475118">
        <w:rPr>
          <w:rFonts w:ascii="Arial" w:eastAsia="楷体_GB2312" w:hAnsi="Arial" w:hint="eastAsia"/>
          <w:kern w:val="0"/>
          <w:sz w:val="21"/>
          <w:szCs w:val="21"/>
          <w:lang w:eastAsia="zh-CN"/>
        </w:rPr>
        <w:t>enarios</w:t>
      </w:r>
      <w:r w:rsidR="00475118">
        <w:rPr>
          <w:rFonts w:ascii="Arial" w:eastAsia="楷体_GB2312" w:hAnsi="Arial" w:hint="eastAsia"/>
          <w:kern w:val="0"/>
          <w:sz w:val="21"/>
          <w:szCs w:val="21"/>
          <w:lang w:eastAsia="zh-CN"/>
        </w:rPr>
        <w:t>）、研究收益率曲线、考虑资产配置、考虑久期配置、风险容忍度、利差关系等等来</w:t>
      </w:r>
      <w:r w:rsidR="00475118">
        <w:rPr>
          <w:rFonts w:ascii="Arial" w:eastAsia="楷体_GB2312" w:hAnsi="Arial" w:hint="eastAsia"/>
          <w:kern w:val="0"/>
          <w:sz w:val="21"/>
          <w:szCs w:val="21"/>
          <w:lang w:eastAsia="zh-CN"/>
        </w:rPr>
        <w:t>打败债券型基金基准</w:t>
      </w:r>
      <w:r w:rsidR="00475118">
        <w:rPr>
          <w:rFonts w:ascii="Arial" w:eastAsia="楷体_GB2312" w:hAnsi="Arial" w:hint="eastAsia"/>
          <w:kern w:val="0"/>
          <w:sz w:val="21"/>
          <w:szCs w:val="21"/>
          <w:lang w:eastAsia="zh-CN"/>
        </w:rPr>
        <w:t>。</w:t>
      </w:r>
    </w:p>
    <w:p w14:paraId="361C09B1" w14:textId="3AD87476" w:rsidR="007436E6" w:rsidRPr="000B02AE" w:rsidRDefault="005812D9" w:rsidP="00475118">
      <w:pPr>
        <w:autoSpaceDE w:val="0"/>
        <w:autoSpaceDN w:val="0"/>
        <w:adjustRightInd w:val="0"/>
        <w:spacing w:beforeLines="50" w:before="163" w:after="100"/>
        <w:ind w:leftChars="1257" w:left="3017" w:firstLineChars="291" w:firstLine="611"/>
        <w:jc w:val="both"/>
        <w:rPr>
          <w:rFonts w:ascii="Arial" w:hAnsi="Arial" w:hint="eastAsia"/>
          <w:kern w:val="0"/>
          <w:sz w:val="21"/>
          <w:szCs w:val="21"/>
          <w:lang w:eastAsia="zh-CN"/>
        </w:rPr>
      </w:pPr>
      <w:r w:rsidRPr="005812D9">
        <w:rPr>
          <w:rFonts w:ascii="Arial" w:eastAsia="楷体_GB2312" w:hAnsi="Arial"/>
          <w:kern w:val="0"/>
          <w:sz w:val="21"/>
          <w:szCs w:val="21"/>
          <w:lang w:eastAsia="zh-CN"/>
        </w:rPr>
        <w:t>Daniel K E A .</w:t>
      </w:r>
      <w:r>
        <w:rPr>
          <w:rFonts w:ascii="Arial" w:eastAsia="楷体_GB2312" w:hAnsi="Arial" w:hint="eastAsia"/>
          <w:kern w:val="0"/>
          <w:sz w:val="21"/>
          <w:szCs w:val="21"/>
          <w:lang w:eastAsia="zh-CN"/>
        </w:rPr>
        <w:t>（</w:t>
      </w:r>
      <w:r>
        <w:rPr>
          <w:rFonts w:ascii="Arial" w:eastAsia="楷体_GB2312" w:hAnsi="Arial" w:hint="eastAsia"/>
          <w:kern w:val="0"/>
          <w:sz w:val="21"/>
          <w:szCs w:val="21"/>
          <w:lang w:eastAsia="zh-CN"/>
        </w:rPr>
        <w:t>1</w:t>
      </w:r>
      <w:r>
        <w:rPr>
          <w:rFonts w:ascii="Arial" w:eastAsia="楷体_GB2312" w:hAnsi="Arial"/>
          <w:kern w:val="0"/>
          <w:sz w:val="21"/>
          <w:szCs w:val="21"/>
          <w:lang w:eastAsia="zh-CN"/>
        </w:rPr>
        <w:t>997</w:t>
      </w:r>
      <w:r>
        <w:rPr>
          <w:rFonts w:ascii="Arial" w:eastAsia="楷体_GB2312" w:hAnsi="Arial" w:hint="eastAsia"/>
          <w:kern w:val="0"/>
          <w:sz w:val="21"/>
          <w:szCs w:val="21"/>
          <w:lang w:eastAsia="zh-CN"/>
        </w:rPr>
        <w:t>）</w:t>
      </w:r>
      <w:r>
        <w:rPr>
          <w:rStyle w:val="aff7"/>
          <w:rFonts w:ascii="Arial" w:eastAsia="楷体_GB2312" w:hAnsi="Arial"/>
          <w:kern w:val="0"/>
          <w:sz w:val="21"/>
          <w:szCs w:val="21"/>
          <w:lang w:eastAsia="zh-CN"/>
        </w:rPr>
        <w:footnoteReference w:id="8"/>
      </w:r>
      <w:r>
        <w:rPr>
          <w:rFonts w:ascii="Arial" w:eastAsia="楷体_GB2312" w:hAnsi="Arial" w:hint="eastAsia"/>
          <w:kern w:val="0"/>
          <w:sz w:val="21"/>
          <w:szCs w:val="21"/>
          <w:lang w:eastAsia="zh-CN"/>
        </w:rPr>
        <w:t>、</w:t>
      </w:r>
      <w:r w:rsidR="00967830" w:rsidRPr="00967830">
        <w:rPr>
          <w:rFonts w:ascii="Arial" w:eastAsia="楷体_GB2312" w:hAnsi="Arial"/>
          <w:kern w:val="0"/>
          <w:sz w:val="21"/>
          <w:szCs w:val="21"/>
          <w:lang w:eastAsia="zh-CN"/>
        </w:rPr>
        <w:t>Fong K , Gallagher D R</w:t>
      </w:r>
      <w:r w:rsidR="00967830">
        <w:rPr>
          <w:rFonts w:ascii="Arial" w:eastAsia="楷体_GB2312" w:hAnsi="Arial" w:hint="eastAsia"/>
          <w:kern w:val="0"/>
          <w:sz w:val="21"/>
          <w:szCs w:val="21"/>
          <w:lang w:eastAsia="zh-CN"/>
        </w:rPr>
        <w:t>（</w:t>
      </w:r>
      <w:r w:rsidR="00967830">
        <w:rPr>
          <w:rFonts w:ascii="Arial" w:eastAsia="楷体_GB2312" w:hAnsi="Arial" w:hint="eastAsia"/>
          <w:kern w:val="0"/>
          <w:sz w:val="21"/>
          <w:szCs w:val="21"/>
          <w:lang w:eastAsia="zh-CN"/>
        </w:rPr>
        <w:t>2</w:t>
      </w:r>
      <w:r w:rsidR="00967830">
        <w:rPr>
          <w:rFonts w:ascii="Arial" w:eastAsia="楷体_GB2312" w:hAnsi="Arial"/>
          <w:kern w:val="0"/>
          <w:sz w:val="21"/>
          <w:szCs w:val="21"/>
          <w:lang w:eastAsia="zh-CN"/>
        </w:rPr>
        <w:t>008</w:t>
      </w:r>
      <w:r w:rsidR="00967830">
        <w:rPr>
          <w:rFonts w:ascii="Arial" w:eastAsia="楷体_GB2312" w:hAnsi="Arial" w:hint="eastAsia"/>
          <w:kern w:val="0"/>
          <w:sz w:val="21"/>
          <w:szCs w:val="21"/>
          <w:lang w:eastAsia="zh-CN"/>
        </w:rPr>
        <w:t>）</w:t>
      </w:r>
      <w:r w:rsidR="00967830">
        <w:rPr>
          <w:rStyle w:val="aff7"/>
          <w:rFonts w:ascii="Arial" w:eastAsia="楷体_GB2312" w:hAnsi="Arial"/>
          <w:kern w:val="0"/>
          <w:sz w:val="21"/>
          <w:szCs w:val="21"/>
          <w:lang w:eastAsia="zh-CN"/>
        </w:rPr>
        <w:footnoteReference w:id="9"/>
      </w:r>
      <w:r w:rsidR="00967830">
        <w:rPr>
          <w:rFonts w:ascii="Arial" w:eastAsia="楷体_GB2312" w:hAnsi="Arial" w:hint="eastAsia"/>
          <w:kern w:val="0"/>
          <w:sz w:val="21"/>
          <w:szCs w:val="21"/>
          <w:lang w:eastAsia="zh-CN"/>
        </w:rPr>
        <w:t>实证研究发现</w:t>
      </w:r>
      <w:r w:rsidR="00E90DE7">
        <w:rPr>
          <w:rFonts w:ascii="Arial" w:eastAsia="楷体_GB2312" w:hAnsi="Arial" w:hint="eastAsia"/>
          <w:kern w:val="0"/>
          <w:sz w:val="21"/>
          <w:szCs w:val="21"/>
          <w:lang w:eastAsia="zh-CN"/>
        </w:rPr>
        <w:t>根据基金的投资风格构造的业绩评价基准与标准的基准相比所带来的的</w:t>
      </w:r>
      <w:r w:rsidR="00E90DE7">
        <w:rPr>
          <w:rFonts w:ascii="Arial" w:eastAsia="楷体_GB2312" w:hAnsi="Arial" w:hint="eastAsia"/>
          <w:kern w:val="0"/>
          <w:sz w:val="21"/>
          <w:szCs w:val="21"/>
          <w:lang w:eastAsia="zh-CN"/>
        </w:rPr>
        <w:t>alpha</w:t>
      </w:r>
      <w:r w:rsidR="00E90DE7">
        <w:rPr>
          <w:rFonts w:ascii="Arial" w:eastAsia="楷体_GB2312" w:hAnsi="Arial" w:hint="eastAsia"/>
          <w:kern w:val="0"/>
          <w:sz w:val="21"/>
          <w:szCs w:val="21"/>
          <w:lang w:eastAsia="zh-CN"/>
        </w:rPr>
        <w:t>收益更小。</w:t>
      </w:r>
      <w:r w:rsidR="000B02AE">
        <w:rPr>
          <w:rFonts w:ascii="Arial" w:eastAsia="楷体_GB2312" w:hAnsi="Arial" w:hint="eastAsia"/>
          <w:kern w:val="0"/>
          <w:sz w:val="21"/>
          <w:szCs w:val="21"/>
          <w:lang w:eastAsia="zh-CN"/>
        </w:rPr>
        <w:t>他们使用风格选择（</w:t>
      </w:r>
      <w:r w:rsidR="000B02AE">
        <w:rPr>
          <w:rFonts w:ascii="Arial" w:eastAsia="楷体_GB2312" w:hAnsi="Arial" w:hint="eastAsia"/>
          <w:kern w:val="0"/>
          <w:sz w:val="21"/>
          <w:szCs w:val="21"/>
          <w:lang w:eastAsia="zh-CN"/>
        </w:rPr>
        <w:t>characteristic</w:t>
      </w:r>
      <w:r w:rsidR="000B02AE">
        <w:rPr>
          <w:rFonts w:ascii="Arial" w:eastAsia="楷体_GB2312" w:hAnsi="Arial"/>
          <w:kern w:val="0"/>
          <w:sz w:val="21"/>
          <w:szCs w:val="21"/>
          <w:lang w:eastAsia="zh-CN"/>
        </w:rPr>
        <w:t xml:space="preserve"> </w:t>
      </w:r>
      <w:r w:rsidR="000B02AE">
        <w:rPr>
          <w:rFonts w:ascii="Arial" w:eastAsia="楷体_GB2312" w:hAnsi="Arial" w:hint="eastAsia"/>
          <w:kern w:val="0"/>
          <w:sz w:val="21"/>
          <w:szCs w:val="21"/>
          <w:lang w:eastAsia="zh-CN"/>
        </w:rPr>
        <w:t>selectivity</w:t>
      </w:r>
      <w:r w:rsidR="000B02AE">
        <w:rPr>
          <w:rFonts w:ascii="Arial" w:eastAsia="楷体_GB2312" w:hAnsi="Arial"/>
          <w:kern w:val="0"/>
          <w:sz w:val="21"/>
          <w:szCs w:val="21"/>
          <w:lang w:eastAsia="zh-CN"/>
        </w:rPr>
        <w:t>, CS</w:t>
      </w:r>
      <w:r w:rsidR="000B02AE">
        <w:rPr>
          <w:rFonts w:ascii="Arial" w:eastAsia="楷体_GB2312" w:hAnsi="Arial" w:hint="eastAsia"/>
          <w:kern w:val="0"/>
          <w:sz w:val="21"/>
          <w:szCs w:val="21"/>
          <w:lang w:eastAsia="zh-CN"/>
        </w:rPr>
        <w:t>）、隐含市场组合（</w:t>
      </w:r>
      <w:r w:rsidR="000B02AE">
        <w:rPr>
          <w:rFonts w:ascii="Arial" w:eastAsia="楷体_GB2312" w:hAnsi="Arial" w:hint="eastAsia"/>
          <w:kern w:val="0"/>
          <w:sz w:val="21"/>
          <w:szCs w:val="21"/>
          <w:lang w:eastAsia="zh-CN"/>
        </w:rPr>
        <w:t>Implied</w:t>
      </w:r>
      <w:r w:rsidR="000B02AE">
        <w:rPr>
          <w:rFonts w:ascii="Arial" w:eastAsia="楷体_GB2312" w:hAnsi="Arial"/>
          <w:kern w:val="0"/>
          <w:sz w:val="21"/>
          <w:szCs w:val="21"/>
          <w:lang w:eastAsia="zh-CN"/>
        </w:rPr>
        <w:t xml:space="preserve"> Market return, IM</w:t>
      </w:r>
      <w:r w:rsidR="000B02AE">
        <w:rPr>
          <w:rFonts w:ascii="Arial" w:eastAsia="楷体_GB2312" w:hAnsi="Arial" w:hint="eastAsia"/>
          <w:kern w:val="0"/>
          <w:sz w:val="21"/>
          <w:szCs w:val="21"/>
          <w:lang w:eastAsia="zh-CN"/>
        </w:rPr>
        <w:t>）、超额风格（</w:t>
      </w:r>
      <w:r w:rsidR="000B02AE">
        <w:rPr>
          <w:rFonts w:ascii="Arial" w:eastAsia="楷体_GB2312" w:hAnsi="Arial" w:hint="eastAsia"/>
          <w:kern w:val="0"/>
          <w:sz w:val="21"/>
          <w:szCs w:val="21"/>
          <w:lang w:eastAsia="zh-CN"/>
        </w:rPr>
        <w:t>Excess</w:t>
      </w:r>
      <w:r w:rsidR="000B02AE">
        <w:rPr>
          <w:rFonts w:ascii="Arial" w:eastAsia="楷体_GB2312" w:hAnsi="Arial"/>
          <w:kern w:val="0"/>
          <w:sz w:val="21"/>
          <w:szCs w:val="21"/>
          <w:lang w:eastAsia="zh-CN"/>
        </w:rPr>
        <w:t xml:space="preserve"> Style, ES</w:t>
      </w:r>
      <w:r w:rsidR="000B02AE">
        <w:rPr>
          <w:rFonts w:ascii="Arial" w:eastAsia="楷体_GB2312" w:hAnsi="Arial" w:hint="eastAsia"/>
          <w:kern w:val="0"/>
          <w:sz w:val="21"/>
          <w:szCs w:val="21"/>
          <w:lang w:eastAsia="zh-CN"/>
        </w:rPr>
        <w:t>）来衡量基金相对于价值加权基准组合。这里，</w:t>
      </w:r>
      <w:r w:rsidR="000B02AE" w:rsidRPr="00EF3124">
        <w:rPr>
          <w:position w:val="-10"/>
        </w:rPr>
        <w:object w:dxaOrig="565" w:dyaOrig="316" w14:anchorId="788CC084">
          <v:shape id="_x0000_i1225" type="#_x0000_t75" style="width:28.25pt;height:15.85pt" o:ole="">
            <v:imagedata r:id="rId94" o:title=""/>
          </v:shape>
          <o:OLEObject Type="Embed" ProgID="Equation.AxMath" ShapeID="_x0000_i1225" DrawAspect="Content" ObjectID="_1676403485" r:id="rId95"/>
        </w:object>
      </w:r>
      <w:r w:rsidR="000B02AE" w:rsidRPr="000B02AE">
        <w:rPr>
          <w:rFonts w:ascii="Arial" w:eastAsia="楷体_GB2312" w:hAnsi="Arial" w:hint="eastAsia"/>
          <w:kern w:val="0"/>
          <w:sz w:val="21"/>
          <w:szCs w:val="21"/>
          <w:lang w:eastAsia="zh-CN"/>
        </w:rPr>
        <w:t>是股票</w:t>
      </w:r>
      <w:r w:rsidR="000B02AE" w:rsidRPr="000B02AE">
        <w:rPr>
          <w:rFonts w:ascii="Arial" w:eastAsia="楷体_GB2312" w:hAnsi="Arial" w:hint="eastAsia"/>
          <w:kern w:val="0"/>
          <w:sz w:val="21"/>
          <w:szCs w:val="21"/>
          <w:lang w:eastAsia="zh-CN"/>
        </w:rPr>
        <w:t>i</w:t>
      </w:r>
      <w:r w:rsidR="000B02AE" w:rsidRPr="000B02AE">
        <w:rPr>
          <w:rFonts w:ascii="Arial" w:eastAsia="楷体_GB2312" w:hAnsi="Arial" w:hint="eastAsia"/>
          <w:kern w:val="0"/>
          <w:sz w:val="21"/>
          <w:szCs w:val="21"/>
          <w:lang w:eastAsia="zh-CN"/>
        </w:rPr>
        <w:t>在</w:t>
      </w:r>
      <w:r w:rsidR="000B02AE" w:rsidRPr="000B02AE">
        <w:rPr>
          <w:rFonts w:ascii="Arial" w:eastAsia="楷体_GB2312" w:hAnsi="Arial" w:hint="eastAsia"/>
          <w:kern w:val="0"/>
          <w:sz w:val="21"/>
          <w:szCs w:val="21"/>
          <w:lang w:eastAsia="zh-CN"/>
        </w:rPr>
        <w:t>t-1</w:t>
      </w:r>
      <w:r w:rsidR="000B02AE" w:rsidRPr="000B02AE">
        <w:rPr>
          <w:rFonts w:ascii="Arial" w:eastAsia="楷体_GB2312" w:hAnsi="Arial" w:hint="eastAsia"/>
          <w:kern w:val="0"/>
          <w:sz w:val="21"/>
          <w:szCs w:val="21"/>
          <w:lang w:eastAsia="zh-CN"/>
        </w:rPr>
        <w:t>月份在基金中的权重，</w:t>
      </w:r>
      <w:r w:rsidR="000B02AE" w:rsidRPr="00EF3124">
        <w:rPr>
          <w:position w:val="-10"/>
        </w:rPr>
        <w:object w:dxaOrig="636" w:dyaOrig="316" w14:anchorId="371ABC24">
          <v:shape id="_x0000_i1242" type="#_x0000_t75" style="width:31.75pt;height:15.85pt" o:ole="">
            <v:imagedata r:id="rId96" o:title=""/>
          </v:shape>
          <o:OLEObject Type="Embed" ProgID="Equation.AxMath" ShapeID="_x0000_i1242" DrawAspect="Content" ObjectID="_1676403486" r:id="rId97"/>
        </w:object>
      </w:r>
      <w:r w:rsidR="000B02AE" w:rsidRPr="000B02AE">
        <w:rPr>
          <w:rFonts w:ascii="Arial" w:eastAsia="楷体_GB2312" w:hAnsi="Arial" w:hint="eastAsia"/>
          <w:kern w:val="0"/>
          <w:sz w:val="21"/>
          <w:szCs w:val="21"/>
          <w:lang w:eastAsia="zh-CN"/>
        </w:rPr>
        <w:t>是</w:t>
      </w:r>
      <w:r w:rsidR="000B02AE">
        <w:rPr>
          <w:rFonts w:ascii="Arial" w:eastAsia="楷体_GB2312" w:hAnsi="Arial" w:hint="eastAsia"/>
          <w:kern w:val="0"/>
          <w:sz w:val="21"/>
          <w:szCs w:val="21"/>
          <w:lang w:eastAsia="zh-CN"/>
        </w:rPr>
        <w:t>股票</w:t>
      </w:r>
      <w:r w:rsidR="000B02AE">
        <w:rPr>
          <w:rFonts w:ascii="Arial" w:eastAsia="楷体_GB2312" w:hAnsi="Arial" w:hint="eastAsia"/>
          <w:kern w:val="0"/>
          <w:sz w:val="21"/>
          <w:szCs w:val="21"/>
          <w:lang w:eastAsia="zh-CN"/>
        </w:rPr>
        <w:t>i</w:t>
      </w:r>
      <w:r w:rsidR="000B02AE" w:rsidRPr="000B02AE">
        <w:rPr>
          <w:rFonts w:ascii="Arial" w:eastAsia="楷体_GB2312" w:hAnsi="Arial" w:hint="eastAsia"/>
          <w:kern w:val="0"/>
          <w:sz w:val="21"/>
          <w:szCs w:val="21"/>
          <w:lang w:eastAsia="zh-CN"/>
        </w:rPr>
        <w:t>在</w:t>
      </w:r>
      <w:r w:rsidR="000B02AE" w:rsidRPr="000B02AE">
        <w:rPr>
          <w:rFonts w:ascii="Arial" w:eastAsia="楷体_GB2312" w:hAnsi="Arial" w:hint="eastAsia"/>
          <w:kern w:val="0"/>
          <w:sz w:val="21"/>
          <w:szCs w:val="21"/>
          <w:lang w:eastAsia="zh-CN"/>
        </w:rPr>
        <w:t>t-1</w:t>
      </w:r>
      <w:r w:rsidR="000B02AE" w:rsidRPr="000B02AE">
        <w:rPr>
          <w:rFonts w:ascii="Arial" w:eastAsia="楷体_GB2312" w:hAnsi="Arial" w:hint="eastAsia"/>
          <w:kern w:val="0"/>
          <w:sz w:val="21"/>
          <w:szCs w:val="21"/>
          <w:lang w:eastAsia="zh-CN"/>
        </w:rPr>
        <w:t>月份在</w:t>
      </w:r>
      <w:r w:rsidR="000B02AE">
        <w:rPr>
          <w:rFonts w:ascii="Arial" w:eastAsia="楷体_GB2312" w:hAnsi="Arial" w:hint="eastAsia"/>
          <w:kern w:val="0"/>
          <w:sz w:val="21"/>
          <w:szCs w:val="21"/>
          <w:lang w:eastAsia="zh-CN"/>
        </w:rPr>
        <w:t>指数基准</w:t>
      </w:r>
      <w:r w:rsidR="000B02AE" w:rsidRPr="000B02AE">
        <w:rPr>
          <w:rFonts w:ascii="Arial" w:eastAsia="楷体_GB2312" w:hAnsi="Arial" w:hint="eastAsia"/>
          <w:kern w:val="0"/>
          <w:sz w:val="21"/>
          <w:szCs w:val="21"/>
          <w:lang w:eastAsia="zh-CN"/>
        </w:rPr>
        <w:t>中的权重</w:t>
      </w:r>
      <w:r w:rsidR="000B02AE">
        <w:rPr>
          <w:rFonts w:ascii="Arial" w:eastAsia="楷体_GB2312" w:hAnsi="Arial" w:hint="eastAsia"/>
          <w:kern w:val="0"/>
          <w:sz w:val="21"/>
          <w:szCs w:val="21"/>
          <w:lang w:eastAsia="zh-CN"/>
        </w:rPr>
        <w:t>，</w:t>
      </w:r>
      <w:r w:rsidR="000B02AE" w:rsidRPr="000B02AE">
        <w:rPr>
          <w:rFonts w:ascii="Arial" w:eastAsia="楷体_GB2312" w:hAnsi="Arial"/>
          <w:kern w:val="0"/>
          <w:position w:val="-10"/>
          <w:sz w:val="21"/>
          <w:szCs w:val="21"/>
          <w:lang w:eastAsia="zh-CN"/>
        </w:rPr>
        <w:object w:dxaOrig="366" w:dyaOrig="316" w14:anchorId="7E6AD26A">
          <v:shape id="_x0000_i1235" type="#_x0000_t75" style="width:18.2pt;height:15.85pt" o:ole="">
            <v:imagedata r:id="rId98" o:title=""/>
          </v:shape>
          <o:OLEObject Type="Embed" ProgID="Equation.AxMath" ShapeID="_x0000_i1235" DrawAspect="Content" ObjectID="_1676403487" r:id="rId99"/>
        </w:object>
      </w:r>
      <w:r w:rsidR="000B02AE" w:rsidRPr="000B02AE">
        <w:rPr>
          <w:rFonts w:ascii="Arial" w:eastAsia="楷体_GB2312" w:hAnsi="Arial" w:hint="eastAsia"/>
          <w:kern w:val="0"/>
          <w:sz w:val="21"/>
          <w:szCs w:val="21"/>
          <w:lang w:eastAsia="zh-CN"/>
        </w:rPr>
        <w:t>是股票</w:t>
      </w:r>
      <w:r w:rsidR="000B02AE" w:rsidRPr="000B02AE">
        <w:rPr>
          <w:rFonts w:ascii="Arial" w:eastAsia="楷体_GB2312" w:hAnsi="Arial" w:hint="eastAsia"/>
          <w:kern w:val="0"/>
          <w:sz w:val="21"/>
          <w:szCs w:val="21"/>
          <w:lang w:eastAsia="zh-CN"/>
        </w:rPr>
        <w:t>i</w:t>
      </w:r>
      <w:r w:rsidR="000B02AE" w:rsidRPr="000B02AE">
        <w:rPr>
          <w:rFonts w:ascii="Arial" w:eastAsia="楷体_GB2312" w:hAnsi="Arial" w:hint="eastAsia"/>
          <w:kern w:val="0"/>
          <w:sz w:val="21"/>
          <w:szCs w:val="21"/>
          <w:lang w:eastAsia="zh-CN"/>
        </w:rPr>
        <w:t>在</w:t>
      </w:r>
      <w:r w:rsidR="000B02AE" w:rsidRPr="000B02AE">
        <w:rPr>
          <w:rFonts w:ascii="Arial" w:eastAsia="楷体_GB2312" w:hAnsi="Arial" w:hint="eastAsia"/>
          <w:kern w:val="0"/>
          <w:sz w:val="21"/>
          <w:szCs w:val="21"/>
          <w:lang w:eastAsia="zh-CN"/>
        </w:rPr>
        <w:t>t</w:t>
      </w:r>
      <w:r w:rsidR="000B02AE" w:rsidRPr="000B02AE">
        <w:rPr>
          <w:rFonts w:ascii="Arial" w:eastAsia="楷体_GB2312" w:hAnsi="Arial" w:hint="eastAsia"/>
          <w:kern w:val="0"/>
          <w:sz w:val="21"/>
          <w:szCs w:val="21"/>
          <w:lang w:eastAsia="zh-CN"/>
        </w:rPr>
        <w:t>月份的月度收益率，</w:t>
      </w:r>
      <w:r w:rsidR="000B02AE" w:rsidRPr="000B02AE">
        <w:rPr>
          <w:rFonts w:ascii="Arial" w:eastAsia="楷体_GB2312" w:hAnsi="Arial"/>
          <w:kern w:val="0"/>
          <w:position w:val="-10"/>
          <w:sz w:val="21"/>
          <w:szCs w:val="21"/>
          <w:lang w:eastAsia="zh-CN"/>
        </w:rPr>
        <w:object w:dxaOrig="641" w:dyaOrig="319" w14:anchorId="4EEEC21B">
          <v:shape id="_x0000_i1237" type="#_x0000_t75" style="width:32.15pt;height:15.85pt" o:ole="">
            <v:imagedata r:id="rId100" o:title=""/>
          </v:shape>
          <o:OLEObject Type="Embed" ProgID="Equation.AxMath" ShapeID="_x0000_i1237" DrawAspect="Content" ObjectID="_1676403488" r:id="rId101"/>
        </w:object>
      </w:r>
      <w:r w:rsidR="000B02AE" w:rsidRPr="000B02AE">
        <w:rPr>
          <w:rFonts w:ascii="Arial" w:eastAsia="楷体_GB2312" w:hAnsi="Arial" w:hint="eastAsia"/>
          <w:kern w:val="0"/>
          <w:sz w:val="21"/>
          <w:szCs w:val="21"/>
          <w:lang w:eastAsia="zh-CN"/>
        </w:rPr>
        <w:t>衡量风格组合在</w:t>
      </w:r>
      <w:r w:rsidR="000B02AE" w:rsidRPr="000B02AE">
        <w:rPr>
          <w:rFonts w:ascii="Arial" w:eastAsia="楷体_GB2312" w:hAnsi="Arial" w:hint="eastAsia"/>
          <w:kern w:val="0"/>
          <w:sz w:val="21"/>
          <w:szCs w:val="21"/>
          <w:lang w:eastAsia="zh-CN"/>
        </w:rPr>
        <w:t>t-</w:t>
      </w:r>
      <w:r w:rsidR="000B02AE" w:rsidRPr="000B02AE">
        <w:rPr>
          <w:rFonts w:ascii="Arial" w:eastAsia="楷体_GB2312" w:hAnsi="Arial"/>
          <w:kern w:val="0"/>
          <w:sz w:val="21"/>
          <w:szCs w:val="21"/>
          <w:lang w:eastAsia="zh-CN"/>
        </w:rPr>
        <w:t>1</w:t>
      </w:r>
      <w:r w:rsidR="000B02AE" w:rsidRPr="000B02AE">
        <w:rPr>
          <w:rFonts w:ascii="Arial" w:eastAsia="楷体_GB2312" w:hAnsi="Arial" w:hint="eastAsia"/>
          <w:kern w:val="0"/>
          <w:sz w:val="21"/>
          <w:szCs w:val="21"/>
          <w:lang w:eastAsia="zh-CN"/>
        </w:rPr>
        <w:t>月份的月度收益率。</w:t>
      </w:r>
    </w:p>
    <w:p w14:paraId="7CA66AB2" w14:textId="3EC82869" w:rsidR="000B02AE" w:rsidRDefault="000B02AE" w:rsidP="000B02AE">
      <w:pPr>
        <w:pStyle w:val="AMDisplayEquation"/>
        <w:rPr>
          <w:rFonts w:hint="eastAsia"/>
        </w:rPr>
      </w:pPr>
      <w:r>
        <w:tab/>
      </w:r>
      <w:r w:rsidRPr="000B02AE">
        <w:rPr>
          <w:position w:val="-133"/>
        </w:rPr>
        <w:object w:dxaOrig="2938" w:dyaOrig="2809" w14:anchorId="6BB806D6">
          <v:shape id="_x0000_i1239" type="#_x0000_t75" style="width:146.7pt;height:140.5pt" o:ole="">
            <v:imagedata r:id="rId102" o:title=""/>
          </v:shape>
          <o:OLEObject Type="Embed" ProgID="Equation.AxMath" ShapeID="_x0000_i1239" DrawAspect="Content" ObjectID="_1676403489" r:id="rId10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14</w:instrText>
        </w:r>
      </w:fldSimple>
      <w:r>
        <w:instrText>)</w:instrText>
      </w:r>
      <w:r>
        <w:fldChar w:fldCharType="end"/>
      </w:r>
    </w:p>
    <w:p w14:paraId="58BAB42B" w14:textId="3E5AA295" w:rsidR="00475118" w:rsidRDefault="00475118" w:rsidP="00475118">
      <w:pPr>
        <w:autoSpaceDE w:val="0"/>
        <w:autoSpaceDN w:val="0"/>
        <w:adjustRightInd w:val="0"/>
        <w:spacing w:beforeLines="50" w:before="163" w:after="100"/>
        <w:ind w:leftChars="1257" w:left="3017" w:firstLineChars="291" w:firstLine="611"/>
        <w:jc w:val="both"/>
        <w:rPr>
          <w:rFonts w:ascii="Arial" w:eastAsia="楷体_GB2312" w:hAnsi="Arial" w:hint="eastAsia"/>
          <w:kern w:val="0"/>
          <w:sz w:val="21"/>
          <w:szCs w:val="21"/>
          <w:lang w:eastAsia="zh-CN"/>
        </w:rPr>
      </w:pPr>
      <w:r>
        <w:rPr>
          <w:rFonts w:ascii="Arial" w:eastAsia="楷体_GB2312" w:hAnsi="Arial" w:hint="eastAsia"/>
          <w:kern w:val="0"/>
          <w:sz w:val="21"/>
          <w:szCs w:val="21"/>
          <w:lang w:eastAsia="zh-CN"/>
        </w:rPr>
        <w:t>同时，</w:t>
      </w:r>
      <w:r w:rsidR="00E90DE7" w:rsidRPr="00475118">
        <w:rPr>
          <w:rFonts w:ascii="Arial" w:eastAsia="楷体_GB2312" w:hAnsi="Arial"/>
          <w:kern w:val="0"/>
          <w:sz w:val="21"/>
          <w:szCs w:val="21"/>
          <w:lang w:eastAsia="zh-CN"/>
        </w:rPr>
        <w:t>Bülent Baygün, Tzucker R</w:t>
      </w:r>
      <w:r w:rsidR="00E90DE7" w:rsidRPr="00E90DE7">
        <w:rPr>
          <w:rFonts w:ascii="Arial" w:eastAsia="楷体_GB2312" w:hAnsi="Arial"/>
          <w:kern w:val="0"/>
          <w:sz w:val="21"/>
          <w:szCs w:val="21"/>
          <w:vertAlign w:val="superscript"/>
          <w:lang w:eastAsia="zh-CN"/>
        </w:rPr>
        <w:t>7</w:t>
      </w:r>
      <w:r>
        <w:rPr>
          <w:rFonts w:ascii="Arial" w:eastAsia="楷体_GB2312" w:hAnsi="Arial" w:hint="eastAsia"/>
          <w:kern w:val="0"/>
          <w:sz w:val="21"/>
          <w:szCs w:val="21"/>
          <w:lang w:eastAsia="zh-CN"/>
        </w:rPr>
        <w:t>中还提到使用</w:t>
      </w:r>
      <w:r w:rsidR="00BE5D81">
        <w:rPr>
          <w:rFonts w:ascii="Arial" w:eastAsia="楷体_GB2312" w:hAnsi="Arial" w:hint="eastAsia"/>
          <w:kern w:val="0"/>
          <w:sz w:val="21"/>
          <w:szCs w:val="21"/>
          <w:lang w:eastAsia="zh-CN"/>
        </w:rPr>
        <w:t>马科维茨</w:t>
      </w:r>
      <w:r>
        <w:rPr>
          <w:rFonts w:ascii="Arial" w:eastAsia="楷体_GB2312" w:hAnsi="Arial" w:hint="eastAsia"/>
          <w:kern w:val="0"/>
          <w:sz w:val="21"/>
          <w:szCs w:val="21"/>
          <w:lang w:eastAsia="zh-CN"/>
        </w:rPr>
        <w:t>均值</w:t>
      </w:r>
      <w:r>
        <w:rPr>
          <w:rFonts w:ascii="Arial" w:eastAsia="楷体_GB2312" w:hAnsi="Arial" w:hint="eastAsia"/>
          <w:kern w:val="0"/>
          <w:sz w:val="21"/>
          <w:szCs w:val="21"/>
          <w:lang w:eastAsia="zh-CN"/>
        </w:rPr>
        <w:t>/</w:t>
      </w:r>
      <w:r>
        <w:rPr>
          <w:rFonts w:ascii="Arial" w:eastAsia="楷体_GB2312" w:hAnsi="Arial" w:hint="eastAsia"/>
          <w:kern w:val="0"/>
          <w:sz w:val="21"/>
          <w:szCs w:val="21"/>
          <w:lang w:eastAsia="zh-CN"/>
        </w:rPr>
        <w:t>方差分析来定</w:t>
      </w:r>
      <w:r>
        <w:rPr>
          <w:rFonts w:ascii="Arial" w:eastAsia="楷体_GB2312" w:hAnsi="Arial" w:hint="eastAsia"/>
          <w:kern w:val="0"/>
          <w:sz w:val="21"/>
          <w:szCs w:val="21"/>
          <w:lang w:eastAsia="zh-CN"/>
        </w:rPr>
        <w:lastRenderedPageBreak/>
        <w:t>制化业绩评价基准。定制化动态的业绩评价基准能够更好的体现出战术性资产配置的优势，</w:t>
      </w:r>
      <w:r w:rsidR="00BE5D81">
        <w:rPr>
          <w:rFonts w:ascii="Arial" w:eastAsia="楷体_GB2312" w:hAnsi="Arial" w:hint="eastAsia"/>
          <w:kern w:val="0"/>
          <w:sz w:val="21"/>
          <w:szCs w:val="21"/>
          <w:lang w:eastAsia="zh-CN"/>
        </w:rPr>
        <w:t>此时基准是马科维茨模型给出的有效前沿（</w:t>
      </w:r>
      <w:r w:rsidR="00BE5D81">
        <w:rPr>
          <w:rFonts w:ascii="Arial" w:eastAsia="楷体_GB2312" w:hAnsi="Arial" w:hint="eastAsia"/>
          <w:kern w:val="0"/>
          <w:sz w:val="21"/>
          <w:szCs w:val="21"/>
          <w:lang w:eastAsia="zh-CN"/>
        </w:rPr>
        <w:t>efficient</w:t>
      </w:r>
      <w:r w:rsidR="00BE5D81">
        <w:rPr>
          <w:rFonts w:ascii="Arial" w:eastAsia="楷体_GB2312" w:hAnsi="Arial"/>
          <w:kern w:val="0"/>
          <w:sz w:val="21"/>
          <w:szCs w:val="21"/>
          <w:lang w:eastAsia="zh-CN"/>
        </w:rPr>
        <w:t xml:space="preserve"> frontier</w:t>
      </w:r>
      <w:r w:rsidR="00BE5D81">
        <w:rPr>
          <w:rFonts w:ascii="Arial" w:eastAsia="楷体_GB2312" w:hAnsi="Arial" w:hint="eastAsia"/>
          <w:kern w:val="0"/>
          <w:sz w:val="21"/>
          <w:szCs w:val="21"/>
          <w:lang w:eastAsia="zh-CN"/>
        </w:rPr>
        <w:t>）</w:t>
      </w:r>
      <w:r>
        <w:rPr>
          <w:rFonts w:ascii="Arial" w:eastAsia="楷体_GB2312" w:hAnsi="Arial" w:hint="eastAsia"/>
          <w:kern w:val="0"/>
          <w:sz w:val="21"/>
          <w:szCs w:val="21"/>
          <w:lang w:eastAsia="zh-CN"/>
        </w:rPr>
        <w:t>突出除历史信息之外的事件驱动基金收益的因素。</w:t>
      </w:r>
    </w:p>
    <w:p w14:paraId="6CDEB477" w14:textId="196468E0" w:rsidR="00475118" w:rsidRPr="00176693" w:rsidRDefault="00475118" w:rsidP="00475118">
      <w:pPr>
        <w:pStyle w:val="2"/>
        <w:spacing w:before="326"/>
        <w:ind w:leftChars="0"/>
        <w:rPr>
          <w:rFonts w:eastAsiaTheme="minorEastAsia"/>
          <w:lang w:eastAsia="zh-CN"/>
        </w:rPr>
      </w:pPr>
      <w:r>
        <w:rPr>
          <w:rFonts w:hint="eastAsia"/>
          <w:lang w:eastAsia="zh-CN"/>
        </w:rPr>
        <w:t>（</w:t>
      </w:r>
      <w:r>
        <w:rPr>
          <w:rFonts w:hint="eastAsia"/>
          <w:lang w:eastAsia="zh-CN"/>
        </w:rPr>
        <w:t>五</w:t>
      </w:r>
      <w:r>
        <w:rPr>
          <w:rFonts w:hint="eastAsia"/>
          <w:lang w:eastAsia="zh-CN"/>
        </w:rPr>
        <w:t>）</w:t>
      </w:r>
      <w:r>
        <w:rPr>
          <w:rFonts w:hint="eastAsia"/>
          <w:lang w:eastAsia="zh-CN"/>
        </w:rPr>
        <w:t>复合</w:t>
      </w:r>
      <w:r>
        <w:rPr>
          <w:rFonts w:hint="eastAsia"/>
          <w:lang w:eastAsia="zh-CN"/>
        </w:rPr>
        <w:t>型基金业绩评价基准</w:t>
      </w:r>
      <w:r>
        <w:rPr>
          <w:rFonts w:hint="eastAsia"/>
          <w:lang w:eastAsia="zh-CN"/>
        </w:rPr>
        <w:t>的</w:t>
      </w:r>
      <w:r w:rsidR="0023442E">
        <w:rPr>
          <w:rFonts w:hint="eastAsia"/>
          <w:lang w:eastAsia="zh-CN"/>
        </w:rPr>
        <w:t>选择</w:t>
      </w:r>
    </w:p>
    <w:p w14:paraId="1A5E1F49" w14:textId="792B2508" w:rsidR="00475118" w:rsidRDefault="00475118" w:rsidP="00475118">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r w:rsidRPr="00475118">
        <w:rPr>
          <w:rFonts w:ascii="Arial" w:eastAsia="楷体_GB2312" w:hAnsi="Arial" w:hint="eastAsia"/>
          <w:kern w:val="0"/>
          <w:sz w:val="21"/>
          <w:szCs w:val="21"/>
          <w:lang w:eastAsia="zh-CN"/>
        </w:rPr>
        <w:t>对于复合型业绩比较基准，我们需要再平衡机制（</w:t>
      </w:r>
      <w:r w:rsidRPr="00475118">
        <w:rPr>
          <w:rFonts w:ascii="Arial" w:eastAsia="楷体_GB2312" w:hAnsi="Arial"/>
          <w:kern w:val="0"/>
          <w:sz w:val="21"/>
          <w:szCs w:val="21"/>
          <w:lang w:eastAsia="zh-CN"/>
        </w:rPr>
        <w:t>rebalance</w:t>
      </w:r>
      <w:r w:rsidRPr="00475118">
        <w:rPr>
          <w:rFonts w:ascii="Arial" w:eastAsia="楷体_GB2312" w:hAnsi="Arial" w:hint="eastAsia"/>
          <w:kern w:val="0"/>
          <w:sz w:val="21"/>
          <w:szCs w:val="21"/>
          <w:lang w:eastAsia="zh-CN"/>
        </w:rPr>
        <w:t>）因为其中的各类资产的权重会随着时间的推移改变。有三种方式进行再平衡，首先是根据目标权重连续对业绩比较基准进行再平衡，这个主要是由于不通过资产涨跌不一致、投资组合的资产配置比例偏离业绩遍及欧基准或者被动型指数和资产对应的指数表现不一致所导致的；其次是根据不同资产指数的收益情况调整业绩比较基准的资产配置比例，长期来看，这种方法可能更加准确。周期性业绩比较基准再平衡或者重置（重置回目标比例）应该与投资组合的调整保持同步；再次是加入负债的价值比如考虑负债久期的影响，或者基于投资目标的最优资产配置（</w:t>
      </w:r>
      <w:r w:rsidRPr="00475118">
        <w:rPr>
          <w:rFonts w:ascii="Arial" w:eastAsia="楷体_GB2312" w:hAnsi="Arial"/>
          <w:kern w:val="0"/>
          <w:sz w:val="21"/>
          <w:szCs w:val="21"/>
          <w:lang w:eastAsia="zh-CN"/>
        </w:rPr>
        <w:t>optimized asset allocation</w:t>
      </w:r>
      <w:r w:rsidRPr="00475118">
        <w:rPr>
          <w:rFonts w:ascii="Arial" w:eastAsia="楷体_GB2312" w:hAnsi="Arial" w:hint="eastAsia"/>
          <w:kern w:val="0"/>
          <w:sz w:val="21"/>
          <w:szCs w:val="21"/>
          <w:lang w:eastAsia="zh-CN"/>
        </w:rPr>
        <w:t>）和</w:t>
      </w:r>
      <w:r w:rsidRPr="00475118">
        <w:rPr>
          <w:rFonts w:ascii="Arial" w:eastAsia="楷体_GB2312" w:hAnsi="Arial"/>
          <w:kern w:val="0"/>
          <w:sz w:val="21"/>
          <w:szCs w:val="21"/>
          <w:lang w:eastAsia="zh-CN"/>
        </w:rPr>
        <w:t>ALM</w:t>
      </w:r>
      <w:r w:rsidRPr="00475118">
        <w:rPr>
          <w:rFonts w:ascii="Arial" w:eastAsia="楷体_GB2312" w:hAnsi="Arial" w:hint="eastAsia"/>
          <w:kern w:val="0"/>
          <w:sz w:val="21"/>
          <w:szCs w:val="21"/>
          <w:lang w:eastAsia="zh-CN"/>
        </w:rPr>
        <w:t>（</w:t>
      </w:r>
      <w:r w:rsidRPr="00475118">
        <w:rPr>
          <w:rFonts w:ascii="Arial" w:eastAsia="楷体_GB2312" w:hAnsi="Arial"/>
          <w:kern w:val="0"/>
          <w:sz w:val="21"/>
          <w:szCs w:val="21"/>
          <w:lang w:eastAsia="zh-CN"/>
        </w:rPr>
        <w:t>Asset Liability Model</w:t>
      </w:r>
      <w:r w:rsidRPr="00475118">
        <w:rPr>
          <w:rFonts w:ascii="Arial" w:eastAsia="楷体_GB2312" w:hAnsi="Arial" w:hint="eastAsia"/>
          <w:kern w:val="0"/>
          <w:sz w:val="21"/>
          <w:szCs w:val="21"/>
          <w:lang w:eastAsia="zh-CN"/>
        </w:rPr>
        <w:t>）模型。</w:t>
      </w:r>
    </w:p>
    <w:p w14:paraId="2EA30E82" w14:textId="2C477C07" w:rsidR="0023442E" w:rsidRPr="00176693" w:rsidRDefault="0023442E" w:rsidP="0023442E">
      <w:pPr>
        <w:pStyle w:val="2"/>
        <w:spacing w:before="326"/>
        <w:ind w:leftChars="0"/>
        <w:rPr>
          <w:rFonts w:eastAsiaTheme="minorEastAsia"/>
          <w:lang w:eastAsia="zh-CN"/>
        </w:rPr>
      </w:pPr>
      <w:r>
        <w:rPr>
          <w:rFonts w:hint="eastAsia"/>
          <w:lang w:eastAsia="zh-CN"/>
        </w:rPr>
        <w:t>（</w:t>
      </w:r>
      <w:r>
        <w:rPr>
          <w:rFonts w:hint="eastAsia"/>
          <w:lang w:eastAsia="zh-CN"/>
        </w:rPr>
        <w:t>六</w:t>
      </w:r>
      <w:r>
        <w:rPr>
          <w:rFonts w:hint="eastAsia"/>
          <w:lang w:eastAsia="zh-CN"/>
        </w:rPr>
        <w:t>）</w:t>
      </w:r>
      <w:r>
        <w:rPr>
          <w:rFonts w:hint="eastAsia"/>
          <w:lang w:eastAsia="zh-CN"/>
        </w:rPr>
        <w:t>期权基金业绩评价基准的选择</w:t>
      </w:r>
    </w:p>
    <w:p w14:paraId="07389D98" w14:textId="22E94606" w:rsidR="0023442E" w:rsidRDefault="0023442E" w:rsidP="00475118">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r w:rsidRPr="0023442E">
        <w:rPr>
          <w:rFonts w:ascii="Arial" w:eastAsia="楷体_GB2312" w:hAnsi="Arial"/>
          <w:kern w:val="0"/>
          <w:sz w:val="21"/>
          <w:szCs w:val="21"/>
          <w:lang w:eastAsia="zh-CN"/>
        </w:rPr>
        <w:t>Natter, Markus.</w:t>
      </w:r>
      <w:r>
        <w:rPr>
          <w:rFonts w:ascii="Arial" w:eastAsia="楷体_GB2312" w:hAnsi="Arial" w:hint="eastAsia"/>
          <w:kern w:val="0"/>
          <w:sz w:val="21"/>
          <w:szCs w:val="21"/>
          <w:lang w:eastAsia="zh-CN"/>
        </w:rPr>
        <w:t>（</w:t>
      </w:r>
      <w:r>
        <w:rPr>
          <w:rFonts w:ascii="Arial" w:eastAsia="楷体_GB2312" w:hAnsi="Arial" w:hint="eastAsia"/>
          <w:kern w:val="0"/>
          <w:sz w:val="21"/>
          <w:szCs w:val="21"/>
          <w:lang w:eastAsia="zh-CN"/>
        </w:rPr>
        <w:t>2</w:t>
      </w:r>
      <w:r>
        <w:rPr>
          <w:rFonts w:ascii="Arial" w:eastAsia="楷体_GB2312" w:hAnsi="Arial"/>
          <w:kern w:val="0"/>
          <w:sz w:val="21"/>
          <w:szCs w:val="21"/>
          <w:lang w:eastAsia="zh-CN"/>
        </w:rPr>
        <w:t>018</w:t>
      </w:r>
      <w:r>
        <w:rPr>
          <w:rFonts w:ascii="Arial" w:eastAsia="楷体_GB2312" w:hAnsi="Arial" w:hint="eastAsia"/>
          <w:kern w:val="0"/>
          <w:sz w:val="21"/>
          <w:szCs w:val="21"/>
          <w:lang w:eastAsia="zh-CN"/>
        </w:rPr>
        <w:t>）</w:t>
      </w:r>
      <w:r>
        <w:rPr>
          <w:rStyle w:val="aff7"/>
          <w:rFonts w:ascii="Arial" w:eastAsia="楷体_GB2312" w:hAnsi="Arial"/>
          <w:kern w:val="0"/>
          <w:sz w:val="21"/>
          <w:szCs w:val="21"/>
          <w:lang w:eastAsia="zh-CN"/>
        </w:rPr>
        <w:footnoteReference w:id="10"/>
      </w:r>
      <w:r>
        <w:rPr>
          <w:rFonts w:ascii="Arial" w:eastAsia="楷体_GB2312" w:hAnsi="Arial" w:hint="eastAsia"/>
          <w:kern w:val="0"/>
          <w:sz w:val="21"/>
          <w:szCs w:val="21"/>
          <w:lang w:eastAsia="zh-CN"/>
        </w:rPr>
        <w:t>控制住了随时间爱你变化的</w:t>
      </w:r>
      <w:r>
        <w:rPr>
          <w:rFonts w:ascii="Arial" w:eastAsia="楷体_GB2312" w:hAnsi="Arial" w:hint="eastAsia"/>
          <w:kern w:val="0"/>
          <w:sz w:val="21"/>
          <w:szCs w:val="21"/>
          <w:lang w:eastAsia="zh-CN"/>
        </w:rPr>
        <w:t>delta</w:t>
      </w:r>
      <w:r>
        <w:rPr>
          <w:rFonts w:ascii="Arial" w:eastAsia="楷体_GB2312" w:hAnsi="Arial" w:hint="eastAsia"/>
          <w:kern w:val="0"/>
          <w:sz w:val="21"/>
          <w:szCs w:val="21"/>
          <w:lang w:eastAsia="zh-CN"/>
        </w:rPr>
        <w:t>暴露，通过线性的方式（</w:t>
      </w:r>
      <w:r>
        <w:rPr>
          <w:rFonts w:ascii="Arial" w:eastAsia="楷体_GB2312" w:hAnsi="Arial" w:hint="eastAsia"/>
          <w:kern w:val="0"/>
          <w:sz w:val="21"/>
          <w:szCs w:val="21"/>
          <w:lang w:eastAsia="zh-CN"/>
        </w:rPr>
        <w:t>linear</w:t>
      </w:r>
      <w:r>
        <w:rPr>
          <w:rFonts w:ascii="Arial" w:eastAsia="楷体_GB2312" w:hAnsi="Arial"/>
          <w:kern w:val="0"/>
          <w:sz w:val="21"/>
          <w:szCs w:val="21"/>
          <w:lang w:eastAsia="zh-CN"/>
        </w:rPr>
        <w:t xml:space="preserve"> </w:t>
      </w:r>
      <w:r>
        <w:rPr>
          <w:rFonts w:ascii="Arial" w:eastAsia="楷体_GB2312" w:hAnsi="Arial" w:hint="eastAsia"/>
          <w:kern w:val="0"/>
          <w:sz w:val="21"/>
          <w:szCs w:val="21"/>
          <w:lang w:eastAsia="zh-CN"/>
        </w:rPr>
        <w:t>timing</w:t>
      </w:r>
      <w:r>
        <w:rPr>
          <w:rFonts w:ascii="Arial" w:eastAsia="楷体_GB2312" w:hAnsi="Arial"/>
          <w:kern w:val="0"/>
          <w:sz w:val="21"/>
          <w:szCs w:val="21"/>
          <w:lang w:eastAsia="zh-CN"/>
        </w:rPr>
        <w:t xml:space="preserve"> </w:t>
      </w:r>
      <w:r>
        <w:rPr>
          <w:rFonts w:ascii="Arial" w:eastAsia="楷体_GB2312" w:hAnsi="Arial" w:hint="eastAsia"/>
          <w:kern w:val="0"/>
          <w:sz w:val="21"/>
          <w:szCs w:val="21"/>
          <w:lang w:eastAsia="zh-CN"/>
        </w:rPr>
        <w:t>approaches</w:t>
      </w:r>
      <w:r>
        <w:rPr>
          <w:rFonts w:ascii="Arial" w:eastAsia="楷体_GB2312" w:hAnsi="Arial" w:hint="eastAsia"/>
          <w:kern w:val="0"/>
          <w:sz w:val="21"/>
          <w:szCs w:val="21"/>
          <w:lang w:eastAsia="zh-CN"/>
        </w:rPr>
        <w:t>）来构建独立的期权基金业绩评价基准组合。即在</w:t>
      </w:r>
      <w:r>
        <w:rPr>
          <w:rFonts w:ascii="Arial" w:eastAsia="楷体_GB2312" w:hAnsi="Arial" w:hint="eastAsia"/>
          <w:kern w:val="0"/>
          <w:sz w:val="21"/>
          <w:szCs w:val="21"/>
          <w:lang w:eastAsia="zh-CN"/>
        </w:rPr>
        <w:t>C</w:t>
      </w:r>
      <w:r>
        <w:rPr>
          <w:rFonts w:ascii="Arial" w:eastAsia="楷体_GB2312" w:hAnsi="Arial"/>
          <w:kern w:val="0"/>
          <w:sz w:val="21"/>
          <w:szCs w:val="21"/>
          <w:lang w:eastAsia="zh-CN"/>
        </w:rPr>
        <w:t>APM</w:t>
      </w:r>
      <w:r>
        <w:rPr>
          <w:rFonts w:ascii="Arial" w:eastAsia="楷体_GB2312" w:hAnsi="Arial" w:hint="eastAsia"/>
          <w:kern w:val="0"/>
          <w:sz w:val="21"/>
          <w:szCs w:val="21"/>
          <w:lang w:eastAsia="zh-CN"/>
        </w:rPr>
        <w:t>（</w:t>
      </w:r>
      <w:r>
        <w:rPr>
          <w:rFonts w:ascii="Arial" w:eastAsia="楷体_GB2312" w:hAnsi="Arial" w:hint="eastAsia"/>
          <w:kern w:val="0"/>
          <w:sz w:val="21"/>
          <w:szCs w:val="21"/>
          <w:lang w:eastAsia="zh-CN"/>
        </w:rPr>
        <w:t>capital</w:t>
      </w:r>
      <w:r>
        <w:rPr>
          <w:rFonts w:ascii="Arial" w:eastAsia="楷体_GB2312" w:hAnsi="Arial"/>
          <w:kern w:val="0"/>
          <w:sz w:val="21"/>
          <w:szCs w:val="21"/>
          <w:lang w:eastAsia="zh-CN"/>
        </w:rPr>
        <w:t xml:space="preserve"> </w:t>
      </w:r>
      <w:r>
        <w:rPr>
          <w:rFonts w:ascii="Arial" w:eastAsia="楷体_GB2312" w:hAnsi="Arial" w:hint="eastAsia"/>
          <w:kern w:val="0"/>
          <w:sz w:val="21"/>
          <w:szCs w:val="21"/>
          <w:lang w:eastAsia="zh-CN"/>
        </w:rPr>
        <w:t>asset</w:t>
      </w:r>
      <w:r>
        <w:rPr>
          <w:rFonts w:ascii="Arial" w:eastAsia="楷体_GB2312" w:hAnsi="Arial"/>
          <w:kern w:val="0"/>
          <w:sz w:val="21"/>
          <w:szCs w:val="21"/>
          <w:lang w:eastAsia="zh-CN"/>
        </w:rPr>
        <w:t xml:space="preserve"> </w:t>
      </w:r>
      <w:r>
        <w:rPr>
          <w:rFonts w:ascii="Arial" w:eastAsia="楷体_GB2312" w:hAnsi="Arial" w:hint="eastAsia"/>
          <w:kern w:val="0"/>
          <w:sz w:val="21"/>
          <w:szCs w:val="21"/>
          <w:lang w:eastAsia="zh-CN"/>
        </w:rPr>
        <w:t>pricing</w:t>
      </w:r>
      <w:r>
        <w:rPr>
          <w:rFonts w:ascii="Arial" w:eastAsia="楷体_GB2312" w:hAnsi="Arial"/>
          <w:kern w:val="0"/>
          <w:sz w:val="21"/>
          <w:szCs w:val="21"/>
          <w:lang w:eastAsia="zh-CN"/>
        </w:rPr>
        <w:t xml:space="preserve"> </w:t>
      </w:r>
      <w:r>
        <w:rPr>
          <w:rFonts w:ascii="Arial" w:eastAsia="楷体_GB2312" w:hAnsi="Arial" w:hint="eastAsia"/>
          <w:kern w:val="0"/>
          <w:sz w:val="21"/>
          <w:szCs w:val="21"/>
          <w:lang w:eastAsia="zh-CN"/>
        </w:rPr>
        <w:t>model</w:t>
      </w:r>
      <w:r>
        <w:rPr>
          <w:rFonts w:ascii="Arial" w:eastAsia="楷体_GB2312" w:hAnsi="Arial" w:hint="eastAsia"/>
          <w:kern w:val="0"/>
          <w:sz w:val="21"/>
          <w:szCs w:val="21"/>
          <w:lang w:eastAsia="zh-CN"/>
        </w:rPr>
        <w:t>）中</w:t>
      </w:r>
      <w:r>
        <w:rPr>
          <w:rFonts w:ascii="Arial" w:eastAsia="楷体_GB2312" w:hAnsi="Arial" w:hint="eastAsia"/>
          <w:kern w:val="0"/>
          <w:sz w:val="21"/>
          <w:szCs w:val="21"/>
          <w:lang w:eastAsia="zh-CN"/>
        </w:rPr>
        <w:t xml:space="preserve"> </w:t>
      </w:r>
      <w:r>
        <w:rPr>
          <w:rFonts w:ascii="Arial" w:eastAsia="楷体_GB2312" w:hAnsi="Arial" w:hint="eastAsia"/>
          <w:kern w:val="0"/>
          <w:sz w:val="21"/>
          <w:szCs w:val="21"/>
          <w:lang w:eastAsia="zh-CN"/>
        </w:rPr>
        <w:t>包括期权：</w:t>
      </w:r>
    </w:p>
    <w:p w14:paraId="6A301E48" w14:textId="2729DF51" w:rsidR="0023442E" w:rsidRPr="0023442E" w:rsidRDefault="0023442E" w:rsidP="0023442E">
      <w:pPr>
        <w:pStyle w:val="AMDisplayEquation"/>
        <w:rPr>
          <w:rFonts w:hint="eastAsia"/>
        </w:rPr>
      </w:pPr>
      <w:r>
        <w:tab/>
      </w:r>
      <w:r w:rsidRPr="0023442E">
        <w:rPr>
          <w:position w:val="-29"/>
        </w:rPr>
        <w:object w:dxaOrig="4294" w:dyaOrig="705" w14:anchorId="5D71043F">
          <v:shape id="_x0000_i1398" type="#_x0000_t75" style="width:214.85pt;height:35.25pt" o:ole="">
            <v:imagedata r:id="rId104" o:title=""/>
          </v:shape>
          <o:OLEObject Type="Embed" ProgID="Equation.AxMath" ShapeID="_x0000_i1398" DrawAspect="Content" ObjectID="_1676403490" r:id="rId10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10512F">
          <w:rPr>
            <w:noProof/>
          </w:rPr>
          <w:instrText>1</w:instrText>
        </w:r>
      </w:fldSimple>
      <w:r>
        <w:instrText>.</w:instrText>
      </w:r>
      <w:fldSimple w:instr=" SEQ AMEqn \c \* Arabic \* MERGEFORMAT ">
        <w:r w:rsidR="0010512F">
          <w:rPr>
            <w:noProof/>
          </w:rPr>
          <w:instrText>15</w:instrText>
        </w:r>
      </w:fldSimple>
      <w:r>
        <w:instrText>)</w:instrText>
      </w:r>
      <w:r>
        <w:fldChar w:fldCharType="end"/>
      </w:r>
    </w:p>
    <w:p w14:paraId="4B405B4B" w14:textId="0EB38E06" w:rsidR="00475118" w:rsidRDefault="0023442E" w:rsidP="0023442E">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r w:rsidRPr="0023442E">
        <w:rPr>
          <w:rFonts w:ascii="Arial" w:eastAsia="楷体_GB2312" w:hAnsi="Arial" w:hint="eastAsia"/>
          <w:kern w:val="0"/>
          <w:sz w:val="21"/>
          <w:szCs w:val="21"/>
          <w:lang w:eastAsia="zh-CN"/>
        </w:rPr>
        <w:t>这个回归的斜率和</w:t>
      </w:r>
      <w:r w:rsidRPr="0023442E">
        <w:rPr>
          <w:rFonts w:ascii="Arial" w:eastAsia="楷体_GB2312" w:hAnsi="Arial" w:hint="eastAsia"/>
          <w:kern w:val="0"/>
          <w:sz w:val="21"/>
          <w:szCs w:val="21"/>
          <w:lang w:eastAsia="zh-CN"/>
        </w:rPr>
        <w:t>B</w:t>
      </w:r>
      <w:r w:rsidRPr="0023442E">
        <w:rPr>
          <w:rFonts w:ascii="Arial" w:eastAsia="楷体_GB2312" w:hAnsi="Arial"/>
          <w:kern w:val="0"/>
          <w:sz w:val="21"/>
          <w:szCs w:val="21"/>
          <w:lang w:eastAsia="zh-CN"/>
        </w:rPr>
        <w:t>SM</w:t>
      </w:r>
      <w:r w:rsidRPr="0023442E">
        <w:rPr>
          <w:rFonts w:ascii="Arial" w:eastAsia="楷体_GB2312" w:hAnsi="Arial" w:hint="eastAsia"/>
          <w:kern w:val="0"/>
          <w:sz w:val="21"/>
          <w:szCs w:val="21"/>
          <w:lang w:eastAsia="zh-CN"/>
        </w:rPr>
        <w:t>模型（</w:t>
      </w:r>
      <w:r w:rsidRPr="0023442E">
        <w:rPr>
          <w:rFonts w:ascii="Arial" w:eastAsia="楷体_GB2312" w:hAnsi="Arial" w:hint="eastAsia"/>
          <w:kern w:val="0"/>
          <w:sz w:val="21"/>
          <w:szCs w:val="21"/>
          <w:lang w:eastAsia="zh-CN"/>
        </w:rPr>
        <w:t>Black</w:t>
      </w:r>
      <w:r w:rsidRPr="0023442E">
        <w:rPr>
          <w:rFonts w:ascii="Arial" w:eastAsia="楷体_GB2312" w:hAnsi="Arial"/>
          <w:kern w:val="0"/>
          <w:sz w:val="21"/>
          <w:szCs w:val="21"/>
          <w:lang w:eastAsia="zh-CN"/>
        </w:rPr>
        <w:t xml:space="preserve"> S</w:t>
      </w:r>
      <w:r w:rsidRPr="0023442E">
        <w:rPr>
          <w:rFonts w:ascii="Arial" w:eastAsia="楷体_GB2312" w:hAnsi="Arial" w:hint="eastAsia"/>
          <w:kern w:val="0"/>
          <w:sz w:val="21"/>
          <w:szCs w:val="21"/>
          <w:lang w:eastAsia="zh-CN"/>
        </w:rPr>
        <w:t>choles</w:t>
      </w:r>
      <w:r w:rsidRPr="0023442E">
        <w:rPr>
          <w:rFonts w:ascii="Arial" w:eastAsia="楷体_GB2312" w:hAnsi="Arial"/>
          <w:kern w:val="0"/>
          <w:sz w:val="21"/>
          <w:szCs w:val="21"/>
          <w:lang w:eastAsia="zh-CN"/>
        </w:rPr>
        <w:t xml:space="preserve"> M</w:t>
      </w:r>
      <w:r w:rsidRPr="0023442E">
        <w:rPr>
          <w:rFonts w:ascii="Arial" w:eastAsia="楷体_GB2312" w:hAnsi="Arial" w:hint="eastAsia"/>
          <w:kern w:val="0"/>
          <w:sz w:val="21"/>
          <w:szCs w:val="21"/>
          <w:lang w:eastAsia="zh-CN"/>
        </w:rPr>
        <w:t>erton</w:t>
      </w:r>
      <w:r w:rsidRPr="0023442E">
        <w:rPr>
          <w:rFonts w:ascii="Arial" w:eastAsia="楷体_GB2312" w:hAnsi="Arial"/>
          <w:kern w:val="0"/>
          <w:sz w:val="21"/>
          <w:szCs w:val="21"/>
          <w:lang w:eastAsia="zh-CN"/>
        </w:rPr>
        <w:t xml:space="preserve"> M</w:t>
      </w:r>
      <w:r w:rsidRPr="0023442E">
        <w:rPr>
          <w:rFonts w:ascii="Arial" w:eastAsia="楷体_GB2312" w:hAnsi="Arial" w:hint="eastAsia"/>
          <w:kern w:val="0"/>
          <w:sz w:val="21"/>
          <w:szCs w:val="21"/>
          <w:lang w:eastAsia="zh-CN"/>
        </w:rPr>
        <w:t>odel</w:t>
      </w:r>
      <w:r w:rsidRPr="0023442E">
        <w:rPr>
          <w:rFonts w:ascii="Arial" w:eastAsia="楷体_GB2312" w:hAnsi="Arial" w:hint="eastAsia"/>
          <w:kern w:val="0"/>
          <w:sz w:val="21"/>
          <w:szCs w:val="21"/>
          <w:lang w:eastAsia="zh-CN"/>
        </w:rPr>
        <w:t>）中的希腊字母的含义标记类似，</w:t>
      </w:r>
      <w:r w:rsidRPr="0023442E">
        <w:rPr>
          <w:rFonts w:ascii="Arial" w:eastAsia="楷体_GB2312" w:hAnsi="Arial"/>
          <w:kern w:val="0"/>
          <w:position w:val="-10"/>
          <w:sz w:val="21"/>
          <w:szCs w:val="21"/>
          <w:lang w:eastAsia="zh-CN"/>
        </w:rPr>
        <w:object w:dxaOrig="217" w:dyaOrig="316" w14:anchorId="307D2ED4">
          <v:shape id="_x0000_i1402" type="#_x0000_t75" style="width:10.85pt;height:15.85pt" o:ole="">
            <v:imagedata r:id="rId106" o:title=""/>
          </v:shape>
          <o:OLEObject Type="Embed" ProgID="Equation.AxMath" ShapeID="_x0000_i1402" DrawAspect="Content" ObjectID="_1676403491" r:id="rId107"/>
        </w:object>
      </w:r>
      <w:r w:rsidRPr="0023442E">
        <w:rPr>
          <w:rFonts w:ascii="Arial" w:eastAsia="楷体_GB2312" w:hAnsi="Arial" w:hint="eastAsia"/>
          <w:kern w:val="0"/>
          <w:sz w:val="21"/>
          <w:szCs w:val="21"/>
          <w:lang w:eastAsia="zh-CN"/>
        </w:rPr>
        <w:t>即为策略</w:t>
      </w:r>
      <w:r w:rsidRPr="0023442E">
        <w:rPr>
          <w:rFonts w:ascii="Arial" w:eastAsia="楷体_GB2312" w:hAnsi="Arial" w:hint="eastAsia"/>
          <w:kern w:val="0"/>
          <w:sz w:val="21"/>
          <w:szCs w:val="21"/>
          <w:lang w:eastAsia="zh-CN"/>
        </w:rPr>
        <w:t>delta</w:t>
      </w:r>
      <w:r w:rsidRPr="0023442E">
        <w:rPr>
          <w:rFonts w:ascii="Arial" w:eastAsia="楷体_GB2312" w:hAnsi="Arial"/>
          <w:kern w:val="0"/>
          <w:sz w:val="21"/>
          <w:szCs w:val="21"/>
          <w:lang w:eastAsia="zh-CN"/>
        </w:rPr>
        <w:t xml:space="preserve"> </w:t>
      </w:r>
      <w:r w:rsidRPr="0023442E">
        <w:rPr>
          <w:rFonts w:ascii="Arial" w:eastAsia="楷体_GB2312" w:hAnsi="Arial" w:hint="eastAsia"/>
          <w:kern w:val="0"/>
          <w:sz w:val="21"/>
          <w:szCs w:val="21"/>
          <w:lang w:eastAsia="zh-CN"/>
        </w:rPr>
        <w:t>的</w:t>
      </w:r>
      <w:r w:rsidRPr="0023442E">
        <w:rPr>
          <w:rFonts w:ascii="Arial" w:eastAsia="楷体_GB2312" w:hAnsi="Arial" w:hint="eastAsia"/>
          <w:kern w:val="0"/>
          <w:sz w:val="21"/>
          <w:szCs w:val="21"/>
          <w:lang w:eastAsia="zh-CN"/>
        </w:rPr>
        <w:t>gamma</w:t>
      </w:r>
      <w:r w:rsidRPr="0023442E">
        <w:rPr>
          <w:rFonts w:ascii="Arial" w:eastAsia="楷体_GB2312" w:hAnsi="Arial" w:hint="eastAsia"/>
          <w:kern w:val="0"/>
          <w:sz w:val="21"/>
          <w:szCs w:val="21"/>
          <w:lang w:eastAsia="zh-CN"/>
        </w:rPr>
        <w:t>，即</w:t>
      </w:r>
      <w:r w:rsidRPr="0023442E">
        <w:rPr>
          <w:rFonts w:ascii="Arial" w:eastAsia="楷体_GB2312" w:hAnsi="Arial" w:hint="eastAsia"/>
          <w:kern w:val="0"/>
          <w:sz w:val="21"/>
          <w:szCs w:val="21"/>
          <w:lang w:eastAsia="zh-CN"/>
        </w:rPr>
        <w:t>delta</w:t>
      </w:r>
      <w:r w:rsidRPr="0023442E">
        <w:rPr>
          <w:rFonts w:ascii="Arial" w:eastAsia="楷体_GB2312" w:hAnsi="Arial" w:hint="eastAsia"/>
          <w:kern w:val="0"/>
          <w:sz w:val="21"/>
          <w:szCs w:val="21"/>
          <w:lang w:eastAsia="zh-CN"/>
        </w:rPr>
        <w:t>相对于基准的敏感程度。</w:t>
      </w:r>
    </w:p>
    <w:p w14:paraId="195C34FA" w14:textId="36094F30" w:rsidR="0023442E" w:rsidRDefault="0023442E" w:rsidP="0023442E">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r>
        <w:rPr>
          <w:rFonts w:ascii="Arial" w:eastAsia="楷体_GB2312" w:hAnsi="Arial" w:hint="eastAsia"/>
          <w:kern w:val="0"/>
          <w:sz w:val="21"/>
          <w:szCs w:val="21"/>
          <w:lang w:eastAsia="zh-CN"/>
        </w:rPr>
        <w:t>另一种类似的衡量方式是使用指示函数（</w:t>
      </w:r>
      <w:r>
        <w:rPr>
          <w:rFonts w:ascii="Arial" w:eastAsia="楷体_GB2312" w:hAnsi="Arial" w:hint="eastAsia"/>
          <w:kern w:val="0"/>
          <w:sz w:val="21"/>
          <w:szCs w:val="21"/>
          <w:lang w:eastAsia="zh-CN"/>
        </w:rPr>
        <w:t>indicator</w:t>
      </w:r>
      <w:r>
        <w:rPr>
          <w:rFonts w:ascii="Arial" w:eastAsia="楷体_GB2312" w:hAnsi="Arial"/>
          <w:kern w:val="0"/>
          <w:sz w:val="21"/>
          <w:szCs w:val="21"/>
          <w:lang w:eastAsia="zh-CN"/>
        </w:rPr>
        <w:t xml:space="preserve"> </w:t>
      </w:r>
      <w:r>
        <w:rPr>
          <w:rFonts w:ascii="Arial" w:eastAsia="楷体_GB2312" w:hAnsi="Arial" w:hint="eastAsia"/>
          <w:kern w:val="0"/>
          <w:sz w:val="21"/>
          <w:szCs w:val="21"/>
          <w:lang w:eastAsia="zh-CN"/>
        </w:rPr>
        <w:t>function</w:t>
      </w:r>
      <w:r>
        <w:rPr>
          <w:rFonts w:ascii="Arial" w:eastAsia="楷体_GB2312" w:hAnsi="Arial" w:hint="eastAsia"/>
          <w:kern w:val="0"/>
          <w:sz w:val="21"/>
          <w:szCs w:val="21"/>
          <w:lang w:eastAsia="zh-CN"/>
        </w:rPr>
        <w:t>）：</w:t>
      </w:r>
    </w:p>
    <w:p w14:paraId="6DA8377D" w14:textId="00846B45" w:rsidR="0023442E" w:rsidRDefault="0023442E" w:rsidP="0023442E">
      <w:pPr>
        <w:autoSpaceDE w:val="0"/>
        <w:autoSpaceDN w:val="0"/>
        <w:adjustRightInd w:val="0"/>
        <w:spacing w:beforeLines="50" w:before="163" w:after="100"/>
        <w:ind w:leftChars="1257" w:left="3017" w:firstLineChars="291" w:firstLine="698"/>
        <w:jc w:val="right"/>
        <w:rPr>
          <w:rFonts w:ascii="Arial" w:eastAsia="楷体_GB2312" w:hAnsi="Arial"/>
          <w:kern w:val="0"/>
          <w:sz w:val="21"/>
          <w:szCs w:val="21"/>
          <w:lang w:eastAsia="zh-CN"/>
        </w:rPr>
      </w:pPr>
      <w:r>
        <w:rPr>
          <w:lang w:eastAsia="zh-CN"/>
        </w:rPr>
        <w:t xml:space="preserve"> </w:t>
      </w:r>
      <w:r w:rsidRPr="0023442E">
        <w:rPr>
          <w:position w:val="-29"/>
        </w:rPr>
        <w:object w:dxaOrig="4294" w:dyaOrig="700" w14:anchorId="703CC834">
          <v:shape id="_x0000_i1406" type="#_x0000_t75" style="width:214.85pt;height:34.85pt" o:ole="">
            <v:imagedata r:id="rId108" o:title=""/>
          </v:shape>
          <o:OLEObject Type="Embed" ProgID="Equation.AxMath" ShapeID="_x0000_i1406" DrawAspect="Content" ObjectID="_1676403492" r:id="rId109"/>
        </w:object>
      </w:r>
      <w:r>
        <w:rPr>
          <w:lang w:eastAsia="zh-CN"/>
        </w:rPr>
        <w:tab/>
      </w:r>
      <w:r>
        <w:rPr>
          <w:lang w:eastAsia="zh-CN"/>
        </w:rPr>
        <w:t xml:space="preserve">      </w:t>
      </w:r>
      <w:r>
        <w:fldChar w:fldCharType="begin"/>
      </w:r>
      <w:r>
        <w:rPr>
          <w:lang w:eastAsia="zh-CN"/>
        </w:rPr>
        <w:instrText xml:space="preserve"> MACROBUTTON AMMPlaceRM \* MERGEFORMAT </w:instrText>
      </w:r>
      <w:r>
        <w:fldChar w:fldCharType="begin"/>
      </w:r>
      <w:r>
        <w:rPr>
          <w:lang w:eastAsia="zh-CN"/>
        </w:rPr>
        <w:instrText xml:space="preserve"> SEQ AMEqn \h \* MERGEFORMAT </w:instrText>
      </w:r>
      <w:r>
        <w:fldChar w:fldCharType="end"/>
      </w:r>
      <w:r>
        <w:rPr>
          <w:lang w:eastAsia="zh-CN"/>
        </w:rPr>
        <w:instrText>(</w:instrText>
      </w:r>
      <w:r>
        <w:fldChar w:fldCharType="begin"/>
      </w:r>
      <w:r>
        <w:rPr>
          <w:lang w:eastAsia="zh-CN"/>
        </w:rPr>
        <w:instrText xml:space="preserve"> SEQ AMSec \c \* Arabic \* MERGEFORMAT </w:instrText>
      </w:r>
      <w:r>
        <w:fldChar w:fldCharType="separate"/>
      </w:r>
      <w:r w:rsidR="0010512F">
        <w:rPr>
          <w:noProof/>
          <w:lang w:eastAsia="zh-CN"/>
        </w:rPr>
        <w:instrText>1</w:instrText>
      </w:r>
      <w:r>
        <w:fldChar w:fldCharType="end"/>
      </w:r>
      <w:r>
        <w:rPr>
          <w:lang w:eastAsia="zh-CN"/>
        </w:rPr>
        <w:instrText>.</w:instrText>
      </w:r>
      <w:r>
        <w:fldChar w:fldCharType="begin"/>
      </w:r>
      <w:r>
        <w:rPr>
          <w:lang w:eastAsia="zh-CN"/>
        </w:rPr>
        <w:instrText xml:space="preserve"> SEQ AMEqn \c \* Arabic \* MERGEFORMAT </w:instrText>
      </w:r>
      <w:r>
        <w:fldChar w:fldCharType="separate"/>
      </w:r>
      <w:r w:rsidR="0010512F">
        <w:rPr>
          <w:noProof/>
          <w:lang w:eastAsia="zh-CN"/>
        </w:rPr>
        <w:instrText>16</w:instrText>
      </w:r>
      <w:r>
        <w:fldChar w:fldCharType="end"/>
      </w:r>
      <w:r>
        <w:rPr>
          <w:lang w:eastAsia="zh-CN"/>
        </w:rPr>
        <w:instrText>)</w:instrText>
      </w:r>
      <w:r>
        <w:fldChar w:fldCharType="end"/>
      </w:r>
    </w:p>
    <w:p w14:paraId="1E2FB98F" w14:textId="6BF16E97" w:rsidR="0023442E" w:rsidRDefault="00FA0627" w:rsidP="00FA0627">
      <w:pPr>
        <w:autoSpaceDE w:val="0"/>
        <w:autoSpaceDN w:val="0"/>
        <w:adjustRightInd w:val="0"/>
        <w:spacing w:beforeLines="50" w:before="163" w:after="100"/>
        <w:ind w:leftChars="1257" w:left="3017" w:firstLineChars="291" w:firstLine="611"/>
        <w:jc w:val="both"/>
        <w:rPr>
          <w:rFonts w:ascii="Arial" w:eastAsia="楷体_GB2312" w:hAnsi="Arial"/>
          <w:kern w:val="0"/>
          <w:sz w:val="21"/>
          <w:szCs w:val="21"/>
          <w:lang w:eastAsia="zh-CN"/>
        </w:rPr>
      </w:pPr>
      <w:r w:rsidRPr="00FA0627">
        <w:rPr>
          <w:rFonts w:ascii="Arial" w:eastAsia="楷体_GB2312" w:hAnsi="Arial"/>
          <w:kern w:val="0"/>
          <w:sz w:val="21"/>
          <w:szCs w:val="21"/>
          <w:lang w:eastAsia="zh-CN"/>
        </w:rPr>
        <w:t>L</w:t>
      </w:r>
      <w:r w:rsidRPr="00FA0627">
        <w:rPr>
          <w:rFonts w:ascii="Arial" w:eastAsia="楷体_GB2312" w:hAnsi="Arial" w:hint="eastAsia"/>
          <w:kern w:val="0"/>
          <w:sz w:val="21"/>
          <w:szCs w:val="21"/>
          <w:lang w:eastAsia="zh-CN"/>
        </w:rPr>
        <w:t>eland</w:t>
      </w:r>
      <w:r w:rsidRPr="00FA0627">
        <w:rPr>
          <w:rFonts w:ascii="Arial" w:eastAsia="楷体_GB2312" w:hAnsi="Arial"/>
          <w:kern w:val="0"/>
          <w:sz w:val="21"/>
          <w:szCs w:val="21"/>
          <w:lang w:eastAsia="zh-CN"/>
        </w:rPr>
        <w:t>(1999)</w:t>
      </w:r>
      <w:r w:rsidRPr="00FA0627">
        <w:rPr>
          <w:rFonts w:ascii="Arial" w:eastAsia="楷体_GB2312" w:hAnsi="Arial" w:hint="eastAsia"/>
          <w:kern w:val="0"/>
          <w:sz w:val="21"/>
          <w:szCs w:val="21"/>
          <w:lang w:eastAsia="zh-CN"/>
        </w:rPr>
        <w:t>年提出动态策略会导致收益分布是不对称的（</w:t>
      </w:r>
      <w:r w:rsidRPr="00FA0627">
        <w:rPr>
          <w:rFonts w:ascii="Arial" w:eastAsia="楷体_GB2312" w:hAnsi="Arial" w:hint="eastAsia"/>
          <w:kern w:val="0"/>
          <w:sz w:val="21"/>
          <w:szCs w:val="21"/>
          <w:lang w:eastAsia="zh-CN"/>
        </w:rPr>
        <w:t>skewed</w:t>
      </w:r>
      <w:r w:rsidRPr="00FA0627">
        <w:rPr>
          <w:rFonts w:ascii="Arial" w:eastAsia="楷体_GB2312" w:hAnsi="Arial" w:hint="eastAsia"/>
          <w:kern w:val="0"/>
          <w:sz w:val="21"/>
          <w:szCs w:val="21"/>
          <w:lang w:eastAsia="zh-CN"/>
        </w:rPr>
        <w:t>）。为了控制住峰度和偏度（</w:t>
      </w:r>
      <w:r w:rsidRPr="00FA0627">
        <w:rPr>
          <w:rFonts w:ascii="Arial" w:eastAsia="楷体_GB2312" w:hAnsi="Arial" w:hint="eastAsia"/>
          <w:kern w:val="0"/>
          <w:sz w:val="21"/>
          <w:szCs w:val="21"/>
          <w:lang w:eastAsia="zh-CN"/>
        </w:rPr>
        <w:t>skewness</w:t>
      </w:r>
      <w:r w:rsidRPr="00FA0627">
        <w:rPr>
          <w:rFonts w:ascii="Arial" w:eastAsia="楷体_GB2312" w:hAnsi="Arial"/>
          <w:kern w:val="0"/>
          <w:sz w:val="21"/>
          <w:szCs w:val="21"/>
          <w:lang w:eastAsia="zh-CN"/>
        </w:rPr>
        <w:t>/kurtosis</w:t>
      </w:r>
      <w:r w:rsidRPr="00FA0627">
        <w:rPr>
          <w:rFonts w:ascii="Arial" w:eastAsia="楷体_GB2312" w:hAnsi="Arial" w:hint="eastAsia"/>
          <w:kern w:val="0"/>
          <w:sz w:val="21"/>
          <w:szCs w:val="21"/>
          <w:lang w:eastAsia="zh-CN"/>
        </w:rPr>
        <w:t>）</w:t>
      </w:r>
      <w:r>
        <w:rPr>
          <w:rFonts w:ascii="Arial" w:eastAsia="楷体_GB2312" w:hAnsi="Arial" w:hint="eastAsia"/>
          <w:kern w:val="0"/>
          <w:sz w:val="21"/>
          <w:szCs w:val="21"/>
          <w:lang w:eastAsia="zh-CN"/>
        </w:rPr>
        <w:t>以及其他高阶矩，</w:t>
      </w:r>
      <w:r w:rsidRPr="0023442E">
        <w:rPr>
          <w:rFonts w:ascii="Arial" w:eastAsia="楷体_GB2312" w:hAnsi="Arial"/>
          <w:kern w:val="0"/>
          <w:sz w:val="21"/>
          <w:szCs w:val="21"/>
          <w:lang w:eastAsia="zh-CN"/>
        </w:rPr>
        <w:t>Natter, Markus.</w:t>
      </w:r>
      <w:r>
        <w:rPr>
          <w:rFonts w:ascii="Arial" w:eastAsia="楷体_GB2312" w:hAnsi="Arial" w:hint="eastAsia"/>
          <w:kern w:val="0"/>
          <w:sz w:val="21"/>
          <w:szCs w:val="21"/>
          <w:lang w:eastAsia="zh-CN"/>
        </w:rPr>
        <w:t>计算了</w:t>
      </w:r>
      <w:r>
        <w:rPr>
          <w:rFonts w:ascii="Arial" w:eastAsia="楷体_GB2312" w:hAnsi="Arial" w:hint="eastAsia"/>
          <w:kern w:val="0"/>
          <w:sz w:val="21"/>
          <w:szCs w:val="21"/>
          <w:lang w:eastAsia="zh-CN"/>
        </w:rPr>
        <w:t>Lelans</w:t>
      </w:r>
      <w:r>
        <w:rPr>
          <w:rFonts w:ascii="Arial" w:eastAsia="楷体_GB2312" w:hAnsi="Arial"/>
          <w:kern w:val="0"/>
          <w:sz w:val="21"/>
          <w:szCs w:val="21"/>
          <w:lang w:eastAsia="zh-CN"/>
        </w:rPr>
        <w:t>’s Alpha</w:t>
      </w:r>
      <w:r w:rsidR="0010512F">
        <w:rPr>
          <w:rFonts w:ascii="Arial" w:eastAsia="楷体_GB2312" w:hAnsi="Arial" w:hint="eastAsia"/>
          <w:kern w:val="0"/>
          <w:sz w:val="21"/>
          <w:szCs w:val="21"/>
          <w:lang w:eastAsia="zh-CN"/>
        </w:rPr>
        <w:t>，然后再带入回归中，将真实波动率作为期权的隐含波动率获取期权基准的定价</w:t>
      </w:r>
      <w:r>
        <w:rPr>
          <w:rFonts w:ascii="Arial" w:eastAsia="楷体_GB2312" w:hAnsi="Arial"/>
          <w:kern w:val="0"/>
          <w:sz w:val="21"/>
          <w:szCs w:val="21"/>
          <w:lang w:eastAsia="zh-CN"/>
        </w:rPr>
        <w:t>:</w:t>
      </w:r>
    </w:p>
    <w:p w14:paraId="6E680481" w14:textId="0AAD762C" w:rsidR="00FA0627" w:rsidRPr="00FA0627" w:rsidRDefault="0010512F" w:rsidP="0010512F">
      <w:pPr>
        <w:pStyle w:val="AMDisplayEquation"/>
        <w:rPr>
          <w:rFonts w:hint="eastAsia"/>
        </w:rPr>
      </w:pPr>
      <w:r>
        <w:tab/>
      </w:r>
      <w:r w:rsidRPr="0010512F">
        <w:rPr>
          <w:position w:val="-79"/>
        </w:rPr>
        <w:object w:dxaOrig="4014" w:dyaOrig="1700" w14:anchorId="49FEFEBB">
          <v:shape id="_x0000_i1572" type="#_x0000_t75" style="width:200.5pt;height:85.15pt" o:ole="">
            <v:imagedata r:id="rId110" o:title=""/>
          </v:shape>
          <o:OLEObject Type="Embed" ProgID="Equation.AxMath" ShapeID="_x0000_i1572" DrawAspect="Content" ObjectID="_1676403493" r:id="rId11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17</w:instrText>
        </w:r>
      </w:fldSimple>
      <w:r>
        <w:instrText>)</w:instrText>
      </w:r>
      <w:r>
        <w:fldChar w:fldCharType="end"/>
      </w:r>
    </w:p>
    <w:p w14:paraId="7479509E" w14:textId="55B59C4E" w:rsidR="00742EE3" w:rsidRPr="009B1FB9" w:rsidRDefault="009A63B1" w:rsidP="00390048">
      <w:pPr>
        <w:pStyle w:val="1"/>
        <w:spacing w:before="326"/>
        <w:rPr>
          <w:rFonts w:hint="eastAsia"/>
          <w:lang w:eastAsia="zh-CN"/>
        </w:rPr>
      </w:pPr>
      <w:bookmarkStart w:id="20" w:name="_Toc518314373"/>
      <w:bookmarkStart w:id="21" w:name="_Toc34803847"/>
      <w:bookmarkStart w:id="22" w:name="_Toc65784020"/>
      <w:r>
        <w:rPr>
          <w:rFonts w:hint="eastAsia"/>
          <w:lang w:eastAsia="zh-CN"/>
        </w:rPr>
        <w:lastRenderedPageBreak/>
        <w:t>三、</w:t>
      </w:r>
      <w:bookmarkEnd w:id="20"/>
      <w:bookmarkEnd w:id="21"/>
      <w:r w:rsidR="00390048" w:rsidRPr="00390048">
        <w:rPr>
          <w:rFonts w:hint="eastAsia"/>
          <w:lang w:eastAsia="zh-CN"/>
        </w:rPr>
        <w:t>中国市场常见的基金业绩比较基准</w:t>
      </w:r>
      <w:bookmarkEnd w:id="22"/>
    </w:p>
    <w:p w14:paraId="4BD7A6FC" w14:textId="7652B64D" w:rsidR="00742EE3" w:rsidRPr="003F4896" w:rsidRDefault="00D214D7" w:rsidP="00A5125F">
      <w:pPr>
        <w:autoSpaceDE w:val="0"/>
        <w:autoSpaceDN w:val="0"/>
        <w:adjustRightInd w:val="0"/>
        <w:spacing w:beforeLines="50" w:before="163" w:after="100"/>
        <w:ind w:leftChars="1257" w:left="3017" w:firstLineChars="1" w:firstLine="2"/>
        <w:jc w:val="both"/>
        <w:rPr>
          <w:rFonts w:ascii="Arial" w:eastAsia="楷体_GB2312" w:hAnsi="Arial"/>
          <w:kern w:val="0"/>
          <w:sz w:val="21"/>
          <w:szCs w:val="21"/>
          <w:lang w:eastAsia="zh-CN"/>
        </w:rPr>
      </w:pPr>
      <w:r w:rsidRPr="00D214D7">
        <w:rPr>
          <w:rFonts w:ascii="Arial" w:eastAsia="楷体_GB2312" w:hAnsi="Arial" w:hint="eastAsia"/>
          <w:kern w:val="0"/>
          <w:sz w:val="21"/>
          <w:szCs w:val="21"/>
          <w:lang w:eastAsia="zh-CN"/>
        </w:rPr>
        <w:t>我们从</w:t>
      </w:r>
      <w:r w:rsidRPr="00D214D7">
        <w:rPr>
          <w:rFonts w:ascii="Arial" w:eastAsia="楷体_GB2312" w:hAnsi="Arial" w:hint="eastAsia"/>
          <w:kern w:val="0"/>
          <w:sz w:val="21"/>
          <w:szCs w:val="21"/>
          <w:lang w:eastAsia="zh-CN"/>
        </w:rPr>
        <w:t>Wind</w:t>
      </w:r>
      <w:r w:rsidRPr="00D214D7">
        <w:rPr>
          <w:rFonts w:ascii="Arial" w:eastAsia="楷体_GB2312" w:hAnsi="Arial" w:hint="eastAsia"/>
          <w:kern w:val="0"/>
          <w:sz w:val="21"/>
          <w:szCs w:val="21"/>
          <w:lang w:eastAsia="zh-CN"/>
        </w:rPr>
        <w:t>金融终端中提出了中国市场中的</w:t>
      </w:r>
      <w:r w:rsidRPr="00D214D7">
        <w:rPr>
          <w:rFonts w:ascii="Arial" w:eastAsia="楷体_GB2312" w:hAnsi="Arial" w:hint="eastAsia"/>
          <w:kern w:val="0"/>
          <w:sz w:val="21"/>
          <w:szCs w:val="21"/>
          <w:lang w:eastAsia="zh-CN"/>
        </w:rPr>
        <w:t>1</w:t>
      </w:r>
      <w:r w:rsidRPr="00D214D7">
        <w:rPr>
          <w:rFonts w:ascii="Arial" w:eastAsia="楷体_GB2312" w:hAnsi="Arial"/>
          <w:kern w:val="0"/>
          <w:sz w:val="21"/>
          <w:szCs w:val="21"/>
          <w:lang w:eastAsia="zh-CN"/>
        </w:rPr>
        <w:t>1565</w:t>
      </w:r>
      <w:r w:rsidRPr="00D214D7">
        <w:rPr>
          <w:rFonts w:ascii="Arial" w:eastAsia="楷体_GB2312" w:hAnsi="Arial" w:hint="eastAsia"/>
          <w:kern w:val="0"/>
          <w:sz w:val="21"/>
          <w:szCs w:val="21"/>
          <w:lang w:eastAsia="zh-CN"/>
        </w:rPr>
        <w:t>支基金的相关数据，时间截止至</w:t>
      </w:r>
      <w:r w:rsidRPr="00D214D7">
        <w:rPr>
          <w:rFonts w:ascii="Arial" w:eastAsia="楷体_GB2312" w:hAnsi="Arial" w:hint="eastAsia"/>
          <w:kern w:val="0"/>
          <w:sz w:val="21"/>
          <w:szCs w:val="21"/>
          <w:lang w:eastAsia="zh-CN"/>
        </w:rPr>
        <w:t>2</w:t>
      </w:r>
      <w:r w:rsidRPr="00D214D7">
        <w:rPr>
          <w:rFonts w:ascii="Arial" w:eastAsia="楷体_GB2312" w:hAnsi="Arial"/>
          <w:kern w:val="0"/>
          <w:sz w:val="21"/>
          <w:szCs w:val="21"/>
          <w:lang w:eastAsia="zh-CN"/>
        </w:rPr>
        <w:t>021</w:t>
      </w:r>
      <w:r w:rsidRPr="00D214D7">
        <w:rPr>
          <w:rFonts w:ascii="Arial" w:eastAsia="楷体_GB2312" w:hAnsi="Arial" w:hint="eastAsia"/>
          <w:kern w:val="0"/>
          <w:sz w:val="21"/>
          <w:szCs w:val="21"/>
          <w:lang w:eastAsia="zh-CN"/>
        </w:rPr>
        <w:t>年</w:t>
      </w:r>
      <w:r w:rsidRPr="00D214D7">
        <w:rPr>
          <w:rFonts w:ascii="Arial" w:eastAsia="楷体_GB2312" w:hAnsi="Arial"/>
          <w:kern w:val="0"/>
          <w:sz w:val="21"/>
          <w:szCs w:val="21"/>
          <w:lang w:eastAsia="zh-CN"/>
        </w:rPr>
        <w:t>2</w:t>
      </w:r>
      <w:r w:rsidRPr="00D214D7">
        <w:rPr>
          <w:rFonts w:ascii="Arial" w:eastAsia="楷体_GB2312" w:hAnsi="Arial" w:hint="eastAsia"/>
          <w:kern w:val="0"/>
          <w:sz w:val="21"/>
          <w:szCs w:val="21"/>
          <w:lang w:eastAsia="zh-CN"/>
        </w:rPr>
        <w:t>月</w:t>
      </w:r>
      <w:r w:rsidRPr="00D214D7">
        <w:rPr>
          <w:rFonts w:ascii="Arial" w:eastAsia="楷体_GB2312" w:hAnsi="Arial" w:hint="eastAsia"/>
          <w:kern w:val="0"/>
          <w:sz w:val="21"/>
          <w:szCs w:val="21"/>
          <w:lang w:eastAsia="zh-CN"/>
        </w:rPr>
        <w:t>2</w:t>
      </w:r>
      <w:r w:rsidRPr="00D214D7">
        <w:rPr>
          <w:rFonts w:ascii="Arial" w:eastAsia="楷体_GB2312" w:hAnsi="Arial"/>
          <w:kern w:val="0"/>
          <w:sz w:val="21"/>
          <w:szCs w:val="21"/>
          <w:lang w:eastAsia="zh-CN"/>
        </w:rPr>
        <w:t>4</w:t>
      </w:r>
      <w:r w:rsidRPr="00D214D7">
        <w:rPr>
          <w:rFonts w:ascii="Arial" w:eastAsia="楷体_GB2312" w:hAnsi="Arial" w:hint="eastAsia"/>
          <w:kern w:val="0"/>
          <w:sz w:val="21"/>
          <w:szCs w:val="21"/>
          <w:lang w:eastAsia="zh-CN"/>
        </w:rPr>
        <w:t>日。从基金一级分类、二级分类、行业主题基金分类三个角度研究中国市场中常见的基金业绩比较基准。</w:t>
      </w:r>
      <w:r w:rsidR="003F4896">
        <w:rPr>
          <w:rFonts w:ascii="Arial" w:eastAsia="楷体_GB2312" w:hAnsi="Arial" w:hint="eastAsia"/>
          <w:kern w:val="0"/>
          <w:sz w:val="21"/>
          <w:szCs w:val="21"/>
          <w:lang w:eastAsia="zh-CN"/>
        </w:rPr>
        <w:t>其中，基金的</w:t>
      </w:r>
      <w:r w:rsidR="003F4896">
        <w:rPr>
          <w:rFonts w:ascii="Arial" w:eastAsia="楷体_GB2312" w:hAnsi="Arial" w:hint="eastAsia"/>
          <w:kern w:val="0"/>
          <w:sz w:val="21"/>
          <w:szCs w:val="21"/>
          <w:lang w:eastAsia="zh-CN"/>
        </w:rPr>
        <w:t>Win</w:t>
      </w:r>
      <w:r w:rsidR="003F4896">
        <w:rPr>
          <w:rFonts w:ascii="Arial" w:eastAsia="楷体_GB2312" w:hAnsi="Arial"/>
          <w:kern w:val="0"/>
          <w:sz w:val="21"/>
          <w:szCs w:val="21"/>
          <w:lang w:eastAsia="zh-CN"/>
        </w:rPr>
        <w:t>d</w:t>
      </w:r>
      <w:r w:rsidR="003F4896">
        <w:rPr>
          <w:rFonts w:ascii="Arial" w:eastAsia="楷体_GB2312" w:hAnsi="Arial" w:hint="eastAsia"/>
          <w:kern w:val="0"/>
          <w:sz w:val="21"/>
          <w:szCs w:val="21"/>
          <w:lang w:eastAsia="zh-CN"/>
        </w:rPr>
        <w:t>一级分类分为五类，包括</w:t>
      </w:r>
      <w:r w:rsidR="003F4896" w:rsidRPr="003F4896">
        <w:rPr>
          <w:rFonts w:ascii="Arial" w:eastAsia="楷体_GB2312" w:hAnsi="Arial" w:hint="eastAsia"/>
          <w:kern w:val="0"/>
          <w:sz w:val="21"/>
          <w:szCs w:val="21"/>
          <w:lang w:eastAsia="zh-CN"/>
        </w:rPr>
        <w:t>混合型基金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债券型基金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股票型基金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货币市场型基金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国际</w:t>
      </w:r>
      <w:r w:rsidR="003F4896" w:rsidRPr="003F4896">
        <w:rPr>
          <w:rFonts w:ascii="Arial" w:eastAsia="楷体_GB2312" w:hAnsi="Arial"/>
          <w:kern w:val="0"/>
          <w:sz w:val="21"/>
          <w:szCs w:val="21"/>
          <w:lang w:eastAsia="zh-CN"/>
        </w:rPr>
        <w:t>(QDII)</w:t>
      </w:r>
      <w:r w:rsidR="003F4896" w:rsidRPr="003F4896">
        <w:rPr>
          <w:rFonts w:ascii="Arial" w:eastAsia="楷体_GB2312" w:hAnsi="Arial" w:hint="eastAsia"/>
          <w:kern w:val="0"/>
          <w:sz w:val="21"/>
          <w:szCs w:val="21"/>
          <w:lang w:eastAsia="zh-CN"/>
        </w:rPr>
        <w:t>基金</w:t>
      </w:r>
      <w:r w:rsidR="003F4896">
        <w:rPr>
          <w:rFonts w:ascii="Arial" w:eastAsia="楷体_GB2312" w:hAnsi="Arial" w:hint="eastAsia"/>
          <w:kern w:val="0"/>
          <w:sz w:val="21"/>
          <w:szCs w:val="21"/>
          <w:lang w:eastAsia="zh-CN"/>
        </w:rPr>
        <w:t>、</w:t>
      </w:r>
      <w:r w:rsidR="003F4896" w:rsidRPr="003F4896">
        <w:rPr>
          <w:rFonts w:ascii="Arial" w:eastAsia="楷体_GB2312" w:hAnsi="Arial" w:hint="eastAsia"/>
          <w:kern w:val="0"/>
          <w:sz w:val="21"/>
          <w:szCs w:val="21"/>
          <w:lang w:eastAsia="zh-CN"/>
        </w:rPr>
        <w:t>另类投资基金</w:t>
      </w:r>
      <w:r w:rsidR="003F4896">
        <w:rPr>
          <w:rFonts w:ascii="Arial" w:eastAsia="楷体_GB2312" w:hAnsi="Arial" w:hint="eastAsia"/>
          <w:kern w:val="0"/>
          <w:sz w:val="21"/>
          <w:szCs w:val="21"/>
          <w:lang w:eastAsia="zh-CN"/>
        </w:rPr>
        <w:t>，基金的</w:t>
      </w:r>
      <w:r w:rsidR="003F4896">
        <w:rPr>
          <w:rFonts w:ascii="Arial" w:eastAsia="楷体_GB2312" w:hAnsi="Arial" w:hint="eastAsia"/>
          <w:kern w:val="0"/>
          <w:sz w:val="21"/>
          <w:szCs w:val="21"/>
          <w:lang w:eastAsia="zh-CN"/>
        </w:rPr>
        <w:t>Win</w:t>
      </w:r>
      <w:r w:rsidR="003F4896">
        <w:rPr>
          <w:rFonts w:ascii="Arial" w:eastAsia="楷体_GB2312" w:hAnsi="Arial"/>
          <w:kern w:val="0"/>
          <w:sz w:val="21"/>
          <w:szCs w:val="21"/>
          <w:lang w:eastAsia="zh-CN"/>
        </w:rPr>
        <w:t>d</w:t>
      </w:r>
      <w:r w:rsidR="003F4896">
        <w:rPr>
          <w:rFonts w:ascii="Arial" w:eastAsia="楷体_GB2312" w:hAnsi="Arial" w:hint="eastAsia"/>
          <w:kern w:val="0"/>
          <w:sz w:val="21"/>
          <w:szCs w:val="21"/>
          <w:lang w:eastAsia="zh-CN"/>
        </w:rPr>
        <w:t>二级分类分为</w:t>
      </w:r>
      <w:r w:rsidR="003F4896">
        <w:rPr>
          <w:rFonts w:ascii="Arial" w:eastAsia="楷体_GB2312" w:hAnsi="Arial" w:hint="eastAsia"/>
          <w:kern w:val="0"/>
          <w:sz w:val="21"/>
          <w:szCs w:val="21"/>
          <w:lang w:eastAsia="zh-CN"/>
        </w:rPr>
        <w:t>2</w:t>
      </w:r>
      <w:r w:rsidR="003F4896">
        <w:rPr>
          <w:rFonts w:ascii="Arial" w:eastAsia="楷体_GB2312" w:hAnsi="Arial"/>
          <w:kern w:val="0"/>
          <w:sz w:val="21"/>
          <w:szCs w:val="21"/>
          <w:lang w:eastAsia="zh-CN"/>
        </w:rPr>
        <w:t>0</w:t>
      </w:r>
      <w:r w:rsidR="003F4896">
        <w:rPr>
          <w:rFonts w:ascii="Arial" w:eastAsia="楷体_GB2312" w:hAnsi="Arial" w:hint="eastAsia"/>
          <w:kern w:val="0"/>
          <w:sz w:val="21"/>
          <w:szCs w:val="21"/>
          <w:lang w:eastAsia="zh-CN"/>
        </w:rPr>
        <w:t>类，本文重点关注其中五类（括号内为相应的数目和占比），包括偏股混合型（</w:t>
      </w:r>
      <w:r w:rsidR="003F4896">
        <w:rPr>
          <w:rFonts w:ascii="Arial" w:eastAsia="楷体_GB2312" w:hAnsi="Arial" w:hint="eastAsia"/>
          <w:kern w:val="0"/>
          <w:sz w:val="21"/>
          <w:szCs w:val="21"/>
          <w:lang w:eastAsia="zh-CN"/>
        </w:rPr>
        <w:t>1</w:t>
      </w:r>
      <w:r w:rsidR="003F4896">
        <w:rPr>
          <w:rFonts w:ascii="Arial" w:eastAsia="楷体_GB2312" w:hAnsi="Arial"/>
          <w:kern w:val="0"/>
          <w:sz w:val="21"/>
          <w:szCs w:val="21"/>
          <w:lang w:eastAsia="zh-CN"/>
        </w:rPr>
        <w:t>855/</w:t>
      </w:r>
      <w:r w:rsidR="003F4896">
        <w:rPr>
          <w:rFonts w:ascii="Arial" w:eastAsia="楷体_GB2312" w:hAnsi="Arial" w:hint="eastAsia"/>
          <w:kern w:val="0"/>
          <w:sz w:val="21"/>
          <w:szCs w:val="21"/>
          <w:lang w:eastAsia="zh-CN"/>
        </w:rPr>
        <w:t>1</w:t>
      </w:r>
      <w:r w:rsidR="003F4896">
        <w:rPr>
          <w:rFonts w:ascii="Arial" w:eastAsia="楷体_GB2312" w:hAnsi="Arial"/>
          <w:kern w:val="0"/>
          <w:sz w:val="21"/>
          <w:szCs w:val="21"/>
          <w:lang w:eastAsia="zh-CN"/>
        </w:rPr>
        <w:t>6.0</w:t>
      </w:r>
      <w:r w:rsidR="003F4896">
        <w:rPr>
          <w:rFonts w:ascii="Arial" w:eastAsia="楷体_GB2312" w:hAnsi="Arial" w:hint="eastAsia"/>
          <w:kern w:val="0"/>
          <w:sz w:val="21"/>
          <w:szCs w:val="21"/>
          <w:lang w:eastAsia="zh-CN"/>
        </w:rPr>
        <w:t>%</w:t>
      </w:r>
      <w:r w:rsidR="003F4896">
        <w:rPr>
          <w:rFonts w:ascii="Arial" w:eastAsia="楷体_GB2312" w:hAnsi="Arial" w:hint="eastAsia"/>
          <w:kern w:val="0"/>
          <w:sz w:val="21"/>
          <w:szCs w:val="21"/>
          <w:lang w:eastAsia="zh-CN"/>
        </w:rPr>
        <w:t>）、灵活配置型（</w:t>
      </w:r>
      <w:r w:rsidR="003F4896">
        <w:rPr>
          <w:rFonts w:ascii="Arial" w:eastAsia="楷体_GB2312" w:hAnsi="Arial" w:hint="eastAsia"/>
          <w:kern w:val="0"/>
          <w:sz w:val="21"/>
          <w:szCs w:val="21"/>
          <w:lang w:eastAsia="zh-CN"/>
        </w:rPr>
        <w:t>2</w:t>
      </w:r>
      <w:r w:rsidR="003F4896">
        <w:rPr>
          <w:rFonts w:ascii="Arial" w:eastAsia="楷体_GB2312" w:hAnsi="Arial"/>
          <w:kern w:val="0"/>
          <w:sz w:val="21"/>
          <w:szCs w:val="21"/>
          <w:lang w:eastAsia="zh-CN"/>
        </w:rPr>
        <w:t>063/17.8%</w:t>
      </w:r>
      <w:r w:rsidR="003F4896">
        <w:rPr>
          <w:rFonts w:ascii="Arial" w:eastAsia="楷体_GB2312" w:hAnsi="Arial" w:hint="eastAsia"/>
          <w:kern w:val="0"/>
          <w:sz w:val="21"/>
          <w:szCs w:val="21"/>
          <w:lang w:eastAsia="zh-CN"/>
        </w:rPr>
        <w:t>）、普通股票型（</w:t>
      </w:r>
      <w:r w:rsidR="003F4896">
        <w:rPr>
          <w:rFonts w:ascii="Arial" w:eastAsia="楷体_GB2312" w:hAnsi="Arial" w:hint="eastAsia"/>
          <w:kern w:val="0"/>
          <w:sz w:val="21"/>
          <w:szCs w:val="21"/>
          <w:lang w:eastAsia="zh-CN"/>
        </w:rPr>
        <w:t>5</w:t>
      </w:r>
      <w:r w:rsidR="003F4896">
        <w:rPr>
          <w:rFonts w:ascii="Arial" w:eastAsia="楷体_GB2312" w:hAnsi="Arial"/>
          <w:kern w:val="0"/>
          <w:sz w:val="21"/>
          <w:szCs w:val="21"/>
          <w:lang w:eastAsia="zh-CN"/>
        </w:rPr>
        <w:t>96/</w:t>
      </w:r>
      <w:r w:rsidR="003F4896">
        <w:rPr>
          <w:rFonts w:ascii="Arial" w:eastAsia="楷体_GB2312" w:hAnsi="Arial" w:hint="eastAsia"/>
          <w:kern w:val="0"/>
          <w:sz w:val="21"/>
          <w:szCs w:val="21"/>
          <w:lang w:eastAsia="zh-CN"/>
        </w:rPr>
        <w:t>5</w:t>
      </w:r>
      <w:r w:rsidR="003F4896">
        <w:rPr>
          <w:rFonts w:ascii="Arial" w:eastAsia="楷体_GB2312" w:hAnsi="Arial"/>
          <w:kern w:val="0"/>
          <w:sz w:val="21"/>
          <w:szCs w:val="21"/>
          <w:lang w:eastAsia="zh-CN"/>
        </w:rPr>
        <w:t>.2%</w:t>
      </w:r>
      <w:r w:rsidR="003F4896">
        <w:rPr>
          <w:rFonts w:ascii="Arial" w:eastAsia="楷体_GB2312" w:hAnsi="Arial" w:hint="eastAsia"/>
          <w:kern w:val="0"/>
          <w:sz w:val="21"/>
          <w:szCs w:val="21"/>
          <w:lang w:eastAsia="zh-CN"/>
        </w:rPr>
        <w:t>）、偏债混合型（</w:t>
      </w:r>
      <w:r w:rsidR="003F4896">
        <w:rPr>
          <w:rFonts w:ascii="Arial" w:eastAsia="楷体_GB2312" w:hAnsi="Arial" w:hint="eastAsia"/>
          <w:kern w:val="0"/>
          <w:sz w:val="21"/>
          <w:szCs w:val="21"/>
          <w:lang w:eastAsia="zh-CN"/>
        </w:rPr>
        <w:t>7</w:t>
      </w:r>
      <w:r w:rsidR="003F4896">
        <w:rPr>
          <w:rFonts w:ascii="Arial" w:eastAsia="楷体_GB2312" w:hAnsi="Arial"/>
          <w:kern w:val="0"/>
          <w:sz w:val="21"/>
          <w:szCs w:val="21"/>
          <w:lang w:eastAsia="zh-CN"/>
        </w:rPr>
        <w:t>84/6.0%</w:t>
      </w:r>
      <w:r w:rsidR="003F4896">
        <w:rPr>
          <w:rFonts w:ascii="Arial" w:eastAsia="楷体_GB2312" w:hAnsi="Arial" w:hint="eastAsia"/>
          <w:kern w:val="0"/>
          <w:sz w:val="21"/>
          <w:szCs w:val="21"/>
          <w:lang w:eastAsia="zh-CN"/>
        </w:rPr>
        <w:t>）、股票多空（</w:t>
      </w:r>
      <w:r w:rsidR="003F4896">
        <w:rPr>
          <w:rFonts w:ascii="Arial" w:eastAsia="楷体_GB2312" w:hAnsi="Arial" w:hint="eastAsia"/>
          <w:kern w:val="0"/>
          <w:sz w:val="21"/>
          <w:szCs w:val="21"/>
          <w:lang w:eastAsia="zh-CN"/>
        </w:rPr>
        <w:t>3</w:t>
      </w:r>
      <w:r w:rsidR="003F4896">
        <w:rPr>
          <w:rFonts w:ascii="Arial" w:eastAsia="楷体_GB2312" w:hAnsi="Arial"/>
          <w:kern w:val="0"/>
          <w:sz w:val="21"/>
          <w:szCs w:val="21"/>
          <w:lang w:eastAsia="zh-CN"/>
        </w:rPr>
        <w:t>9</w:t>
      </w:r>
      <w:r w:rsidR="003F4896">
        <w:rPr>
          <w:rFonts w:ascii="Arial" w:eastAsia="楷体_GB2312" w:hAnsi="Arial" w:hint="eastAsia"/>
          <w:kern w:val="0"/>
          <w:sz w:val="21"/>
          <w:szCs w:val="21"/>
          <w:lang w:eastAsia="zh-CN"/>
        </w:rPr>
        <w:t>/</w:t>
      </w:r>
      <w:r w:rsidR="003F4896">
        <w:rPr>
          <w:rFonts w:ascii="Arial" w:eastAsia="楷体_GB2312" w:hAnsi="Arial"/>
          <w:kern w:val="0"/>
          <w:sz w:val="21"/>
          <w:szCs w:val="21"/>
          <w:lang w:eastAsia="zh-CN"/>
        </w:rPr>
        <w:t>0.3</w:t>
      </w:r>
      <w:r w:rsidR="003F4896">
        <w:rPr>
          <w:rFonts w:ascii="Arial" w:eastAsia="楷体_GB2312" w:hAnsi="Arial" w:hint="eastAsia"/>
          <w:kern w:val="0"/>
          <w:sz w:val="21"/>
          <w:szCs w:val="21"/>
          <w:lang w:eastAsia="zh-CN"/>
        </w:rPr>
        <w:t>%</w:t>
      </w:r>
      <w:r w:rsidR="003F4896">
        <w:rPr>
          <w:rFonts w:ascii="Arial" w:eastAsia="楷体_GB2312" w:hAnsi="Arial" w:hint="eastAsia"/>
          <w:kern w:val="0"/>
          <w:sz w:val="21"/>
          <w:szCs w:val="21"/>
          <w:lang w:eastAsia="zh-CN"/>
        </w:rPr>
        <w:t>）。</w:t>
      </w:r>
      <w:r w:rsidR="000067BB">
        <w:rPr>
          <w:rFonts w:ascii="Arial" w:eastAsia="楷体_GB2312" w:hAnsi="Arial" w:hint="eastAsia"/>
          <w:kern w:val="0"/>
          <w:sz w:val="21"/>
          <w:szCs w:val="21"/>
          <w:lang w:eastAsia="zh-CN"/>
        </w:rPr>
        <w:t>行业主题基金共</w:t>
      </w:r>
      <w:r w:rsidR="000067BB">
        <w:rPr>
          <w:rFonts w:ascii="Arial" w:eastAsia="楷体_GB2312" w:hAnsi="Arial" w:hint="eastAsia"/>
          <w:kern w:val="0"/>
          <w:sz w:val="21"/>
          <w:szCs w:val="21"/>
          <w:lang w:eastAsia="zh-CN"/>
        </w:rPr>
        <w:t>2</w:t>
      </w:r>
      <w:r w:rsidR="000067BB">
        <w:rPr>
          <w:rFonts w:ascii="Arial" w:eastAsia="楷体_GB2312" w:hAnsi="Arial"/>
          <w:kern w:val="0"/>
          <w:sz w:val="21"/>
          <w:szCs w:val="21"/>
          <w:lang w:eastAsia="zh-CN"/>
        </w:rPr>
        <w:t>405</w:t>
      </w:r>
      <w:r w:rsidR="000067BB">
        <w:rPr>
          <w:rFonts w:ascii="Arial" w:eastAsia="楷体_GB2312" w:hAnsi="Arial" w:hint="eastAsia"/>
          <w:kern w:val="0"/>
          <w:sz w:val="21"/>
          <w:szCs w:val="21"/>
          <w:lang w:eastAsia="zh-CN"/>
        </w:rPr>
        <w:t>支，占全部基金数目的</w:t>
      </w:r>
      <w:r w:rsidR="000067BB">
        <w:rPr>
          <w:rFonts w:ascii="Arial" w:eastAsia="楷体_GB2312" w:hAnsi="Arial" w:hint="eastAsia"/>
          <w:kern w:val="0"/>
          <w:sz w:val="21"/>
          <w:szCs w:val="21"/>
          <w:lang w:eastAsia="zh-CN"/>
        </w:rPr>
        <w:t>2</w:t>
      </w:r>
      <w:r w:rsidR="000067BB">
        <w:rPr>
          <w:rFonts w:ascii="Arial" w:eastAsia="楷体_GB2312" w:hAnsi="Arial"/>
          <w:kern w:val="0"/>
          <w:sz w:val="21"/>
          <w:szCs w:val="21"/>
          <w:lang w:eastAsia="zh-CN"/>
        </w:rPr>
        <w:t>0.8</w:t>
      </w:r>
      <w:r w:rsidR="000067BB">
        <w:rPr>
          <w:rFonts w:ascii="Arial" w:eastAsia="楷体_GB2312" w:hAnsi="Arial" w:hint="eastAsia"/>
          <w:kern w:val="0"/>
          <w:sz w:val="21"/>
          <w:szCs w:val="21"/>
          <w:lang w:eastAsia="zh-CN"/>
        </w:rPr>
        <w:t>%</w:t>
      </w:r>
      <w:r w:rsidR="005444B5">
        <w:rPr>
          <w:rFonts w:ascii="Arial" w:eastAsia="楷体_GB2312" w:hAnsi="Arial" w:hint="eastAsia"/>
          <w:kern w:val="0"/>
          <w:sz w:val="21"/>
          <w:szCs w:val="21"/>
          <w:lang w:eastAsia="zh-CN"/>
        </w:rPr>
        <w:t>，其中数目排名前</w:t>
      </w:r>
      <w:r w:rsidR="009D7188">
        <w:rPr>
          <w:rFonts w:ascii="Arial" w:eastAsia="楷体_GB2312" w:hAnsi="Arial" w:hint="eastAsia"/>
          <w:kern w:val="0"/>
          <w:sz w:val="21"/>
          <w:szCs w:val="21"/>
          <w:lang w:eastAsia="zh-CN"/>
        </w:rPr>
        <w:t>六</w:t>
      </w:r>
      <w:r w:rsidR="005444B5">
        <w:rPr>
          <w:rFonts w:ascii="Arial" w:eastAsia="楷体_GB2312" w:hAnsi="Arial" w:hint="eastAsia"/>
          <w:kern w:val="0"/>
          <w:sz w:val="21"/>
          <w:szCs w:val="21"/>
          <w:lang w:eastAsia="zh-CN"/>
        </w:rPr>
        <w:t>的行业主题分别为</w:t>
      </w:r>
      <w:r w:rsidR="00997AFA">
        <w:rPr>
          <w:rFonts w:ascii="Arial" w:eastAsia="楷体_GB2312" w:hAnsi="Arial" w:hint="eastAsia"/>
          <w:kern w:val="0"/>
          <w:sz w:val="21"/>
          <w:szCs w:val="21"/>
          <w:lang w:eastAsia="zh-CN"/>
        </w:rPr>
        <w:t>酒类行</w:t>
      </w:r>
      <w:r w:rsidR="00694637">
        <w:rPr>
          <w:rFonts w:ascii="Arial" w:eastAsia="楷体_GB2312" w:hAnsi="Arial" w:hint="eastAsia"/>
          <w:kern w:val="0"/>
          <w:sz w:val="21"/>
          <w:szCs w:val="21"/>
          <w:lang w:eastAsia="zh-CN"/>
        </w:rPr>
        <w:t>业（</w:t>
      </w:r>
      <w:r w:rsidR="00694637">
        <w:rPr>
          <w:rFonts w:ascii="Arial" w:eastAsia="楷体_GB2312" w:hAnsi="Arial"/>
          <w:kern w:val="0"/>
          <w:sz w:val="21"/>
          <w:szCs w:val="21"/>
          <w:lang w:eastAsia="zh-CN"/>
        </w:rPr>
        <w:t>470/19.5%</w:t>
      </w:r>
      <w:r w:rsidR="00694637">
        <w:rPr>
          <w:rFonts w:ascii="Arial" w:eastAsia="楷体_GB2312" w:hAnsi="Arial" w:hint="eastAsia"/>
          <w:kern w:val="0"/>
          <w:sz w:val="21"/>
          <w:szCs w:val="21"/>
          <w:lang w:eastAsia="zh-CN"/>
        </w:rPr>
        <w:t>）、</w:t>
      </w:r>
      <w:r w:rsidR="00997AFA">
        <w:rPr>
          <w:rFonts w:ascii="Arial" w:eastAsia="楷体_GB2312" w:hAnsi="Arial" w:hint="eastAsia"/>
          <w:kern w:val="0"/>
          <w:sz w:val="21"/>
          <w:szCs w:val="21"/>
          <w:lang w:eastAsia="zh-CN"/>
        </w:rPr>
        <w:t>电子元器件行业（</w:t>
      </w:r>
      <w:r w:rsidR="00694637">
        <w:rPr>
          <w:rFonts w:ascii="Arial" w:eastAsia="楷体_GB2312" w:hAnsi="Arial" w:hint="eastAsia"/>
          <w:kern w:val="0"/>
          <w:sz w:val="21"/>
          <w:szCs w:val="21"/>
          <w:lang w:eastAsia="zh-CN"/>
        </w:rPr>
        <w:t>3</w:t>
      </w:r>
      <w:r w:rsidR="00694637">
        <w:rPr>
          <w:rFonts w:ascii="Arial" w:eastAsia="楷体_GB2312" w:hAnsi="Arial"/>
          <w:kern w:val="0"/>
          <w:sz w:val="21"/>
          <w:szCs w:val="21"/>
          <w:lang w:eastAsia="zh-CN"/>
        </w:rPr>
        <w:t>81/15.8%</w:t>
      </w:r>
      <w:r w:rsidR="00997AFA">
        <w:rPr>
          <w:rFonts w:ascii="Arial" w:eastAsia="楷体_GB2312" w:hAnsi="Arial" w:hint="eastAsia"/>
          <w:kern w:val="0"/>
          <w:sz w:val="21"/>
          <w:szCs w:val="21"/>
          <w:lang w:eastAsia="zh-CN"/>
        </w:rPr>
        <w:t>）、电工电网行业（</w:t>
      </w:r>
      <w:r w:rsidR="00694637">
        <w:rPr>
          <w:rFonts w:ascii="Arial" w:eastAsia="楷体_GB2312" w:hAnsi="Arial" w:hint="eastAsia"/>
          <w:kern w:val="0"/>
          <w:sz w:val="21"/>
          <w:szCs w:val="21"/>
          <w:lang w:eastAsia="zh-CN"/>
        </w:rPr>
        <w:t>1</w:t>
      </w:r>
      <w:r w:rsidR="00694637">
        <w:rPr>
          <w:rFonts w:ascii="Arial" w:eastAsia="楷体_GB2312" w:hAnsi="Arial"/>
          <w:kern w:val="0"/>
          <w:sz w:val="21"/>
          <w:szCs w:val="21"/>
          <w:lang w:eastAsia="zh-CN"/>
        </w:rPr>
        <w:t>83/7.6</w:t>
      </w:r>
      <w:r w:rsidR="00694637">
        <w:rPr>
          <w:rFonts w:ascii="Arial" w:eastAsia="楷体_GB2312" w:hAnsi="Arial" w:hint="eastAsia"/>
          <w:kern w:val="0"/>
          <w:sz w:val="21"/>
          <w:szCs w:val="21"/>
          <w:lang w:eastAsia="zh-CN"/>
        </w:rPr>
        <w:t>%</w:t>
      </w:r>
      <w:r w:rsidR="00997AFA">
        <w:rPr>
          <w:rFonts w:ascii="Arial" w:eastAsia="楷体_GB2312" w:hAnsi="Arial" w:hint="eastAsia"/>
          <w:kern w:val="0"/>
          <w:sz w:val="21"/>
          <w:szCs w:val="21"/>
          <w:lang w:eastAsia="zh-CN"/>
        </w:rPr>
        <w:t>）、半导体行业（</w:t>
      </w:r>
      <w:r w:rsidR="00997AFA">
        <w:rPr>
          <w:rFonts w:ascii="Arial" w:eastAsia="楷体_GB2312" w:hAnsi="Arial" w:hint="eastAsia"/>
          <w:kern w:val="0"/>
          <w:sz w:val="21"/>
          <w:szCs w:val="21"/>
          <w:lang w:eastAsia="zh-CN"/>
        </w:rPr>
        <w:t>1</w:t>
      </w:r>
      <w:r w:rsidR="00997AFA">
        <w:rPr>
          <w:rFonts w:ascii="Arial" w:eastAsia="楷体_GB2312" w:hAnsi="Arial"/>
          <w:kern w:val="0"/>
          <w:sz w:val="21"/>
          <w:szCs w:val="21"/>
          <w:lang w:eastAsia="zh-CN"/>
        </w:rPr>
        <w:t>64</w:t>
      </w:r>
      <w:r w:rsidR="00997AFA">
        <w:rPr>
          <w:rFonts w:ascii="Arial" w:eastAsia="楷体_GB2312" w:hAnsi="Arial" w:hint="eastAsia"/>
          <w:kern w:val="0"/>
          <w:sz w:val="21"/>
          <w:szCs w:val="21"/>
          <w:lang w:eastAsia="zh-CN"/>
        </w:rPr>
        <w:t>/</w:t>
      </w:r>
      <w:r w:rsidR="00997AFA">
        <w:rPr>
          <w:rFonts w:ascii="Arial" w:eastAsia="楷体_GB2312" w:hAnsi="Arial"/>
          <w:kern w:val="0"/>
          <w:sz w:val="21"/>
          <w:szCs w:val="21"/>
          <w:lang w:eastAsia="zh-CN"/>
        </w:rPr>
        <w:t>6.8%</w:t>
      </w:r>
      <w:r w:rsidR="00997AFA">
        <w:rPr>
          <w:rFonts w:ascii="Arial" w:eastAsia="楷体_GB2312" w:hAnsi="Arial" w:hint="eastAsia"/>
          <w:kern w:val="0"/>
          <w:sz w:val="21"/>
          <w:szCs w:val="21"/>
          <w:lang w:eastAsia="zh-CN"/>
        </w:rPr>
        <w:t>）、生物科技行业（</w:t>
      </w:r>
      <w:r w:rsidR="00997AFA">
        <w:rPr>
          <w:rFonts w:ascii="Arial" w:eastAsia="楷体_GB2312" w:hAnsi="Arial" w:hint="eastAsia"/>
          <w:kern w:val="0"/>
          <w:sz w:val="21"/>
          <w:szCs w:val="21"/>
          <w:lang w:eastAsia="zh-CN"/>
        </w:rPr>
        <w:t>1</w:t>
      </w:r>
      <w:r w:rsidR="00997AFA">
        <w:rPr>
          <w:rFonts w:ascii="Arial" w:eastAsia="楷体_GB2312" w:hAnsi="Arial"/>
          <w:kern w:val="0"/>
          <w:sz w:val="21"/>
          <w:szCs w:val="21"/>
          <w:lang w:eastAsia="zh-CN"/>
        </w:rPr>
        <w:t>23</w:t>
      </w:r>
      <w:r w:rsidR="00997AFA">
        <w:rPr>
          <w:rFonts w:ascii="Arial" w:eastAsia="楷体_GB2312" w:hAnsi="Arial" w:hint="eastAsia"/>
          <w:kern w:val="0"/>
          <w:sz w:val="21"/>
          <w:szCs w:val="21"/>
          <w:lang w:eastAsia="zh-CN"/>
        </w:rPr>
        <w:t>/</w:t>
      </w:r>
      <w:r w:rsidR="00997AFA">
        <w:rPr>
          <w:rFonts w:ascii="Arial" w:eastAsia="楷体_GB2312" w:hAnsi="Arial"/>
          <w:kern w:val="0"/>
          <w:sz w:val="21"/>
          <w:szCs w:val="21"/>
          <w:lang w:eastAsia="zh-CN"/>
        </w:rPr>
        <w:t>5.1%</w:t>
      </w:r>
      <w:r w:rsidR="00997AFA">
        <w:rPr>
          <w:rFonts w:ascii="Arial" w:eastAsia="楷体_GB2312" w:hAnsi="Arial" w:hint="eastAsia"/>
          <w:kern w:val="0"/>
          <w:sz w:val="21"/>
          <w:szCs w:val="21"/>
          <w:lang w:eastAsia="zh-CN"/>
        </w:rPr>
        <w:t>）、银行行业（</w:t>
      </w:r>
      <w:r w:rsidR="00997AFA">
        <w:rPr>
          <w:rFonts w:ascii="Arial" w:eastAsia="楷体_GB2312" w:hAnsi="Arial" w:hint="eastAsia"/>
          <w:kern w:val="0"/>
          <w:sz w:val="21"/>
          <w:szCs w:val="21"/>
          <w:lang w:eastAsia="zh-CN"/>
        </w:rPr>
        <w:t>1</w:t>
      </w:r>
      <w:r w:rsidR="00997AFA">
        <w:rPr>
          <w:rFonts w:ascii="Arial" w:eastAsia="楷体_GB2312" w:hAnsi="Arial"/>
          <w:kern w:val="0"/>
          <w:sz w:val="21"/>
          <w:szCs w:val="21"/>
          <w:lang w:eastAsia="zh-CN"/>
        </w:rPr>
        <w:t>19/5.0%</w:t>
      </w:r>
      <w:r w:rsidR="00997AFA">
        <w:rPr>
          <w:rFonts w:ascii="Arial" w:eastAsia="楷体_GB2312" w:hAnsi="Arial" w:hint="eastAsia"/>
          <w:kern w:val="0"/>
          <w:sz w:val="21"/>
          <w:szCs w:val="21"/>
          <w:lang w:eastAsia="zh-CN"/>
        </w:rPr>
        <w:t>）</w:t>
      </w:r>
      <w:r w:rsidR="000067BB">
        <w:rPr>
          <w:rFonts w:ascii="Arial" w:eastAsia="楷体_GB2312" w:hAnsi="Arial" w:hint="eastAsia"/>
          <w:kern w:val="0"/>
          <w:sz w:val="21"/>
          <w:szCs w:val="21"/>
          <w:lang w:eastAsia="zh-CN"/>
        </w:rPr>
        <w:t>。</w:t>
      </w:r>
    </w:p>
    <w:tbl>
      <w:tblPr>
        <w:tblW w:w="10431" w:type="dxa"/>
        <w:tblInd w:w="130" w:type="dxa"/>
        <w:tblLayout w:type="fixed"/>
        <w:tblLook w:val="04A0" w:firstRow="1" w:lastRow="0" w:firstColumn="1" w:lastColumn="0" w:noHBand="0" w:noVBand="1"/>
      </w:tblPr>
      <w:tblGrid>
        <w:gridCol w:w="2920"/>
        <w:gridCol w:w="2154"/>
        <w:gridCol w:w="283"/>
        <w:gridCol w:w="4967"/>
        <w:gridCol w:w="107"/>
      </w:tblGrid>
      <w:tr w:rsidR="00590944" w:rsidRPr="00490D55" w14:paraId="20266F3F" w14:textId="77777777" w:rsidTr="0095166E">
        <w:tc>
          <w:tcPr>
            <w:tcW w:w="5074" w:type="dxa"/>
            <w:gridSpan w:val="2"/>
            <w:tcBorders>
              <w:top w:val="nil"/>
              <w:left w:val="nil"/>
              <w:bottom w:val="single" w:sz="4" w:space="0" w:color="auto"/>
              <w:right w:val="nil"/>
            </w:tcBorders>
            <w:hideMark/>
          </w:tcPr>
          <w:p w14:paraId="78F1226B" w14:textId="0099A881" w:rsidR="00590944" w:rsidRPr="00C72F7D" w:rsidRDefault="003F4896" w:rsidP="00E94906">
            <w:pPr>
              <w:pStyle w:val="af0"/>
              <w:ind w:leftChars="-54" w:left="-130"/>
              <w:rPr>
                <w:lang w:eastAsia="zh-CN"/>
              </w:rPr>
            </w:pPr>
            <w:r>
              <w:rPr>
                <w:lang w:eastAsia="zh-CN"/>
              </w:rPr>
              <w:br w:type="page"/>
            </w:r>
            <w:bookmarkStart w:id="23" w:name="_Toc518314363"/>
            <w:bookmarkStart w:id="24" w:name="_Toc528757856"/>
            <w:bookmarkStart w:id="25" w:name="_Toc29814896"/>
            <w:bookmarkStart w:id="26" w:name="_Toc34809096"/>
            <w:bookmarkStart w:id="27" w:name="_Toc65772354"/>
            <w:r w:rsidR="00590944">
              <w:rPr>
                <w:rFonts w:hint="eastAsia"/>
                <w:lang w:eastAsia="zh-CN"/>
              </w:rPr>
              <w:t>图</w:t>
            </w:r>
            <w:r w:rsidR="00590944">
              <w:rPr>
                <w:lang w:eastAsia="zh-CN"/>
              </w:rPr>
              <w:t xml:space="preserve"> </w:t>
            </w:r>
            <w:r w:rsidR="00590944">
              <w:fldChar w:fldCharType="begin"/>
            </w:r>
            <w:r w:rsidR="00590944" w:rsidRPr="00716F0C">
              <w:rPr>
                <w:lang w:eastAsia="zh-CN"/>
              </w:rPr>
              <w:instrText xml:space="preserve"> SEQ </w:instrText>
            </w:r>
            <w:r w:rsidR="00590944" w:rsidRPr="00716F0C">
              <w:rPr>
                <w:lang w:eastAsia="zh-CN"/>
              </w:rPr>
              <w:instrText>图</w:instrText>
            </w:r>
            <w:r w:rsidR="00590944" w:rsidRPr="00716F0C">
              <w:rPr>
                <w:lang w:eastAsia="zh-CN"/>
              </w:rPr>
              <w:instrText xml:space="preserve"> \* ARABIC </w:instrText>
            </w:r>
            <w:r w:rsidR="00590944">
              <w:fldChar w:fldCharType="separate"/>
            </w:r>
            <w:r w:rsidR="0010512F">
              <w:rPr>
                <w:noProof/>
                <w:lang w:eastAsia="zh-CN"/>
              </w:rPr>
              <w:t>2</w:t>
            </w:r>
            <w:r w:rsidR="00590944">
              <w:fldChar w:fldCharType="end"/>
            </w:r>
            <w:r w:rsidR="00590944">
              <w:rPr>
                <w:rFonts w:hint="eastAsia"/>
                <w:lang w:eastAsia="zh-CN"/>
              </w:rPr>
              <w:t>：中国基金</w:t>
            </w:r>
            <w:r w:rsidR="00590944">
              <w:rPr>
                <w:rFonts w:hint="eastAsia"/>
                <w:lang w:eastAsia="zh-CN"/>
              </w:rPr>
              <w:t>Wind</w:t>
            </w:r>
            <w:r w:rsidR="00590944">
              <w:rPr>
                <w:rFonts w:hint="eastAsia"/>
                <w:lang w:eastAsia="zh-CN"/>
              </w:rPr>
              <w:t>一级分类情况</w:t>
            </w:r>
            <w:bookmarkEnd w:id="23"/>
            <w:bookmarkEnd w:id="24"/>
            <w:bookmarkEnd w:id="25"/>
            <w:bookmarkEnd w:id="26"/>
            <w:bookmarkEnd w:id="27"/>
          </w:p>
        </w:tc>
        <w:tc>
          <w:tcPr>
            <w:tcW w:w="283" w:type="dxa"/>
          </w:tcPr>
          <w:p w14:paraId="55C26372" w14:textId="77777777" w:rsidR="00590944" w:rsidRPr="00490D55" w:rsidRDefault="00590944" w:rsidP="00E94906">
            <w:pPr>
              <w:pStyle w:val="ae"/>
              <w:spacing w:after="0"/>
              <w:ind w:leftChars="0" w:left="0"/>
              <w:rPr>
                <w:b/>
                <w:color w:val="0F243E"/>
                <w:lang w:eastAsia="zh-CN"/>
              </w:rPr>
            </w:pPr>
          </w:p>
        </w:tc>
        <w:tc>
          <w:tcPr>
            <w:tcW w:w="5074" w:type="dxa"/>
            <w:gridSpan w:val="2"/>
            <w:tcBorders>
              <w:top w:val="nil"/>
              <w:left w:val="nil"/>
              <w:bottom w:val="single" w:sz="4" w:space="0" w:color="auto"/>
              <w:right w:val="nil"/>
            </w:tcBorders>
            <w:hideMark/>
          </w:tcPr>
          <w:p w14:paraId="1D6E00EE" w14:textId="515D83FE" w:rsidR="00590944" w:rsidRPr="00C72F7D" w:rsidRDefault="00590944" w:rsidP="00E94906">
            <w:pPr>
              <w:pStyle w:val="af0"/>
              <w:ind w:leftChars="-41" w:left="-98"/>
              <w:rPr>
                <w:lang w:eastAsia="zh-CN"/>
              </w:rPr>
            </w:pPr>
            <w:bookmarkStart w:id="28" w:name="_Toc518314364"/>
            <w:bookmarkStart w:id="29" w:name="_Toc528757857"/>
            <w:bookmarkStart w:id="30" w:name="_Toc29814897"/>
            <w:bookmarkStart w:id="31" w:name="_Toc34809097"/>
            <w:bookmarkStart w:id="32" w:name="_Toc65772355"/>
            <w:r>
              <w:rPr>
                <w:rFonts w:hint="eastAsia"/>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sidR="0010512F">
              <w:rPr>
                <w:noProof/>
                <w:lang w:eastAsia="zh-CN"/>
              </w:rPr>
              <w:t>3</w:t>
            </w:r>
            <w:r>
              <w:fldChar w:fldCharType="end"/>
            </w:r>
            <w:r>
              <w:rPr>
                <w:rFonts w:hint="eastAsia"/>
                <w:lang w:eastAsia="zh-CN"/>
              </w:rPr>
              <w:t>：</w:t>
            </w:r>
            <w:r w:rsidRPr="00590944">
              <w:rPr>
                <w:rFonts w:hint="eastAsia"/>
                <w:lang w:eastAsia="zh-CN"/>
              </w:rPr>
              <w:t>中国基金</w:t>
            </w:r>
            <w:r w:rsidRPr="00590944">
              <w:rPr>
                <w:lang w:eastAsia="zh-CN"/>
              </w:rPr>
              <w:t>Wind</w:t>
            </w:r>
            <w:r w:rsidRPr="00590944">
              <w:rPr>
                <w:rFonts w:hint="eastAsia"/>
                <w:lang w:eastAsia="zh-CN"/>
              </w:rPr>
              <w:t>一级分类情况</w:t>
            </w:r>
            <w:bookmarkEnd w:id="28"/>
            <w:bookmarkEnd w:id="29"/>
            <w:bookmarkEnd w:id="30"/>
            <w:bookmarkEnd w:id="31"/>
            <w:bookmarkEnd w:id="32"/>
          </w:p>
        </w:tc>
      </w:tr>
      <w:tr w:rsidR="00590944" w:rsidRPr="009B1FB9" w14:paraId="0094E5E1" w14:textId="77777777" w:rsidTr="0095166E">
        <w:trPr>
          <w:trHeight w:hRule="exact" w:val="3969"/>
        </w:trPr>
        <w:tc>
          <w:tcPr>
            <w:tcW w:w="5074" w:type="dxa"/>
            <w:gridSpan w:val="2"/>
            <w:tcBorders>
              <w:top w:val="single" w:sz="4" w:space="0" w:color="auto"/>
              <w:left w:val="nil"/>
              <w:bottom w:val="single" w:sz="4" w:space="0" w:color="auto"/>
              <w:right w:val="nil"/>
            </w:tcBorders>
            <w:vAlign w:val="center"/>
          </w:tcPr>
          <w:p w14:paraId="7D8693FB" w14:textId="7C1CC91F" w:rsidR="00590944" w:rsidRPr="009B1FB9" w:rsidRDefault="003F4896" w:rsidP="00E94906">
            <w:pPr>
              <w:pStyle w:val="ae"/>
              <w:spacing w:after="0"/>
              <w:ind w:leftChars="0" w:left="0"/>
              <w:jc w:val="center"/>
              <w:rPr>
                <w:rFonts w:cs="Arial"/>
                <w:lang w:eastAsia="zh-CN"/>
              </w:rPr>
            </w:pPr>
            <w:r>
              <w:rPr>
                <w:noProof/>
              </w:rPr>
              <w:drawing>
                <wp:inline distT="0" distB="0" distL="0" distR="0" wp14:anchorId="2EF57E50" wp14:editId="3478E334">
                  <wp:extent cx="3070800" cy="2394000"/>
                  <wp:effectExtent l="0" t="0" r="0" b="6350"/>
                  <wp:docPr id="85" name="图表 85">
                    <a:extLst xmlns:a="http://schemas.openxmlformats.org/drawingml/2006/main">
                      <a:ext uri="{FF2B5EF4-FFF2-40B4-BE49-F238E27FC236}">
                        <a16:creationId xmlns:a16="http://schemas.microsoft.com/office/drawing/2014/main" id="{43DD7090-13DE-4430-B8B7-D6EED2644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p>
        </w:tc>
        <w:tc>
          <w:tcPr>
            <w:tcW w:w="283" w:type="dxa"/>
          </w:tcPr>
          <w:p w14:paraId="2EE80B0E" w14:textId="77777777" w:rsidR="00590944" w:rsidRPr="009B1FB9" w:rsidRDefault="00590944" w:rsidP="00E94906">
            <w:pPr>
              <w:pStyle w:val="ae"/>
              <w:spacing w:after="0"/>
              <w:ind w:leftChars="0" w:left="0"/>
              <w:rPr>
                <w:rFonts w:cs="Arial"/>
                <w:lang w:eastAsia="zh-CN"/>
              </w:rPr>
            </w:pPr>
          </w:p>
        </w:tc>
        <w:tc>
          <w:tcPr>
            <w:tcW w:w="5074" w:type="dxa"/>
            <w:gridSpan w:val="2"/>
            <w:tcBorders>
              <w:top w:val="single" w:sz="4" w:space="0" w:color="auto"/>
              <w:left w:val="nil"/>
              <w:bottom w:val="single" w:sz="4" w:space="0" w:color="auto"/>
              <w:right w:val="nil"/>
            </w:tcBorders>
          </w:tcPr>
          <w:p w14:paraId="16FCF021" w14:textId="0D6A2BBE" w:rsidR="00590944" w:rsidRPr="009B1FB9" w:rsidRDefault="003F4896" w:rsidP="00E94906">
            <w:pPr>
              <w:pStyle w:val="ae"/>
              <w:spacing w:after="0"/>
              <w:ind w:leftChars="0" w:left="0"/>
              <w:jc w:val="both"/>
              <w:rPr>
                <w:rFonts w:cs="Arial"/>
                <w:lang w:eastAsia="zh-CN"/>
              </w:rPr>
            </w:pPr>
            <w:r>
              <w:rPr>
                <w:noProof/>
              </w:rPr>
              <w:drawing>
                <wp:inline distT="0" distB="0" distL="0" distR="0" wp14:anchorId="2FB2EC29" wp14:editId="1CB11597">
                  <wp:extent cx="3070800" cy="2394000"/>
                  <wp:effectExtent l="0" t="0" r="0" b="6350"/>
                  <wp:docPr id="84" name="图表 84">
                    <a:extLst xmlns:a="http://schemas.openxmlformats.org/drawingml/2006/main">
                      <a:ext uri="{FF2B5EF4-FFF2-40B4-BE49-F238E27FC236}">
                        <a16:creationId xmlns:a16="http://schemas.microsoft.com/office/drawing/2014/main" id="{9C4CC8F8-A6B2-42BC-93A8-1197F59289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tc>
      </w:tr>
      <w:tr w:rsidR="00590944" w:rsidRPr="00490D55" w14:paraId="3B6C5FBF" w14:textId="77777777" w:rsidTr="0095166E">
        <w:tc>
          <w:tcPr>
            <w:tcW w:w="5074" w:type="dxa"/>
            <w:gridSpan w:val="2"/>
            <w:tcBorders>
              <w:top w:val="single" w:sz="4" w:space="0" w:color="auto"/>
              <w:left w:val="nil"/>
              <w:bottom w:val="nil"/>
              <w:right w:val="nil"/>
            </w:tcBorders>
            <w:hideMark/>
          </w:tcPr>
          <w:p w14:paraId="6B438B94" w14:textId="544C6FE9" w:rsidR="00590944" w:rsidRPr="00C66411" w:rsidRDefault="00590944" w:rsidP="00E94906">
            <w:pPr>
              <w:pStyle w:val="aff2"/>
              <w:ind w:leftChars="-54" w:left="-130"/>
            </w:pPr>
            <w:r w:rsidRPr="00C66411">
              <w:t>数据来源：</w:t>
            </w:r>
            <w:r>
              <w:rPr>
                <w:rFonts w:hint="eastAsia"/>
              </w:rPr>
              <w:t>Wind</w:t>
            </w:r>
            <w:r w:rsidRPr="00C66411">
              <w:rPr>
                <w:rFonts w:hint="eastAsia"/>
              </w:rPr>
              <w:t>，</w:t>
            </w:r>
            <w:r w:rsidRPr="00C66411">
              <w:t>广发证券发展研究中心</w:t>
            </w:r>
          </w:p>
        </w:tc>
        <w:tc>
          <w:tcPr>
            <w:tcW w:w="283" w:type="dxa"/>
          </w:tcPr>
          <w:p w14:paraId="194E985E" w14:textId="77777777" w:rsidR="00590944" w:rsidRPr="00490D55" w:rsidRDefault="00590944" w:rsidP="00E94906">
            <w:pPr>
              <w:pStyle w:val="ae"/>
              <w:spacing w:after="0"/>
              <w:ind w:leftChars="0" w:left="0"/>
              <w:rPr>
                <w:color w:val="0F243E"/>
                <w:sz w:val="18"/>
                <w:lang w:eastAsia="zh-CN"/>
              </w:rPr>
            </w:pPr>
          </w:p>
        </w:tc>
        <w:tc>
          <w:tcPr>
            <w:tcW w:w="5074" w:type="dxa"/>
            <w:gridSpan w:val="2"/>
            <w:tcBorders>
              <w:top w:val="single" w:sz="4" w:space="0" w:color="auto"/>
              <w:left w:val="nil"/>
              <w:bottom w:val="nil"/>
              <w:right w:val="nil"/>
            </w:tcBorders>
            <w:hideMark/>
          </w:tcPr>
          <w:p w14:paraId="773806DE" w14:textId="1374A45B" w:rsidR="00590944" w:rsidRPr="00C66411" w:rsidRDefault="00590944" w:rsidP="00E94906">
            <w:pPr>
              <w:pStyle w:val="aff2"/>
              <w:ind w:leftChars="-41" w:left="-98"/>
            </w:pPr>
            <w:r w:rsidRPr="00C66411">
              <w:t>数据来源：</w:t>
            </w:r>
            <w:r>
              <w:t>W</w:t>
            </w:r>
            <w:r>
              <w:rPr>
                <w:rFonts w:hint="eastAsia"/>
              </w:rPr>
              <w:t>ind</w:t>
            </w:r>
            <w:r w:rsidRPr="00C66411">
              <w:rPr>
                <w:rFonts w:hint="eastAsia"/>
              </w:rPr>
              <w:t>，</w:t>
            </w:r>
            <w:r w:rsidRPr="00C66411">
              <w:t>广发证券发展研究中心</w:t>
            </w:r>
          </w:p>
        </w:tc>
      </w:tr>
      <w:tr w:rsidR="000067BB" w:rsidRPr="00C72F7D" w14:paraId="4A269F3B" w14:textId="77777777" w:rsidTr="0095166E">
        <w:tblPrEx>
          <w:tblLook w:val="0000" w:firstRow="0" w:lastRow="0" w:firstColumn="0" w:lastColumn="0" w:noHBand="0" w:noVBand="0"/>
        </w:tblPrEx>
        <w:trPr>
          <w:gridBefore w:val="1"/>
          <w:gridAfter w:val="1"/>
          <w:wBefore w:w="2920" w:type="dxa"/>
          <w:wAfter w:w="107" w:type="dxa"/>
        </w:trPr>
        <w:tc>
          <w:tcPr>
            <w:tcW w:w="7404" w:type="dxa"/>
            <w:gridSpan w:val="3"/>
            <w:tcBorders>
              <w:bottom w:val="single" w:sz="4" w:space="0" w:color="auto"/>
            </w:tcBorders>
            <w:shd w:val="clear" w:color="auto" w:fill="auto"/>
          </w:tcPr>
          <w:p w14:paraId="31D4C216" w14:textId="7704D9CF" w:rsidR="000067BB" w:rsidRPr="00C72F7D" w:rsidRDefault="009A63B1" w:rsidP="00E94906">
            <w:pPr>
              <w:pStyle w:val="af0"/>
              <w:rPr>
                <w:lang w:eastAsia="zh-CN"/>
              </w:rPr>
            </w:pPr>
            <w:bookmarkStart w:id="33" w:name="_Toc528757858"/>
            <w:bookmarkStart w:id="34" w:name="_Toc29814898"/>
            <w:bookmarkStart w:id="35" w:name="_Toc34809098"/>
            <w:r>
              <w:rPr>
                <w:b w:val="0"/>
                <w:lang w:eastAsia="zh-CN"/>
              </w:rPr>
              <w:br w:type="page"/>
            </w:r>
            <w:bookmarkStart w:id="36" w:name="_Toc65772356"/>
            <w:r w:rsidR="000067BB">
              <w:rPr>
                <w:rFonts w:hint="eastAsia"/>
                <w:lang w:eastAsia="zh-CN"/>
              </w:rPr>
              <w:t>图</w:t>
            </w:r>
            <w:r w:rsidR="000067BB">
              <w:rPr>
                <w:lang w:eastAsia="zh-CN"/>
              </w:rPr>
              <w:t xml:space="preserve"> </w:t>
            </w:r>
            <w:r w:rsidR="000067BB">
              <w:fldChar w:fldCharType="begin"/>
            </w:r>
            <w:r w:rsidR="000067BB" w:rsidRPr="009A63B1">
              <w:rPr>
                <w:lang w:eastAsia="zh-CN"/>
              </w:rPr>
              <w:instrText xml:space="preserve"> SEQ </w:instrText>
            </w:r>
            <w:r w:rsidR="000067BB" w:rsidRPr="009A63B1">
              <w:rPr>
                <w:lang w:eastAsia="zh-CN"/>
              </w:rPr>
              <w:instrText>图</w:instrText>
            </w:r>
            <w:r w:rsidR="000067BB" w:rsidRPr="009A63B1">
              <w:rPr>
                <w:lang w:eastAsia="zh-CN"/>
              </w:rPr>
              <w:instrText xml:space="preserve"> \* ARABIC </w:instrText>
            </w:r>
            <w:r w:rsidR="000067BB">
              <w:fldChar w:fldCharType="separate"/>
            </w:r>
            <w:r w:rsidR="0010512F">
              <w:rPr>
                <w:noProof/>
                <w:lang w:eastAsia="zh-CN"/>
              </w:rPr>
              <w:t>4</w:t>
            </w:r>
            <w:r w:rsidR="000067BB">
              <w:fldChar w:fldCharType="end"/>
            </w:r>
            <w:r w:rsidR="000067BB">
              <w:rPr>
                <w:rFonts w:hint="eastAsia"/>
                <w:lang w:eastAsia="zh-CN"/>
              </w:rPr>
              <w:t>：</w:t>
            </w:r>
            <w:r w:rsidR="000067BB" w:rsidRPr="000067BB">
              <w:rPr>
                <w:rFonts w:hint="eastAsia"/>
                <w:lang w:eastAsia="zh-CN"/>
              </w:rPr>
              <w:t>中国基金</w:t>
            </w:r>
            <w:r w:rsidR="000067BB" w:rsidRPr="000067BB">
              <w:rPr>
                <w:lang w:eastAsia="zh-CN"/>
              </w:rPr>
              <w:t>Wind</w:t>
            </w:r>
            <w:r w:rsidR="000067BB">
              <w:rPr>
                <w:rFonts w:hint="eastAsia"/>
                <w:lang w:eastAsia="zh-CN"/>
              </w:rPr>
              <w:t>行业主题</w:t>
            </w:r>
            <w:r w:rsidR="000067BB" w:rsidRPr="000067BB">
              <w:rPr>
                <w:rFonts w:hint="eastAsia"/>
                <w:lang w:eastAsia="zh-CN"/>
              </w:rPr>
              <w:t>分类情况</w:t>
            </w:r>
            <w:bookmarkEnd w:id="33"/>
            <w:bookmarkEnd w:id="34"/>
            <w:bookmarkEnd w:id="35"/>
            <w:bookmarkEnd w:id="36"/>
          </w:p>
        </w:tc>
      </w:tr>
      <w:tr w:rsidR="000067BB" w:rsidRPr="009B1FB9" w14:paraId="08DFFCFE" w14:textId="77777777" w:rsidTr="0095166E">
        <w:tblPrEx>
          <w:tblLook w:val="0000" w:firstRow="0" w:lastRow="0" w:firstColumn="0" w:lastColumn="0" w:noHBand="0" w:noVBand="0"/>
        </w:tblPrEx>
        <w:trPr>
          <w:gridBefore w:val="1"/>
          <w:gridAfter w:val="1"/>
          <w:wBefore w:w="2920" w:type="dxa"/>
          <w:wAfter w:w="107" w:type="dxa"/>
          <w:trHeight w:hRule="exact" w:val="3953"/>
        </w:trPr>
        <w:tc>
          <w:tcPr>
            <w:tcW w:w="7404" w:type="dxa"/>
            <w:gridSpan w:val="3"/>
            <w:tcBorders>
              <w:top w:val="single" w:sz="4" w:space="0" w:color="auto"/>
              <w:bottom w:val="single" w:sz="4" w:space="0" w:color="auto"/>
            </w:tcBorders>
            <w:shd w:val="clear" w:color="auto" w:fill="auto"/>
            <w:vAlign w:val="center"/>
          </w:tcPr>
          <w:p w14:paraId="46B78116" w14:textId="27A705CF" w:rsidR="000067BB" w:rsidRPr="009B1FB9" w:rsidRDefault="000067BB" w:rsidP="00E94906">
            <w:pPr>
              <w:pStyle w:val="ae"/>
              <w:ind w:leftChars="0" w:left="0"/>
              <w:rPr>
                <w:color w:val="0F243E" w:themeColor="text2" w:themeShade="80"/>
              </w:rPr>
            </w:pPr>
            <w:r>
              <w:rPr>
                <w:noProof/>
              </w:rPr>
              <w:drawing>
                <wp:inline distT="0" distB="0" distL="0" distR="0" wp14:anchorId="4D96A89F" wp14:editId="5095F136">
                  <wp:extent cx="4564380" cy="2140585"/>
                  <wp:effectExtent l="0" t="0" r="7620" b="0"/>
                  <wp:docPr id="88" name="图表 88">
                    <a:extLst xmlns:a="http://schemas.openxmlformats.org/drawingml/2006/main">
                      <a:ext uri="{FF2B5EF4-FFF2-40B4-BE49-F238E27FC236}">
                        <a16:creationId xmlns:a16="http://schemas.microsoft.com/office/drawing/2014/main" id="{20119327-BD9F-41ED-86E9-73B6AE66EC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4"/>
                    </a:graphicData>
                  </a:graphic>
                </wp:inline>
              </w:drawing>
            </w:r>
          </w:p>
        </w:tc>
      </w:tr>
      <w:tr w:rsidR="000067BB" w:rsidRPr="008512B4" w14:paraId="5C44C3A4" w14:textId="77777777" w:rsidTr="0095166E">
        <w:tblPrEx>
          <w:tblLook w:val="0000" w:firstRow="0" w:lastRow="0" w:firstColumn="0" w:lastColumn="0" w:noHBand="0" w:noVBand="0"/>
        </w:tblPrEx>
        <w:trPr>
          <w:gridBefore w:val="1"/>
          <w:gridAfter w:val="1"/>
          <w:wBefore w:w="2920" w:type="dxa"/>
          <w:wAfter w:w="107" w:type="dxa"/>
        </w:trPr>
        <w:tc>
          <w:tcPr>
            <w:tcW w:w="7404" w:type="dxa"/>
            <w:gridSpan w:val="3"/>
            <w:tcBorders>
              <w:top w:val="single" w:sz="4" w:space="0" w:color="auto"/>
            </w:tcBorders>
            <w:shd w:val="clear" w:color="auto" w:fill="auto"/>
          </w:tcPr>
          <w:p w14:paraId="13F94124" w14:textId="77777777" w:rsidR="000067BB" w:rsidRPr="008512B4" w:rsidRDefault="000067BB" w:rsidP="00E94906">
            <w:pPr>
              <w:pStyle w:val="aff2"/>
            </w:pPr>
            <w:r w:rsidRPr="008512B4">
              <w:rPr>
                <w:rFonts w:hint="eastAsia"/>
              </w:rPr>
              <w:t>数据来源：</w:t>
            </w:r>
            <w:r w:rsidRPr="008512B4">
              <w:rPr>
                <w:rFonts w:hint="eastAsia"/>
              </w:rPr>
              <w:t>Wind</w:t>
            </w:r>
            <w:r w:rsidRPr="008512B4">
              <w:rPr>
                <w:rFonts w:hint="eastAsia"/>
              </w:rPr>
              <w:t>，广发证券发展研究中心</w:t>
            </w:r>
          </w:p>
        </w:tc>
      </w:tr>
    </w:tbl>
    <w:p w14:paraId="3B9A5D48" w14:textId="12A64AE2" w:rsidR="0095166E" w:rsidRDefault="006A42F8" w:rsidP="0095166E">
      <w:pPr>
        <w:pStyle w:val="ae"/>
        <w:spacing w:beforeLines="50" w:before="163" w:afterLines="50" w:after="163" w:line="252" w:lineRule="auto"/>
        <w:ind w:left="3017" w:firstLine="583"/>
        <w:jc w:val="both"/>
        <w:rPr>
          <w:lang w:eastAsia="zh-CN"/>
        </w:rPr>
      </w:pPr>
      <w:r>
        <w:rPr>
          <w:rFonts w:hint="eastAsia"/>
          <w:lang w:eastAsia="zh-CN"/>
        </w:rPr>
        <w:t>国内的基金通常采用复合基准的方式。</w:t>
      </w:r>
      <w:r w:rsidRPr="006A42F8">
        <w:rPr>
          <w:rFonts w:hint="eastAsia"/>
          <w:lang w:eastAsia="zh-CN"/>
        </w:rPr>
        <w:t>一般来说债券基金和货币基金的业绩</w:t>
      </w:r>
      <w:r w:rsidRPr="006A42F8">
        <w:rPr>
          <w:rFonts w:hint="eastAsia"/>
          <w:lang w:eastAsia="zh-CN"/>
        </w:rPr>
        <w:lastRenderedPageBreak/>
        <w:t>比较基准会与某些债券指数或存款利率挂钩；而股票型基金和混合型基金等权益类基金的业绩比较基准通常是由某个股票指数和债券指数复合而成。</w:t>
      </w:r>
      <w:r w:rsidR="0095166E" w:rsidRPr="0095166E">
        <w:rPr>
          <w:rFonts w:hint="eastAsia"/>
          <w:lang w:eastAsia="zh-CN"/>
        </w:rPr>
        <w:t>国外的对冲基金指数主要分为不可投资型（</w:t>
      </w:r>
      <w:r w:rsidR="0095166E" w:rsidRPr="0095166E">
        <w:rPr>
          <w:lang w:eastAsia="zh-CN"/>
        </w:rPr>
        <w:t>non-investable</w:t>
      </w:r>
      <w:r w:rsidR="0095166E" w:rsidRPr="0095166E">
        <w:rPr>
          <w:rFonts w:hint="eastAsia"/>
          <w:lang w:eastAsia="zh-CN"/>
        </w:rPr>
        <w:t>）、可投资型（</w:t>
      </w:r>
      <w:r w:rsidR="0095166E" w:rsidRPr="0095166E">
        <w:rPr>
          <w:lang w:eastAsia="zh-CN"/>
        </w:rPr>
        <w:t>investable</w:t>
      </w:r>
      <w:r w:rsidR="0095166E" w:rsidRPr="0095166E">
        <w:rPr>
          <w:rFonts w:hint="eastAsia"/>
          <w:lang w:eastAsia="zh-CN"/>
        </w:rPr>
        <w:t>）、复制指数型（</w:t>
      </w:r>
      <w:r w:rsidR="0095166E" w:rsidRPr="0095166E">
        <w:rPr>
          <w:lang w:eastAsia="zh-CN"/>
        </w:rPr>
        <w:t>replication indices</w:t>
      </w:r>
      <w:r w:rsidR="0095166E" w:rsidRPr="0095166E">
        <w:rPr>
          <w:rFonts w:hint="eastAsia"/>
          <w:lang w:eastAsia="zh-CN"/>
        </w:rPr>
        <w:t>）这三种。而国内的对冲基金基准均为浮动基准加上对应的固定基准，比如中国人民银行公布的一年期银行定期存款基准利率</w:t>
      </w:r>
      <w:r w:rsidR="0095166E" w:rsidRPr="0095166E">
        <w:rPr>
          <w:lang w:eastAsia="zh-CN"/>
        </w:rPr>
        <w:t>(</w:t>
      </w:r>
      <w:r w:rsidR="0095166E" w:rsidRPr="0095166E">
        <w:rPr>
          <w:rFonts w:hint="eastAsia"/>
          <w:lang w:eastAsia="zh-CN"/>
        </w:rPr>
        <w:t>税后</w:t>
      </w:r>
      <w:r w:rsidR="0095166E" w:rsidRPr="0095166E">
        <w:rPr>
          <w:lang w:eastAsia="zh-CN"/>
        </w:rPr>
        <w:t>)+1%</w:t>
      </w:r>
      <w:r w:rsidR="0095166E" w:rsidRPr="0095166E">
        <w:rPr>
          <w:rFonts w:hint="eastAsia"/>
          <w:lang w:eastAsia="zh-CN"/>
        </w:rPr>
        <w:t>。</w:t>
      </w:r>
    </w:p>
    <w:p w14:paraId="10938A22" w14:textId="0726FF84" w:rsidR="0095166E" w:rsidRDefault="0095166E" w:rsidP="0095166E">
      <w:pPr>
        <w:pStyle w:val="ae"/>
        <w:spacing w:beforeLines="50" w:before="163" w:afterLines="50" w:after="163" w:line="252" w:lineRule="auto"/>
        <w:ind w:left="3017" w:firstLine="583"/>
        <w:jc w:val="both"/>
        <w:rPr>
          <w:rFonts w:hint="eastAsia"/>
          <w:lang w:eastAsia="zh-CN"/>
        </w:rPr>
      </w:pPr>
      <w:r>
        <w:rPr>
          <w:rFonts w:hint="eastAsia"/>
          <w:lang w:eastAsia="zh-CN"/>
        </w:rPr>
        <w:t>本报告在</w:t>
      </w:r>
      <w:r>
        <w:rPr>
          <w:rFonts w:hint="eastAsia"/>
          <w:lang w:eastAsia="zh-CN"/>
        </w:rPr>
        <w:t>Wind</w:t>
      </w:r>
      <w:r>
        <w:rPr>
          <w:rFonts w:hint="eastAsia"/>
          <w:lang w:eastAsia="zh-CN"/>
        </w:rPr>
        <w:t>基金一级分类的基础下统计了复合基准组合个数的关系以及一级分类和基准组成部分个数双重分类下的被选择最多的基准以及相关的比例均值和频率分布。</w:t>
      </w:r>
    </w:p>
    <w:tbl>
      <w:tblPr>
        <w:tblW w:w="0" w:type="auto"/>
        <w:tblInd w:w="3085" w:type="dxa"/>
        <w:tblLook w:val="04A0" w:firstRow="1" w:lastRow="0" w:firstColumn="1" w:lastColumn="0" w:noHBand="0" w:noVBand="1"/>
      </w:tblPr>
      <w:tblGrid>
        <w:gridCol w:w="1411"/>
        <w:gridCol w:w="1270"/>
        <w:gridCol w:w="1270"/>
        <w:gridCol w:w="1270"/>
        <w:gridCol w:w="1270"/>
        <w:gridCol w:w="1270"/>
      </w:tblGrid>
      <w:tr w:rsidR="00CD6B59" w:rsidRPr="00CB0A9A" w14:paraId="4E7311DC" w14:textId="77777777" w:rsidTr="005038B6">
        <w:trPr>
          <w:trHeight w:val="285"/>
        </w:trPr>
        <w:tc>
          <w:tcPr>
            <w:tcW w:w="7761" w:type="dxa"/>
            <w:gridSpan w:val="6"/>
            <w:tcBorders>
              <w:top w:val="nil"/>
              <w:left w:val="nil"/>
              <w:bottom w:val="single" w:sz="8" w:space="0" w:color="000000"/>
              <w:right w:val="nil"/>
            </w:tcBorders>
            <w:shd w:val="clear" w:color="auto" w:fill="auto"/>
            <w:noWrap/>
            <w:vAlign w:val="center"/>
          </w:tcPr>
          <w:p w14:paraId="448571FF" w14:textId="42A2327F" w:rsidR="00CD6B59" w:rsidRPr="00CB0A9A" w:rsidRDefault="00CD6B59" w:rsidP="00CD6B59">
            <w:pPr>
              <w:pStyle w:val="af0"/>
              <w:ind w:leftChars="-54" w:left="-130"/>
              <w:rPr>
                <w:rFonts w:ascii="楷体_GB2312" w:hAnsi="等线" w:cs="宋体"/>
                <w:b w:val="0"/>
                <w:bCs/>
                <w:sz w:val="16"/>
                <w:szCs w:val="16"/>
                <w:lang w:eastAsia="zh-CN"/>
              </w:rPr>
            </w:pPr>
            <w:bookmarkStart w:id="37" w:name="_Toc65772377"/>
            <w:r w:rsidRPr="00CD6B59">
              <w:rPr>
                <w:rFonts w:hint="eastAsia"/>
                <w:lang w:eastAsia="zh-CN"/>
              </w:rPr>
              <w:t>表</w:t>
            </w:r>
            <w:r w:rsidRPr="00CD6B59">
              <w:rPr>
                <w:lang w:eastAsia="zh-CN"/>
              </w:rPr>
              <w:t xml:space="preserve"> </w:t>
            </w:r>
            <w:r w:rsidR="002A05DF" w:rsidRPr="00941673">
              <w:fldChar w:fldCharType="begin"/>
            </w:r>
            <w:r w:rsidR="002A05DF" w:rsidRPr="005A1F6F">
              <w:rPr>
                <w:lang w:eastAsia="zh-CN"/>
              </w:rPr>
              <w:instrText xml:space="preserve"> </w:instrText>
            </w:r>
            <w:r w:rsidR="002A05DF" w:rsidRPr="005A1F6F">
              <w:rPr>
                <w:rFonts w:hint="eastAsia"/>
                <w:lang w:eastAsia="zh-CN"/>
              </w:rPr>
              <w:instrText xml:space="preserve">SEQ </w:instrText>
            </w:r>
            <w:r w:rsidR="002A05DF" w:rsidRPr="005A1F6F">
              <w:rPr>
                <w:rFonts w:hint="eastAsia"/>
                <w:lang w:eastAsia="zh-CN"/>
              </w:rPr>
              <w:instrText>表</w:instrText>
            </w:r>
            <w:r w:rsidR="002A05DF" w:rsidRPr="005A1F6F">
              <w:rPr>
                <w:rFonts w:hint="eastAsia"/>
                <w:lang w:eastAsia="zh-CN"/>
              </w:rPr>
              <w:instrText xml:space="preserve"> \* ARABIC</w:instrText>
            </w:r>
            <w:r w:rsidR="002A05DF" w:rsidRPr="005A1F6F">
              <w:rPr>
                <w:lang w:eastAsia="zh-CN"/>
              </w:rPr>
              <w:instrText xml:space="preserve"> </w:instrText>
            </w:r>
            <w:r w:rsidR="002A05DF" w:rsidRPr="00941673">
              <w:fldChar w:fldCharType="separate"/>
            </w:r>
            <w:r w:rsidR="0010512F">
              <w:rPr>
                <w:noProof/>
                <w:lang w:eastAsia="zh-CN"/>
              </w:rPr>
              <w:t>1</w:t>
            </w:r>
            <w:r w:rsidR="002A05DF" w:rsidRPr="00941673">
              <w:fldChar w:fldCharType="end"/>
            </w:r>
            <w:r w:rsidRPr="00CD6B59">
              <w:rPr>
                <w:rFonts w:hint="eastAsia"/>
                <w:lang w:eastAsia="zh-CN"/>
              </w:rPr>
              <w:t>：</w:t>
            </w:r>
            <w:r>
              <w:rPr>
                <w:rFonts w:hint="eastAsia"/>
                <w:lang w:eastAsia="zh-CN"/>
              </w:rPr>
              <w:t>Wind</w:t>
            </w:r>
            <w:r w:rsidRPr="00CD6B59">
              <w:rPr>
                <w:rFonts w:hint="eastAsia"/>
                <w:lang w:eastAsia="zh-CN"/>
              </w:rPr>
              <w:t>基金</w:t>
            </w:r>
            <w:r>
              <w:rPr>
                <w:rFonts w:hint="eastAsia"/>
                <w:lang w:eastAsia="zh-CN"/>
              </w:rPr>
              <w:t>一级分类下</w:t>
            </w:r>
            <w:r w:rsidRPr="00CD6B59">
              <w:rPr>
                <w:rFonts w:hint="eastAsia"/>
                <w:lang w:eastAsia="zh-CN"/>
              </w:rPr>
              <w:t>业绩评价基准</w:t>
            </w:r>
            <w:r>
              <w:rPr>
                <w:rFonts w:hint="eastAsia"/>
                <w:lang w:eastAsia="zh-CN"/>
              </w:rPr>
              <w:t>组成部分个数</w:t>
            </w:r>
            <w:r w:rsidRPr="00CD6B59">
              <w:rPr>
                <w:rFonts w:hint="eastAsia"/>
                <w:lang w:eastAsia="zh-CN"/>
              </w:rPr>
              <w:t>情况统计</w:t>
            </w:r>
            <w:bookmarkEnd w:id="37"/>
          </w:p>
        </w:tc>
      </w:tr>
      <w:tr w:rsidR="00CB0A9A" w:rsidRPr="00CB0A9A" w14:paraId="213EBCE0" w14:textId="77777777" w:rsidTr="00CD6B59">
        <w:trPr>
          <w:trHeight w:val="285"/>
        </w:trPr>
        <w:tc>
          <w:tcPr>
            <w:tcW w:w="1492" w:type="dxa"/>
            <w:tcBorders>
              <w:top w:val="nil"/>
              <w:left w:val="nil"/>
              <w:bottom w:val="single" w:sz="8" w:space="0" w:color="000000"/>
              <w:right w:val="nil"/>
            </w:tcBorders>
            <w:shd w:val="clear" w:color="auto" w:fill="auto"/>
            <w:noWrap/>
            <w:vAlign w:val="center"/>
            <w:hideMark/>
          </w:tcPr>
          <w:p w14:paraId="40E19896"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 xml:space="preserve">　</w:t>
            </w:r>
          </w:p>
        </w:tc>
        <w:tc>
          <w:tcPr>
            <w:tcW w:w="0" w:type="auto"/>
            <w:tcBorders>
              <w:top w:val="nil"/>
              <w:left w:val="nil"/>
              <w:bottom w:val="single" w:sz="8" w:space="0" w:color="000000"/>
              <w:right w:val="nil"/>
            </w:tcBorders>
            <w:shd w:val="clear" w:color="auto" w:fill="auto"/>
            <w:noWrap/>
            <w:vAlign w:val="center"/>
            <w:hideMark/>
          </w:tcPr>
          <w:p w14:paraId="29A79433"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单基准基金个数</w:t>
            </w:r>
          </w:p>
        </w:tc>
        <w:tc>
          <w:tcPr>
            <w:tcW w:w="0" w:type="auto"/>
            <w:tcBorders>
              <w:top w:val="nil"/>
              <w:left w:val="nil"/>
              <w:bottom w:val="single" w:sz="8" w:space="0" w:color="000000"/>
              <w:right w:val="nil"/>
            </w:tcBorders>
            <w:shd w:val="clear" w:color="auto" w:fill="auto"/>
            <w:noWrap/>
            <w:vAlign w:val="center"/>
            <w:hideMark/>
          </w:tcPr>
          <w:p w14:paraId="1CED3CF9"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双基准基金个数</w:t>
            </w:r>
          </w:p>
        </w:tc>
        <w:tc>
          <w:tcPr>
            <w:tcW w:w="0" w:type="auto"/>
            <w:tcBorders>
              <w:top w:val="nil"/>
              <w:left w:val="nil"/>
              <w:bottom w:val="single" w:sz="8" w:space="0" w:color="000000"/>
              <w:right w:val="nil"/>
            </w:tcBorders>
            <w:shd w:val="clear" w:color="auto" w:fill="auto"/>
            <w:noWrap/>
            <w:vAlign w:val="center"/>
            <w:hideMark/>
          </w:tcPr>
          <w:p w14:paraId="5448EB21"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三基准基金个数</w:t>
            </w:r>
          </w:p>
        </w:tc>
        <w:tc>
          <w:tcPr>
            <w:tcW w:w="0" w:type="auto"/>
            <w:tcBorders>
              <w:top w:val="nil"/>
              <w:left w:val="nil"/>
              <w:bottom w:val="single" w:sz="8" w:space="0" w:color="000000"/>
              <w:right w:val="nil"/>
            </w:tcBorders>
            <w:shd w:val="clear" w:color="auto" w:fill="auto"/>
            <w:noWrap/>
            <w:vAlign w:val="center"/>
            <w:hideMark/>
          </w:tcPr>
          <w:p w14:paraId="0C71468E"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四基准基金个数</w:t>
            </w:r>
          </w:p>
        </w:tc>
        <w:tc>
          <w:tcPr>
            <w:tcW w:w="0" w:type="auto"/>
            <w:tcBorders>
              <w:top w:val="nil"/>
              <w:left w:val="nil"/>
              <w:bottom w:val="single" w:sz="8" w:space="0" w:color="000000"/>
              <w:right w:val="nil"/>
            </w:tcBorders>
            <w:shd w:val="clear" w:color="auto" w:fill="auto"/>
            <w:noWrap/>
            <w:vAlign w:val="center"/>
            <w:hideMark/>
          </w:tcPr>
          <w:p w14:paraId="70AC68D6" w14:textId="77777777" w:rsidR="00CB0A9A" w:rsidRPr="00CB0A9A" w:rsidRDefault="00CB0A9A" w:rsidP="00CB0A9A">
            <w:pPr>
              <w:widowControl/>
              <w:jc w:val="center"/>
              <w:rPr>
                <w:rFonts w:ascii="楷体_GB2312" w:eastAsia="楷体_GB2312" w:hAnsi="等线" w:cs="宋体"/>
                <w:b/>
                <w:bCs/>
                <w:color w:val="0F243E"/>
                <w:kern w:val="0"/>
                <w:sz w:val="16"/>
                <w:szCs w:val="16"/>
                <w:lang w:eastAsia="zh-CN"/>
              </w:rPr>
            </w:pPr>
            <w:r w:rsidRPr="00CB0A9A">
              <w:rPr>
                <w:rFonts w:ascii="楷体_GB2312" w:eastAsia="楷体_GB2312" w:hAnsi="等线" w:cs="宋体" w:hint="eastAsia"/>
                <w:b/>
                <w:bCs/>
                <w:color w:val="0F243E"/>
                <w:kern w:val="0"/>
                <w:sz w:val="16"/>
                <w:szCs w:val="16"/>
                <w:lang w:eastAsia="zh-CN"/>
              </w:rPr>
              <w:t>五基准基金个数</w:t>
            </w:r>
          </w:p>
        </w:tc>
      </w:tr>
      <w:tr w:rsidR="00CB0A9A" w:rsidRPr="00CB0A9A" w14:paraId="557DC8A3" w14:textId="77777777" w:rsidTr="00CD6B59">
        <w:trPr>
          <w:trHeight w:val="278"/>
        </w:trPr>
        <w:tc>
          <w:tcPr>
            <w:tcW w:w="1492" w:type="dxa"/>
            <w:tcBorders>
              <w:top w:val="nil"/>
              <w:left w:val="nil"/>
              <w:bottom w:val="nil"/>
              <w:right w:val="nil"/>
            </w:tcBorders>
            <w:shd w:val="clear" w:color="auto" w:fill="auto"/>
            <w:noWrap/>
            <w:vAlign w:val="center"/>
            <w:hideMark/>
          </w:tcPr>
          <w:p w14:paraId="7EE09CD6"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股票型基金</w:t>
            </w:r>
          </w:p>
        </w:tc>
        <w:tc>
          <w:tcPr>
            <w:tcW w:w="0" w:type="auto"/>
            <w:tcBorders>
              <w:top w:val="nil"/>
              <w:left w:val="nil"/>
              <w:bottom w:val="nil"/>
              <w:right w:val="nil"/>
            </w:tcBorders>
            <w:shd w:val="clear" w:color="auto" w:fill="auto"/>
            <w:noWrap/>
            <w:vAlign w:val="center"/>
            <w:hideMark/>
          </w:tcPr>
          <w:p w14:paraId="09EDB82E"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339</w:t>
            </w:r>
          </w:p>
        </w:tc>
        <w:tc>
          <w:tcPr>
            <w:tcW w:w="0" w:type="auto"/>
            <w:tcBorders>
              <w:top w:val="nil"/>
              <w:left w:val="nil"/>
              <w:bottom w:val="nil"/>
              <w:right w:val="nil"/>
            </w:tcBorders>
            <w:shd w:val="clear" w:color="auto" w:fill="auto"/>
            <w:noWrap/>
            <w:vAlign w:val="center"/>
            <w:hideMark/>
          </w:tcPr>
          <w:p w14:paraId="7FBF68B1"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1326</w:t>
            </w:r>
          </w:p>
        </w:tc>
        <w:tc>
          <w:tcPr>
            <w:tcW w:w="0" w:type="auto"/>
            <w:tcBorders>
              <w:top w:val="nil"/>
              <w:left w:val="nil"/>
              <w:bottom w:val="nil"/>
              <w:right w:val="nil"/>
            </w:tcBorders>
            <w:shd w:val="clear" w:color="auto" w:fill="auto"/>
            <w:noWrap/>
            <w:vAlign w:val="center"/>
            <w:hideMark/>
          </w:tcPr>
          <w:p w14:paraId="6D20400A"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210</w:t>
            </w:r>
          </w:p>
        </w:tc>
        <w:tc>
          <w:tcPr>
            <w:tcW w:w="0" w:type="auto"/>
            <w:tcBorders>
              <w:top w:val="nil"/>
              <w:left w:val="nil"/>
              <w:bottom w:val="nil"/>
              <w:right w:val="nil"/>
            </w:tcBorders>
            <w:shd w:val="clear" w:color="auto" w:fill="auto"/>
            <w:noWrap/>
            <w:vAlign w:val="center"/>
            <w:hideMark/>
          </w:tcPr>
          <w:p w14:paraId="0945B5A6"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17</w:t>
            </w:r>
          </w:p>
        </w:tc>
        <w:tc>
          <w:tcPr>
            <w:tcW w:w="0" w:type="auto"/>
            <w:tcBorders>
              <w:top w:val="nil"/>
              <w:left w:val="nil"/>
              <w:bottom w:val="nil"/>
              <w:right w:val="nil"/>
            </w:tcBorders>
            <w:shd w:val="clear" w:color="auto" w:fill="auto"/>
            <w:noWrap/>
            <w:vAlign w:val="center"/>
            <w:hideMark/>
          </w:tcPr>
          <w:p w14:paraId="52565814"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2</w:t>
            </w:r>
          </w:p>
        </w:tc>
      </w:tr>
      <w:tr w:rsidR="00CB0A9A" w:rsidRPr="00CB0A9A" w14:paraId="4BEB293E" w14:textId="77777777" w:rsidTr="00CD6B59">
        <w:trPr>
          <w:trHeight w:val="278"/>
        </w:trPr>
        <w:tc>
          <w:tcPr>
            <w:tcW w:w="1492" w:type="dxa"/>
            <w:tcBorders>
              <w:top w:val="nil"/>
              <w:left w:val="nil"/>
              <w:bottom w:val="nil"/>
              <w:right w:val="nil"/>
            </w:tcBorders>
            <w:shd w:val="clear" w:color="auto" w:fill="auto"/>
            <w:noWrap/>
            <w:vAlign w:val="center"/>
            <w:hideMark/>
          </w:tcPr>
          <w:p w14:paraId="5586F918"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国际</w:t>
            </w:r>
            <w:r w:rsidRPr="00CB0A9A">
              <w:rPr>
                <w:rFonts w:ascii="Arial" w:eastAsia="等线" w:hAnsi="Arial" w:cs="Arial"/>
                <w:b/>
                <w:bCs/>
                <w:color w:val="0F243E"/>
                <w:kern w:val="0"/>
                <w:sz w:val="16"/>
                <w:szCs w:val="16"/>
                <w:lang w:eastAsia="zh-CN"/>
              </w:rPr>
              <w:t>(QDII)</w:t>
            </w:r>
            <w:r w:rsidRPr="00CB0A9A">
              <w:rPr>
                <w:rFonts w:ascii="Arial" w:eastAsia="等线" w:hAnsi="Arial" w:cs="Arial"/>
                <w:b/>
                <w:bCs/>
                <w:color w:val="0F243E"/>
                <w:kern w:val="0"/>
                <w:sz w:val="16"/>
                <w:szCs w:val="16"/>
                <w:lang w:eastAsia="zh-CN"/>
              </w:rPr>
              <w:t>基金</w:t>
            </w:r>
          </w:p>
        </w:tc>
        <w:tc>
          <w:tcPr>
            <w:tcW w:w="0" w:type="auto"/>
            <w:tcBorders>
              <w:top w:val="nil"/>
              <w:left w:val="nil"/>
              <w:bottom w:val="nil"/>
              <w:right w:val="nil"/>
            </w:tcBorders>
            <w:shd w:val="clear" w:color="auto" w:fill="auto"/>
            <w:noWrap/>
            <w:vAlign w:val="center"/>
            <w:hideMark/>
          </w:tcPr>
          <w:p w14:paraId="360EEC6E"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98</w:t>
            </w:r>
          </w:p>
        </w:tc>
        <w:tc>
          <w:tcPr>
            <w:tcW w:w="0" w:type="auto"/>
            <w:tcBorders>
              <w:top w:val="nil"/>
              <w:left w:val="nil"/>
              <w:bottom w:val="nil"/>
              <w:right w:val="nil"/>
            </w:tcBorders>
            <w:shd w:val="clear" w:color="auto" w:fill="auto"/>
            <w:noWrap/>
            <w:vAlign w:val="center"/>
            <w:hideMark/>
          </w:tcPr>
          <w:p w14:paraId="75910236"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170</w:t>
            </w:r>
          </w:p>
        </w:tc>
        <w:tc>
          <w:tcPr>
            <w:tcW w:w="0" w:type="auto"/>
            <w:tcBorders>
              <w:top w:val="nil"/>
              <w:left w:val="nil"/>
              <w:bottom w:val="nil"/>
              <w:right w:val="nil"/>
            </w:tcBorders>
            <w:shd w:val="clear" w:color="auto" w:fill="auto"/>
            <w:noWrap/>
            <w:vAlign w:val="center"/>
            <w:hideMark/>
          </w:tcPr>
          <w:p w14:paraId="570ED20B"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37</w:t>
            </w:r>
          </w:p>
        </w:tc>
        <w:tc>
          <w:tcPr>
            <w:tcW w:w="0" w:type="auto"/>
            <w:tcBorders>
              <w:top w:val="nil"/>
              <w:left w:val="nil"/>
              <w:bottom w:val="nil"/>
              <w:right w:val="nil"/>
            </w:tcBorders>
            <w:shd w:val="clear" w:color="auto" w:fill="auto"/>
            <w:noWrap/>
            <w:vAlign w:val="center"/>
            <w:hideMark/>
          </w:tcPr>
          <w:p w14:paraId="6E9CD6B8"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w:t>
            </w:r>
          </w:p>
        </w:tc>
        <w:tc>
          <w:tcPr>
            <w:tcW w:w="0" w:type="auto"/>
            <w:tcBorders>
              <w:top w:val="nil"/>
              <w:left w:val="nil"/>
              <w:bottom w:val="nil"/>
              <w:right w:val="nil"/>
            </w:tcBorders>
            <w:shd w:val="clear" w:color="auto" w:fill="auto"/>
            <w:noWrap/>
            <w:vAlign w:val="center"/>
            <w:hideMark/>
          </w:tcPr>
          <w:p w14:paraId="11E6522C"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w:t>
            </w:r>
          </w:p>
        </w:tc>
      </w:tr>
      <w:tr w:rsidR="00CB0A9A" w:rsidRPr="00CB0A9A" w14:paraId="2902B967" w14:textId="77777777" w:rsidTr="00CD6B59">
        <w:trPr>
          <w:trHeight w:val="278"/>
        </w:trPr>
        <w:tc>
          <w:tcPr>
            <w:tcW w:w="1492" w:type="dxa"/>
            <w:tcBorders>
              <w:top w:val="nil"/>
              <w:left w:val="nil"/>
              <w:bottom w:val="nil"/>
              <w:right w:val="nil"/>
            </w:tcBorders>
            <w:shd w:val="clear" w:color="auto" w:fill="auto"/>
            <w:noWrap/>
            <w:vAlign w:val="center"/>
            <w:hideMark/>
          </w:tcPr>
          <w:p w14:paraId="1799FF66"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混合型基金</w:t>
            </w:r>
          </w:p>
        </w:tc>
        <w:tc>
          <w:tcPr>
            <w:tcW w:w="0" w:type="auto"/>
            <w:tcBorders>
              <w:top w:val="nil"/>
              <w:left w:val="nil"/>
              <w:bottom w:val="nil"/>
              <w:right w:val="nil"/>
            </w:tcBorders>
            <w:shd w:val="clear" w:color="auto" w:fill="auto"/>
            <w:noWrap/>
            <w:vAlign w:val="center"/>
            <w:hideMark/>
          </w:tcPr>
          <w:p w14:paraId="09E7B7A9"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59</w:t>
            </w:r>
          </w:p>
        </w:tc>
        <w:tc>
          <w:tcPr>
            <w:tcW w:w="0" w:type="auto"/>
            <w:tcBorders>
              <w:top w:val="nil"/>
              <w:left w:val="nil"/>
              <w:bottom w:val="nil"/>
              <w:right w:val="nil"/>
            </w:tcBorders>
            <w:shd w:val="clear" w:color="auto" w:fill="auto"/>
            <w:noWrap/>
            <w:vAlign w:val="center"/>
            <w:hideMark/>
          </w:tcPr>
          <w:p w14:paraId="197D8C70"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3378</w:t>
            </w:r>
          </w:p>
        </w:tc>
        <w:tc>
          <w:tcPr>
            <w:tcW w:w="0" w:type="auto"/>
            <w:tcBorders>
              <w:top w:val="nil"/>
              <w:left w:val="nil"/>
              <w:bottom w:val="nil"/>
              <w:right w:val="nil"/>
            </w:tcBorders>
            <w:shd w:val="clear" w:color="auto" w:fill="auto"/>
            <w:noWrap/>
            <w:vAlign w:val="center"/>
            <w:hideMark/>
          </w:tcPr>
          <w:p w14:paraId="00816774"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1287</w:t>
            </w:r>
          </w:p>
        </w:tc>
        <w:tc>
          <w:tcPr>
            <w:tcW w:w="0" w:type="auto"/>
            <w:tcBorders>
              <w:top w:val="nil"/>
              <w:left w:val="nil"/>
              <w:bottom w:val="nil"/>
              <w:right w:val="nil"/>
            </w:tcBorders>
            <w:shd w:val="clear" w:color="auto" w:fill="auto"/>
            <w:noWrap/>
            <w:vAlign w:val="center"/>
            <w:hideMark/>
          </w:tcPr>
          <w:p w14:paraId="7F6A7A8B"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105</w:t>
            </w:r>
          </w:p>
        </w:tc>
        <w:tc>
          <w:tcPr>
            <w:tcW w:w="0" w:type="auto"/>
            <w:tcBorders>
              <w:top w:val="nil"/>
              <w:left w:val="nil"/>
              <w:bottom w:val="nil"/>
              <w:right w:val="nil"/>
            </w:tcBorders>
            <w:shd w:val="clear" w:color="auto" w:fill="auto"/>
            <w:noWrap/>
            <w:vAlign w:val="center"/>
            <w:hideMark/>
          </w:tcPr>
          <w:p w14:paraId="32EC298C"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6</w:t>
            </w:r>
          </w:p>
        </w:tc>
      </w:tr>
      <w:tr w:rsidR="00CB0A9A" w:rsidRPr="00CB0A9A" w14:paraId="66BEB223" w14:textId="77777777" w:rsidTr="00CD6B59">
        <w:trPr>
          <w:trHeight w:val="278"/>
        </w:trPr>
        <w:tc>
          <w:tcPr>
            <w:tcW w:w="1492" w:type="dxa"/>
            <w:tcBorders>
              <w:top w:val="nil"/>
              <w:left w:val="nil"/>
              <w:bottom w:val="nil"/>
              <w:right w:val="nil"/>
            </w:tcBorders>
            <w:shd w:val="clear" w:color="auto" w:fill="auto"/>
            <w:noWrap/>
            <w:vAlign w:val="center"/>
            <w:hideMark/>
          </w:tcPr>
          <w:p w14:paraId="688F5A37"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另类投资基金</w:t>
            </w:r>
          </w:p>
        </w:tc>
        <w:tc>
          <w:tcPr>
            <w:tcW w:w="0" w:type="auto"/>
            <w:tcBorders>
              <w:top w:val="nil"/>
              <w:left w:val="nil"/>
              <w:bottom w:val="nil"/>
              <w:right w:val="nil"/>
            </w:tcBorders>
            <w:shd w:val="clear" w:color="auto" w:fill="auto"/>
            <w:noWrap/>
            <w:vAlign w:val="center"/>
            <w:hideMark/>
          </w:tcPr>
          <w:p w14:paraId="5E84D9DA"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39</w:t>
            </w:r>
          </w:p>
        </w:tc>
        <w:tc>
          <w:tcPr>
            <w:tcW w:w="0" w:type="auto"/>
            <w:tcBorders>
              <w:top w:val="nil"/>
              <w:left w:val="nil"/>
              <w:bottom w:val="nil"/>
              <w:right w:val="nil"/>
            </w:tcBorders>
            <w:shd w:val="clear" w:color="auto" w:fill="auto"/>
            <w:noWrap/>
            <w:vAlign w:val="center"/>
            <w:hideMark/>
          </w:tcPr>
          <w:p w14:paraId="29A67349"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43</w:t>
            </w:r>
          </w:p>
        </w:tc>
        <w:tc>
          <w:tcPr>
            <w:tcW w:w="0" w:type="auto"/>
            <w:tcBorders>
              <w:top w:val="nil"/>
              <w:left w:val="nil"/>
              <w:bottom w:val="nil"/>
              <w:right w:val="nil"/>
            </w:tcBorders>
            <w:shd w:val="clear" w:color="auto" w:fill="auto"/>
            <w:noWrap/>
            <w:vAlign w:val="center"/>
            <w:hideMark/>
          </w:tcPr>
          <w:p w14:paraId="71A1915B"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nil"/>
              <w:right w:val="nil"/>
            </w:tcBorders>
            <w:shd w:val="clear" w:color="auto" w:fill="auto"/>
            <w:noWrap/>
            <w:vAlign w:val="center"/>
            <w:hideMark/>
          </w:tcPr>
          <w:p w14:paraId="5E524818"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nil"/>
              <w:right w:val="nil"/>
            </w:tcBorders>
            <w:shd w:val="clear" w:color="auto" w:fill="auto"/>
            <w:noWrap/>
            <w:vAlign w:val="center"/>
            <w:hideMark/>
          </w:tcPr>
          <w:p w14:paraId="15A49A43"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r>
      <w:tr w:rsidR="00CB0A9A" w:rsidRPr="00CB0A9A" w14:paraId="74C8F3F3" w14:textId="77777777" w:rsidTr="00CD6B59">
        <w:trPr>
          <w:trHeight w:val="278"/>
        </w:trPr>
        <w:tc>
          <w:tcPr>
            <w:tcW w:w="1492" w:type="dxa"/>
            <w:tcBorders>
              <w:top w:val="nil"/>
              <w:left w:val="nil"/>
              <w:right w:val="nil"/>
            </w:tcBorders>
            <w:shd w:val="clear" w:color="auto" w:fill="auto"/>
            <w:noWrap/>
            <w:vAlign w:val="center"/>
            <w:hideMark/>
          </w:tcPr>
          <w:p w14:paraId="3CC4D297"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债券型基金</w:t>
            </w:r>
          </w:p>
        </w:tc>
        <w:tc>
          <w:tcPr>
            <w:tcW w:w="0" w:type="auto"/>
            <w:tcBorders>
              <w:top w:val="nil"/>
              <w:left w:val="nil"/>
              <w:right w:val="nil"/>
            </w:tcBorders>
            <w:shd w:val="clear" w:color="auto" w:fill="auto"/>
            <w:noWrap/>
            <w:vAlign w:val="center"/>
            <w:hideMark/>
          </w:tcPr>
          <w:p w14:paraId="65CFB794"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2109</w:t>
            </w:r>
          </w:p>
        </w:tc>
        <w:tc>
          <w:tcPr>
            <w:tcW w:w="0" w:type="auto"/>
            <w:tcBorders>
              <w:top w:val="nil"/>
              <w:left w:val="nil"/>
              <w:right w:val="nil"/>
            </w:tcBorders>
            <w:shd w:val="clear" w:color="auto" w:fill="auto"/>
            <w:noWrap/>
            <w:vAlign w:val="center"/>
            <w:hideMark/>
          </w:tcPr>
          <w:p w14:paraId="6CC2A8F7"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1503</w:t>
            </w:r>
          </w:p>
        </w:tc>
        <w:tc>
          <w:tcPr>
            <w:tcW w:w="0" w:type="auto"/>
            <w:tcBorders>
              <w:top w:val="nil"/>
              <w:left w:val="nil"/>
              <w:right w:val="nil"/>
            </w:tcBorders>
            <w:shd w:val="clear" w:color="auto" w:fill="auto"/>
            <w:noWrap/>
            <w:vAlign w:val="center"/>
            <w:hideMark/>
          </w:tcPr>
          <w:p w14:paraId="02D903C5"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152</w:t>
            </w:r>
          </w:p>
        </w:tc>
        <w:tc>
          <w:tcPr>
            <w:tcW w:w="0" w:type="auto"/>
            <w:tcBorders>
              <w:top w:val="nil"/>
              <w:left w:val="nil"/>
              <w:right w:val="nil"/>
            </w:tcBorders>
            <w:shd w:val="clear" w:color="auto" w:fill="auto"/>
            <w:noWrap/>
            <w:vAlign w:val="center"/>
            <w:hideMark/>
          </w:tcPr>
          <w:p w14:paraId="5A724FBE"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7</w:t>
            </w:r>
          </w:p>
        </w:tc>
        <w:tc>
          <w:tcPr>
            <w:tcW w:w="0" w:type="auto"/>
            <w:tcBorders>
              <w:top w:val="nil"/>
              <w:left w:val="nil"/>
              <w:right w:val="nil"/>
            </w:tcBorders>
            <w:shd w:val="clear" w:color="auto" w:fill="auto"/>
            <w:noWrap/>
            <w:vAlign w:val="center"/>
            <w:hideMark/>
          </w:tcPr>
          <w:p w14:paraId="6E6A082F"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r>
      <w:tr w:rsidR="00CB0A9A" w:rsidRPr="00CB0A9A" w14:paraId="5FF26285" w14:textId="77777777" w:rsidTr="00CD6B59">
        <w:trPr>
          <w:trHeight w:val="278"/>
        </w:trPr>
        <w:tc>
          <w:tcPr>
            <w:tcW w:w="1492" w:type="dxa"/>
            <w:tcBorders>
              <w:top w:val="nil"/>
              <w:left w:val="nil"/>
              <w:bottom w:val="single" w:sz="8" w:space="0" w:color="auto"/>
              <w:right w:val="nil"/>
            </w:tcBorders>
            <w:shd w:val="clear" w:color="auto" w:fill="auto"/>
            <w:noWrap/>
            <w:vAlign w:val="center"/>
            <w:hideMark/>
          </w:tcPr>
          <w:p w14:paraId="5C439B4D" w14:textId="77777777" w:rsidR="00CB0A9A" w:rsidRPr="00CB0A9A" w:rsidRDefault="00CB0A9A" w:rsidP="00CB0A9A">
            <w:pPr>
              <w:widowControl/>
              <w:rPr>
                <w:rFonts w:ascii="Arial" w:eastAsia="等线" w:hAnsi="Arial" w:cs="Arial"/>
                <w:b/>
                <w:bCs/>
                <w:color w:val="0F243E"/>
                <w:kern w:val="0"/>
                <w:sz w:val="16"/>
                <w:szCs w:val="16"/>
                <w:lang w:eastAsia="zh-CN"/>
              </w:rPr>
            </w:pPr>
            <w:r w:rsidRPr="00CB0A9A">
              <w:rPr>
                <w:rFonts w:ascii="Arial" w:eastAsia="等线" w:hAnsi="Arial" w:cs="Arial"/>
                <w:b/>
                <w:bCs/>
                <w:color w:val="0F243E"/>
                <w:kern w:val="0"/>
                <w:sz w:val="16"/>
                <w:szCs w:val="16"/>
                <w:lang w:eastAsia="zh-CN"/>
              </w:rPr>
              <w:t>货币市场基金</w:t>
            </w:r>
          </w:p>
        </w:tc>
        <w:tc>
          <w:tcPr>
            <w:tcW w:w="0" w:type="auto"/>
            <w:tcBorders>
              <w:top w:val="nil"/>
              <w:left w:val="nil"/>
              <w:bottom w:val="single" w:sz="8" w:space="0" w:color="auto"/>
              <w:right w:val="nil"/>
            </w:tcBorders>
            <w:shd w:val="clear" w:color="auto" w:fill="auto"/>
            <w:noWrap/>
            <w:vAlign w:val="center"/>
            <w:hideMark/>
          </w:tcPr>
          <w:p w14:paraId="28A9B3B6"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693</w:t>
            </w:r>
          </w:p>
        </w:tc>
        <w:tc>
          <w:tcPr>
            <w:tcW w:w="0" w:type="auto"/>
            <w:tcBorders>
              <w:top w:val="nil"/>
              <w:left w:val="nil"/>
              <w:bottom w:val="single" w:sz="8" w:space="0" w:color="auto"/>
              <w:right w:val="nil"/>
            </w:tcBorders>
            <w:shd w:val="clear" w:color="auto" w:fill="auto"/>
            <w:noWrap/>
            <w:vAlign w:val="center"/>
            <w:hideMark/>
          </w:tcPr>
          <w:p w14:paraId="116025B0"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single" w:sz="8" w:space="0" w:color="auto"/>
              <w:right w:val="nil"/>
            </w:tcBorders>
            <w:shd w:val="clear" w:color="auto" w:fill="auto"/>
            <w:noWrap/>
            <w:vAlign w:val="center"/>
            <w:hideMark/>
          </w:tcPr>
          <w:p w14:paraId="309278E0"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single" w:sz="8" w:space="0" w:color="auto"/>
              <w:right w:val="nil"/>
            </w:tcBorders>
            <w:shd w:val="clear" w:color="auto" w:fill="auto"/>
            <w:noWrap/>
            <w:vAlign w:val="center"/>
            <w:hideMark/>
          </w:tcPr>
          <w:p w14:paraId="7E33FC18"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c>
          <w:tcPr>
            <w:tcW w:w="0" w:type="auto"/>
            <w:tcBorders>
              <w:top w:val="nil"/>
              <w:left w:val="nil"/>
              <w:bottom w:val="single" w:sz="8" w:space="0" w:color="auto"/>
              <w:right w:val="nil"/>
            </w:tcBorders>
            <w:shd w:val="clear" w:color="auto" w:fill="auto"/>
            <w:noWrap/>
            <w:vAlign w:val="center"/>
            <w:hideMark/>
          </w:tcPr>
          <w:p w14:paraId="2B5B12F1" w14:textId="77777777" w:rsidR="00CB0A9A" w:rsidRPr="00CB0A9A" w:rsidRDefault="00CB0A9A" w:rsidP="00CB0A9A">
            <w:pPr>
              <w:widowControl/>
              <w:jc w:val="center"/>
              <w:rPr>
                <w:rFonts w:ascii="Arial" w:eastAsia="等线" w:hAnsi="Arial" w:cs="Arial"/>
                <w:color w:val="0F243E"/>
                <w:kern w:val="0"/>
                <w:sz w:val="16"/>
                <w:szCs w:val="16"/>
                <w:lang w:eastAsia="zh-CN"/>
              </w:rPr>
            </w:pPr>
            <w:r w:rsidRPr="00CB0A9A">
              <w:rPr>
                <w:rFonts w:ascii="Arial" w:eastAsia="等线" w:hAnsi="Arial" w:cs="Arial"/>
                <w:color w:val="0F243E"/>
                <w:kern w:val="0"/>
                <w:sz w:val="16"/>
                <w:szCs w:val="16"/>
                <w:lang w:eastAsia="zh-CN"/>
              </w:rPr>
              <w:t>0</w:t>
            </w:r>
          </w:p>
        </w:tc>
      </w:tr>
      <w:tr w:rsidR="00CD6B59" w:rsidRPr="00CB0A9A" w14:paraId="4F596C56" w14:textId="77777777" w:rsidTr="005038B6">
        <w:trPr>
          <w:trHeight w:val="278"/>
        </w:trPr>
        <w:tc>
          <w:tcPr>
            <w:tcW w:w="7761" w:type="dxa"/>
            <w:gridSpan w:val="6"/>
            <w:tcBorders>
              <w:top w:val="single" w:sz="8" w:space="0" w:color="auto"/>
              <w:left w:val="nil"/>
              <w:right w:val="nil"/>
            </w:tcBorders>
            <w:shd w:val="clear" w:color="auto" w:fill="auto"/>
            <w:noWrap/>
            <w:vAlign w:val="center"/>
          </w:tcPr>
          <w:p w14:paraId="7A2A99C1" w14:textId="0B5A994F" w:rsidR="00CD6B59" w:rsidRPr="00CB0A9A" w:rsidRDefault="00CD6B59" w:rsidP="00CD6B59">
            <w:pPr>
              <w:pStyle w:val="aff2"/>
              <w:ind w:leftChars="-54" w:left="-130"/>
              <w:rPr>
                <w:rFonts w:eastAsia="等线" w:cs="Arial"/>
                <w:sz w:val="16"/>
                <w:szCs w:val="16"/>
              </w:rPr>
            </w:pPr>
            <w:r w:rsidRPr="00C66411">
              <w:t>数据来源：</w:t>
            </w:r>
            <w:r>
              <w:rPr>
                <w:rFonts w:hint="eastAsia"/>
              </w:rPr>
              <w:t>Wind</w:t>
            </w:r>
            <w:r w:rsidRPr="00C66411">
              <w:rPr>
                <w:rFonts w:hint="eastAsia"/>
              </w:rPr>
              <w:t>，</w:t>
            </w:r>
            <w:r w:rsidRPr="00C66411">
              <w:t>广发证券发展研究中心</w:t>
            </w:r>
          </w:p>
        </w:tc>
      </w:tr>
    </w:tbl>
    <w:p w14:paraId="5A805999" w14:textId="77777777" w:rsidR="006A42F8" w:rsidRPr="009A63B1" w:rsidRDefault="006A42F8" w:rsidP="002A05DF">
      <w:pPr>
        <w:pStyle w:val="ae"/>
        <w:spacing w:beforeLines="50" w:before="163" w:afterLines="50" w:after="163" w:line="252" w:lineRule="auto"/>
        <w:ind w:left="3017"/>
        <w:jc w:val="both"/>
        <w:rPr>
          <w:lang w:eastAsia="zh-CN"/>
        </w:rPr>
      </w:pPr>
    </w:p>
    <w:tbl>
      <w:tblPr>
        <w:tblW w:w="7802" w:type="dxa"/>
        <w:jc w:val="right"/>
        <w:tblLook w:val="04A0" w:firstRow="1" w:lastRow="0" w:firstColumn="1" w:lastColumn="0" w:noHBand="0" w:noVBand="1"/>
      </w:tblPr>
      <w:tblGrid>
        <w:gridCol w:w="1680"/>
        <w:gridCol w:w="5021"/>
        <w:gridCol w:w="81"/>
        <w:gridCol w:w="1020"/>
      </w:tblGrid>
      <w:tr w:rsidR="005A1F6F" w:rsidRPr="00F87E3A" w14:paraId="57208180" w14:textId="77777777" w:rsidTr="009A63B1">
        <w:trPr>
          <w:gridAfter w:val="2"/>
          <w:wAfter w:w="1101" w:type="dxa"/>
          <w:trHeight w:val="285"/>
          <w:jc w:val="right"/>
        </w:trPr>
        <w:tc>
          <w:tcPr>
            <w:tcW w:w="6701" w:type="dxa"/>
            <w:gridSpan w:val="2"/>
            <w:tcBorders>
              <w:left w:val="nil"/>
              <w:bottom w:val="single" w:sz="8" w:space="0" w:color="000000"/>
              <w:right w:val="nil"/>
            </w:tcBorders>
            <w:shd w:val="clear" w:color="auto" w:fill="auto"/>
            <w:noWrap/>
            <w:vAlign w:val="center"/>
          </w:tcPr>
          <w:p w14:paraId="7125EDCB" w14:textId="0768A4B4" w:rsidR="005A1F6F" w:rsidRPr="00F87E3A" w:rsidRDefault="005A1F6F" w:rsidP="005A1F6F">
            <w:pPr>
              <w:pStyle w:val="af0"/>
              <w:ind w:leftChars="-54" w:left="-130"/>
              <w:rPr>
                <w:rFonts w:ascii="楷体_GB2312" w:hAnsi="等线" w:cs="宋体"/>
                <w:b w:val="0"/>
                <w:bCs/>
                <w:sz w:val="16"/>
                <w:szCs w:val="16"/>
                <w:lang w:eastAsia="zh-CN"/>
              </w:rPr>
            </w:pPr>
            <w:bookmarkStart w:id="38" w:name="_Toc65772378"/>
            <w:r w:rsidRPr="00941673">
              <w:rPr>
                <w:rFonts w:hint="eastAsia"/>
                <w:lang w:eastAsia="zh-CN"/>
              </w:rPr>
              <w:t>表</w:t>
            </w:r>
            <w:r w:rsidRPr="00941673">
              <w:rPr>
                <w:rFonts w:hint="eastAsia"/>
                <w:lang w:eastAsia="zh-CN"/>
              </w:rPr>
              <w:t xml:space="preserve"> </w:t>
            </w:r>
            <w:r w:rsidRPr="00941673">
              <w:rPr>
                <w:lang w:eastAsia="zh-CN"/>
              </w:rPr>
              <w:fldChar w:fldCharType="begin"/>
            </w:r>
            <w:r w:rsidRPr="009A63B1">
              <w:rPr>
                <w:lang w:eastAsia="zh-CN"/>
              </w:rPr>
              <w:instrText xml:space="preserve"> </w:instrText>
            </w:r>
            <w:r w:rsidRPr="009A63B1">
              <w:rPr>
                <w:rFonts w:hint="eastAsia"/>
                <w:lang w:eastAsia="zh-CN"/>
              </w:rPr>
              <w:instrText xml:space="preserve">SEQ </w:instrText>
            </w:r>
            <w:r w:rsidRPr="009A63B1">
              <w:rPr>
                <w:rFonts w:hint="eastAsia"/>
                <w:lang w:eastAsia="zh-CN"/>
              </w:rPr>
              <w:instrText>表</w:instrText>
            </w:r>
            <w:r w:rsidRPr="009A63B1">
              <w:rPr>
                <w:rFonts w:hint="eastAsia"/>
                <w:lang w:eastAsia="zh-CN"/>
              </w:rPr>
              <w:instrText xml:space="preserve"> \* ARABIC</w:instrText>
            </w:r>
            <w:r w:rsidRPr="009A63B1">
              <w:rPr>
                <w:lang w:eastAsia="zh-CN"/>
              </w:rPr>
              <w:instrText xml:space="preserve"> </w:instrText>
            </w:r>
            <w:r w:rsidRPr="00941673">
              <w:rPr>
                <w:lang w:eastAsia="zh-CN"/>
              </w:rPr>
              <w:fldChar w:fldCharType="separate"/>
            </w:r>
            <w:r w:rsidR="0010512F">
              <w:rPr>
                <w:noProof/>
                <w:lang w:eastAsia="zh-CN"/>
              </w:rPr>
              <w:t>2</w:t>
            </w:r>
            <w:r w:rsidRPr="00941673">
              <w:rPr>
                <w:lang w:eastAsia="zh-CN"/>
              </w:rPr>
              <w:fldChar w:fldCharType="end"/>
            </w:r>
            <w:r w:rsidRPr="00941673">
              <w:rPr>
                <w:rFonts w:hint="eastAsia"/>
                <w:lang w:eastAsia="zh-CN"/>
              </w:rPr>
              <w:t>：</w:t>
            </w:r>
            <w:r>
              <w:rPr>
                <w:rFonts w:hint="eastAsia"/>
                <w:lang w:eastAsia="zh-CN"/>
              </w:rPr>
              <w:t>Wind</w:t>
            </w:r>
            <w:r>
              <w:rPr>
                <w:rFonts w:hint="eastAsia"/>
                <w:lang w:eastAsia="zh-CN"/>
              </w:rPr>
              <w:t>基金一级分类单一基准基金所选基准以及对应的基金数目</w:t>
            </w:r>
            <w:bookmarkEnd w:id="38"/>
          </w:p>
        </w:tc>
      </w:tr>
      <w:tr w:rsidR="009A63B1" w:rsidRPr="00F87E3A" w14:paraId="52F0A596" w14:textId="77777777" w:rsidTr="009A63B1">
        <w:trPr>
          <w:trHeight w:val="285"/>
          <w:jc w:val="right"/>
        </w:trPr>
        <w:tc>
          <w:tcPr>
            <w:tcW w:w="1680" w:type="dxa"/>
            <w:tcBorders>
              <w:top w:val="single" w:sz="8" w:space="0" w:color="auto"/>
              <w:left w:val="nil"/>
              <w:bottom w:val="single" w:sz="8" w:space="0" w:color="000000"/>
              <w:right w:val="nil"/>
            </w:tcBorders>
            <w:shd w:val="clear" w:color="auto" w:fill="auto"/>
            <w:noWrap/>
            <w:vAlign w:val="center"/>
            <w:hideMark/>
          </w:tcPr>
          <w:p w14:paraId="291800B8" w14:textId="77777777" w:rsidR="00F87E3A" w:rsidRPr="00F87E3A" w:rsidRDefault="00F87E3A" w:rsidP="00F87E3A">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单一基准基金</w:t>
            </w:r>
          </w:p>
        </w:tc>
        <w:tc>
          <w:tcPr>
            <w:tcW w:w="5102" w:type="dxa"/>
            <w:gridSpan w:val="2"/>
            <w:tcBorders>
              <w:top w:val="single" w:sz="8" w:space="0" w:color="auto"/>
              <w:left w:val="nil"/>
              <w:bottom w:val="single" w:sz="8" w:space="0" w:color="000000"/>
              <w:right w:val="nil"/>
            </w:tcBorders>
            <w:shd w:val="clear" w:color="auto" w:fill="auto"/>
            <w:noWrap/>
            <w:vAlign w:val="center"/>
            <w:hideMark/>
          </w:tcPr>
          <w:p w14:paraId="18E066FE" w14:textId="77777777" w:rsidR="00F87E3A" w:rsidRPr="00F87E3A" w:rsidRDefault="00F87E3A" w:rsidP="00F87E3A">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业绩比较基准</w:t>
            </w:r>
          </w:p>
        </w:tc>
        <w:tc>
          <w:tcPr>
            <w:tcW w:w="1020" w:type="dxa"/>
            <w:tcBorders>
              <w:top w:val="single" w:sz="8" w:space="0" w:color="auto"/>
              <w:left w:val="nil"/>
              <w:bottom w:val="single" w:sz="8" w:space="0" w:color="000000"/>
              <w:right w:val="nil"/>
            </w:tcBorders>
            <w:shd w:val="clear" w:color="auto" w:fill="auto"/>
            <w:noWrap/>
            <w:vAlign w:val="center"/>
            <w:hideMark/>
          </w:tcPr>
          <w:p w14:paraId="73DBD112" w14:textId="77777777" w:rsidR="00F87E3A" w:rsidRPr="00F87E3A" w:rsidRDefault="00F87E3A" w:rsidP="00F87E3A">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基准对应的基金数目</w:t>
            </w:r>
          </w:p>
        </w:tc>
      </w:tr>
      <w:tr w:rsidR="009A63B1" w:rsidRPr="00F87E3A" w14:paraId="561A19CC" w14:textId="77777777" w:rsidTr="009A63B1">
        <w:trPr>
          <w:trHeight w:val="278"/>
          <w:jc w:val="right"/>
        </w:trPr>
        <w:tc>
          <w:tcPr>
            <w:tcW w:w="1680" w:type="dxa"/>
            <w:vMerge w:val="restart"/>
            <w:tcBorders>
              <w:top w:val="nil"/>
              <w:left w:val="nil"/>
              <w:bottom w:val="nil"/>
              <w:right w:val="nil"/>
            </w:tcBorders>
            <w:shd w:val="clear" w:color="auto" w:fill="auto"/>
            <w:noWrap/>
            <w:vAlign w:val="center"/>
            <w:hideMark/>
          </w:tcPr>
          <w:p w14:paraId="750D43AE"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混合型基金</w:t>
            </w:r>
          </w:p>
        </w:tc>
        <w:tc>
          <w:tcPr>
            <w:tcW w:w="5102" w:type="dxa"/>
            <w:gridSpan w:val="2"/>
            <w:tcBorders>
              <w:top w:val="nil"/>
              <w:left w:val="nil"/>
              <w:bottom w:val="nil"/>
              <w:right w:val="nil"/>
            </w:tcBorders>
            <w:shd w:val="clear" w:color="auto" w:fill="auto"/>
            <w:noWrap/>
            <w:vAlign w:val="center"/>
            <w:hideMark/>
          </w:tcPr>
          <w:p w14:paraId="18EA6266"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金融机构人民币三年期定期存款基准利率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72CDA404"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13</w:t>
            </w:r>
          </w:p>
        </w:tc>
      </w:tr>
      <w:tr w:rsidR="009A63B1" w:rsidRPr="00F87E3A" w14:paraId="672BDC8C" w14:textId="77777777" w:rsidTr="009A63B1">
        <w:trPr>
          <w:trHeight w:val="278"/>
          <w:jc w:val="right"/>
        </w:trPr>
        <w:tc>
          <w:tcPr>
            <w:tcW w:w="1680" w:type="dxa"/>
            <w:vMerge/>
            <w:tcBorders>
              <w:top w:val="nil"/>
              <w:left w:val="nil"/>
              <w:bottom w:val="nil"/>
              <w:right w:val="nil"/>
            </w:tcBorders>
            <w:vAlign w:val="center"/>
            <w:hideMark/>
          </w:tcPr>
          <w:p w14:paraId="425C9A20"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7591907E"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三年期银行定期存款利率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6C612DED"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4A51DC13" w14:textId="77777777" w:rsidTr="009A63B1">
        <w:trPr>
          <w:trHeight w:val="278"/>
          <w:jc w:val="right"/>
        </w:trPr>
        <w:tc>
          <w:tcPr>
            <w:tcW w:w="1680" w:type="dxa"/>
            <w:vMerge/>
            <w:tcBorders>
              <w:top w:val="nil"/>
              <w:left w:val="nil"/>
              <w:bottom w:val="nil"/>
              <w:right w:val="nil"/>
            </w:tcBorders>
            <w:vAlign w:val="center"/>
            <w:hideMark/>
          </w:tcPr>
          <w:p w14:paraId="18B8E604"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85CE44C"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上证</w:t>
            </w:r>
            <w:r w:rsidRPr="00F87E3A">
              <w:rPr>
                <w:rFonts w:ascii="Arial" w:eastAsia="等线" w:hAnsi="Arial" w:cs="Arial"/>
                <w:b/>
                <w:bCs/>
                <w:color w:val="0F243E"/>
                <w:kern w:val="0"/>
                <w:sz w:val="16"/>
                <w:szCs w:val="16"/>
                <w:lang w:eastAsia="zh-CN"/>
              </w:rPr>
              <w:t>A</w:t>
            </w:r>
            <w:r w:rsidRPr="00F87E3A">
              <w:rPr>
                <w:rFonts w:ascii="Arial" w:eastAsia="等线" w:hAnsi="Arial" w:cs="Arial"/>
                <w:b/>
                <w:bCs/>
                <w:color w:val="0F243E"/>
                <w:kern w:val="0"/>
                <w:sz w:val="16"/>
                <w:szCs w:val="16"/>
                <w:lang w:eastAsia="zh-CN"/>
              </w:rPr>
              <w:t>股指数</w:t>
            </w:r>
          </w:p>
        </w:tc>
        <w:tc>
          <w:tcPr>
            <w:tcW w:w="1020" w:type="dxa"/>
            <w:tcBorders>
              <w:top w:val="nil"/>
              <w:left w:val="nil"/>
              <w:bottom w:val="nil"/>
              <w:right w:val="nil"/>
            </w:tcBorders>
            <w:shd w:val="clear" w:color="auto" w:fill="auto"/>
            <w:noWrap/>
            <w:vAlign w:val="center"/>
            <w:hideMark/>
          </w:tcPr>
          <w:p w14:paraId="6EAEFDF7"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74263D33" w14:textId="77777777" w:rsidTr="009A63B1">
        <w:trPr>
          <w:trHeight w:val="278"/>
          <w:jc w:val="right"/>
        </w:trPr>
        <w:tc>
          <w:tcPr>
            <w:tcW w:w="1680" w:type="dxa"/>
            <w:vMerge/>
            <w:tcBorders>
              <w:top w:val="nil"/>
              <w:left w:val="nil"/>
              <w:bottom w:val="nil"/>
              <w:right w:val="nil"/>
            </w:tcBorders>
            <w:vAlign w:val="center"/>
            <w:hideMark/>
          </w:tcPr>
          <w:p w14:paraId="41749BBF"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3187B5DF"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固定利率年化收益率</w:t>
            </w:r>
            <w:r w:rsidRPr="00F87E3A">
              <w:rPr>
                <w:rFonts w:ascii="Arial" w:eastAsia="等线" w:hAnsi="Arial" w:cs="Arial"/>
                <w:b/>
                <w:bCs/>
                <w:color w:val="0F243E"/>
                <w:kern w:val="0"/>
                <w:sz w:val="16"/>
                <w:szCs w:val="16"/>
                <w:lang w:eastAsia="zh-CN"/>
              </w:rPr>
              <w:t>6%</w:t>
            </w:r>
          </w:p>
        </w:tc>
        <w:tc>
          <w:tcPr>
            <w:tcW w:w="1020" w:type="dxa"/>
            <w:tcBorders>
              <w:top w:val="nil"/>
              <w:left w:val="nil"/>
              <w:bottom w:val="nil"/>
              <w:right w:val="nil"/>
            </w:tcBorders>
            <w:shd w:val="clear" w:color="auto" w:fill="auto"/>
            <w:noWrap/>
            <w:vAlign w:val="center"/>
            <w:hideMark/>
          </w:tcPr>
          <w:p w14:paraId="3E58EA6D"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7</w:t>
            </w:r>
          </w:p>
        </w:tc>
      </w:tr>
      <w:tr w:rsidR="009A63B1" w:rsidRPr="00F87E3A" w14:paraId="365419E8" w14:textId="77777777" w:rsidTr="009A63B1">
        <w:trPr>
          <w:trHeight w:val="278"/>
          <w:jc w:val="right"/>
        </w:trPr>
        <w:tc>
          <w:tcPr>
            <w:tcW w:w="1680" w:type="dxa"/>
            <w:vMerge/>
            <w:tcBorders>
              <w:top w:val="nil"/>
              <w:left w:val="nil"/>
              <w:bottom w:val="single" w:sz="4" w:space="0" w:color="auto"/>
              <w:right w:val="nil"/>
            </w:tcBorders>
            <w:vAlign w:val="center"/>
            <w:hideMark/>
          </w:tcPr>
          <w:p w14:paraId="7A06B30D"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6E0FFEB8"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固定利率年化收益率</w:t>
            </w:r>
            <w:r w:rsidRPr="00F87E3A">
              <w:rPr>
                <w:rFonts w:ascii="Arial" w:eastAsia="等线" w:hAnsi="Arial" w:cs="Arial"/>
                <w:b/>
                <w:bCs/>
                <w:color w:val="0F243E"/>
                <w:kern w:val="0"/>
                <w:sz w:val="16"/>
                <w:szCs w:val="16"/>
                <w:lang w:eastAsia="zh-CN"/>
              </w:rPr>
              <w:t>7%</w:t>
            </w:r>
          </w:p>
        </w:tc>
        <w:tc>
          <w:tcPr>
            <w:tcW w:w="1020" w:type="dxa"/>
            <w:tcBorders>
              <w:top w:val="nil"/>
              <w:left w:val="nil"/>
              <w:bottom w:val="single" w:sz="4" w:space="0" w:color="auto"/>
              <w:right w:val="nil"/>
            </w:tcBorders>
            <w:shd w:val="clear" w:color="auto" w:fill="auto"/>
            <w:noWrap/>
            <w:vAlign w:val="center"/>
            <w:hideMark/>
          </w:tcPr>
          <w:p w14:paraId="76ABC291"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3</w:t>
            </w:r>
          </w:p>
        </w:tc>
      </w:tr>
      <w:tr w:rsidR="009A63B1" w:rsidRPr="00F87E3A" w14:paraId="321774D4" w14:textId="77777777" w:rsidTr="009A63B1">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53729C0B"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债券型基金</w:t>
            </w:r>
          </w:p>
        </w:tc>
        <w:tc>
          <w:tcPr>
            <w:tcW w:w="5102" w:type="dxa"/>
            <w:gridSpan w:val="2"/>
            <w:tcBorders>
              <w:top w:val="single" w:sz="4" w:space="0" w:color="auto"/>
              <w:left w:val="nil"/>
              <w:bottom w:val="nil"/>
              <w:right w:val="nil"/>
            </w:tcBorders>
            <w:shd w:val="clear" w:color="auto" w:fill="auto"/>
            <w:noWrap/>
            <w:vAlign w:val="center"/>
            <w:hideMark/>
          </w:tcPr>
          <w:p w14:paraId="6ED925C3"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中债综合指数收益率</w:t>
            </w:r>
          </w:p>
        </w:tc>
        <w:tc>
          <w:tcPr>
            <w:tcW w:w="1020" w:type="dxa"/>
            <w:tcBorders>
              <w:top w:val="single" w:sz="4" w:space="0" w:color="auto"/>
              <w:left w:val="nil"/>
              <w:bottom w:val="nil"/>
              <w:right w:val="nil"/>
            </w:tcBorders>
            <w:shd w:val="clear" w:color="auto" w:fill="auto"/>
            <w:noWrap/>
            <w:vAlign w:val="center"/>
            <w:hideMark/>
          </w:tcPr>
          <w:p w14:paraId="1B8AACE4"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277</w:t>
            </w:r>
          </w:p>
        </w:tc>
      </w:tr>
      <w:tr w:rsidR="009A63B1" w:rsidRPr="00F87E3A" w14:paraId="55E43B00" w14:textId="77777777" w:rsidTr="009A63B1">
        <w:trPr>
          <w:trHeight w:val="278"/>
          <w:jc w:val="right"/>
        </w:trPr>
        <w:tc>
          <w:tcPr>
            <w:tcW w:w="1680" w:type="dxa"/>
            <w:vMerge/>
            <w:tcBorders>
              <w:top w:val="nil"/>
              <w:left w:val="nil"/>
              <w:bottom w:val="nil"/>
              <w:right w:val="nil"/>
            </w:tcBorders>
            <w:vAlign w:val="center"/>
            <w:hideMark/>
          </w:tcPr>
          <w:p w14:paraId="48E9C63A"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B667769"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中债综合全价</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总值</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指数收益率</w:t>
            </w:r>
          </w:p>
        </w:tc>
        <w:tc>
          <w:tcPr>
            <w:tcW w:w="1020" w:type="dxa"/>
            <w:tcBorders>
              <w:top w:val="nil"/>
              <w:left w:val="nil"/>
              <w:bottom w:val="nil"/>
              <w:right w:val="nil"/>
            </w:tcBorders>
            <w:shd w:val="clear" w:color="auto" w:fill="auto"/>
            <w:noWrap/>
            <w:vAlign w:val="center"/>
            <w:hideMark/>
          </w:tcPr>
          <w:p w14:paraId="34FFD6E7"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176</w:t>
            </w:r>
          </w:p>
        </w:tc>
      </w:tr>
      <w:tr w:rsidR="009A63B1" w:rsidRPr="00F87E3A" w14:paraId="2A8023E9" w14:textId="77777777" w:rsidTr="009A63B1">
        <w:trPr>
          <w:trHeight w:val="278"/>
          <w:jc w:val="right"/>
        </w:trPr>
        <w:tc>
          <w:tcPr>
            <w:tcW w:w="1680" w:type="dxa"/>
            <w:vMerge/>
            <w:tcBorders>
              <w:top w:val="nil"/>
              <w:left w:val="nil"/>
              <w:bottom w:val="nil"/>
              <w:right w:val="nil"/>
            </w:tcBorders>
            <w:vAlign w:val="center"/>
            <w:hideMark/>
          </w:tcPr>
          <w:p w14:paraId="2FB85C19"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EB1F08A"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中证全债指数收益率</w:t>
            </w:r>
          </w:p>
        </w:tc>
        <w:tc>
          <w:tcPr>
            <w:tcW w:w="1020" w:type="dxa"/>
            <w:tcBorders>
              <w:top w:val="nil"/>
              <w:left w:val="nil"/>
              <w:bottom w:val="nil"/>
              <w:right w:val="nil"/>
            </w:tcBorders>
            <w:shd w:val="clear" w:color="auto" w:fill="auto"/>
            <w:noWrap/>
            <w:vAlign w:val="center"/>
            <w:hideMark/>
          </w:tcPr>
          <w:p w14:paraId="1B65C696"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210</w:t>
            </w:r>
          </w:p>
        </w:tc>
      </w:tr>
      <w:tr w:rsidR="009A63B1" w:rsidRPr="00F87E3A" w14:paraId="57C51947" w14:textId="77777777" w:rsidTr="009A63B1">
        <w:trPr>
          <w:trHeight w:val="278"/>
          <w:jc w:val="right"/>
        </w:trPr>
        <w:tc>
          <w:tcPr>
            <w:tcW w:w="1680" w:type="dxa"/>
            <w:vMerge/>
            <w:tcBorders>
              <w:top w:val="nil"/>
              <w:left w:val="nil"/>
              <w:bottom w:val="nil"/>
              <w:right w:val="nil"/>
            </w:tcBorders>
            <w:vAlign w:val="center"/>
            <w:hideMark/>
          </w:tcPr>
          <w:p w14:paraId="10EE7D0F"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28407301"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中证综合债指数收益率</w:t>
            </w:r>
          </w:p>
        </w:tc>
        <w:tc>
          <w:tcPr>
            <w:tcW w:w="1020" w:type="dxa"/>
            <w:tcBorders>
              <w:top w:val="nil"/>
              <w:left w:val="nil"/>
              <w:bottom w:val="nil"/>
              <w:right w:val="nil"/>
            </w:tcBorders>
            <w:shd w:val="clear" w:color="auto" w:fill="auto"/>
            <w:noWrap/>
            <w:vAlign w:val="center"/>
            <w:hideMark/>
          </w:tcPr>
          <w:p w14:paraId="4B88BCF0"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140</w:t>
            </w:r>
          </w:p>
        </w:tc>
      </w:tr>
      <w:tr w:rsidR="009A63B1" w:rsidRPr="00F87E3A" w14:paraId="17E4C1F7" w14:textId="77777777" w:rsidTr="009A63B1">
        <w:trPr>
          <w:trHeight w:val="278"/>
          <w:jc w:val="right"/>
        </w:trPr>
        <w:tc>
          <w:tcPr>
            <w:tcW w:w="1680" w:type="dxa"/>
            <w:vMerge/>
            <w:tcBorders>
              <w:top w:val="nil"/>
              <w:left w:val="nil"/>
              <w:bottom w:val="single" w:sz="4" w:space="0" w:color="auto"/>
              <w:right w:val="nil"/>
            </w:tcBorders>
            <w:vAlign w:val="center"/>
            <w:hideMark/>
          </w:tcPr>
          <w:p w14:paraId="3F67ADAE"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077ED3D7"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中债综合全价指数收益率</w:t>
            </w:r>
          </w:p>
        </w:tc>
        <w:tc>
          <w:tcPr>
            <w:tcW w:w="1020" w:type="dxa"/>
            <w:tcBorders>
              <w:top w:val="nil"/>
              <w:left w:val="nil"/>
              <w:bottom w:val="single" w:sz="4" w:space="0" w:color="auto"/>
              <w:right w:val="nil"/>
            </w:tcBorders>
            <w:shd w:val="clear" w:color="auto" w:fill="auto"/>
            <w:noWrap/>
            <w:vAlign w:val="center"/>
            <w:hideMark/>
          </w:tcPr>
          <w:p w14:paraId="27919A9A"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125</w:t>
            </w:r>
          </w:p>
        </w:tc>
      </w:tr>
      <w:tr w:rsidR="009A63B1" w:rsidRPr="00F87E3A" w14:paraId="1FCA0BF0" w14:textId="77777777" w:rsidTr="009A63B1">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3DF1E72A"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股票型基金</w:t>
            </w:r>
          </w:p>
        </w:tc>
        <w:tc>
          <w:tcPr>
            <w:tcW w:w="5102" w:type="dxa"/>
            <w:gridSpan w:val="2"/>
            <w:tcBorders>
              <w:top w:val="single" w:sz="4" w:space="0" w:color="auto"/>
              <w:left w:val="nil"/>
              <w:bottom w:val="nil"/>
              <w:right w:val="nil"/>
            </w:tcBorders>
            <w:shd w:val="clear" w:color="auto" w:fill="auto"/>
            <w:noWrap/>
            <w:vAlign w:val="center"/>
            <w:hideMark/>
          </w:tcPr>
          <w:p w14:paraId="043E0636"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创业板指数收益率</w:t>
            </w:r>
          </w:p>
        </w:tc>
        <w:tc>
          <w:tcPr>
            <w:tcW w:w="1020" w:type="dxa"/>
            <w:tcBorders>
              <w:top w:val="single" w:sz="4" w:space="0" w:color="auto"/>
              <w:left w:val="nil"/>
              <w:bottom w:val="nil"/>
              <w:right w:val="nil"/>
            </w:tcBorders>
            <w:shd w:val="clear" w:color="auto" w:fill="auto"/>
            <w:noWrap/>
            <w:vAlign w:val="center"/>
            <w:hideMark/>
          </w:tcPr>
          <w:p w14:paraId="5A80F1D3"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12</w:t>
            </w:r>
          </w:p>
        </w:tc>
      </w:tr>
      <w:tr w:rsidR="009A63B1" w:rsidRPr="00F87E3A" w14:paraId="5540D64C" w14:textId="77777777" w:rsidTr="009A63B1">
        <w:trPr>
          <w:trHeight w:val="278"/>
          <w:jc w:val="right"/>
        </w:trPr>
        <w:tc>
          <w:tcPr>
            <w:tcW w:w="1680" w:type="dxa"/>
            <w:vMerge/>
            <w:tcBorders>
              <w:top w:val="nil"/>
              <w:left w:val="nil"/>
              <w:bottom w:val="nil"/>
              <w:right w:val="nil"/>
            </w:tcBorders>
            <w:vAlign w:val="center"/>
            <w:hideMark/>
          </w:tcPr>
          <w:p w14:paraId="2538B953"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C2A7567"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沪深</w:t>
            </w:r>
            <w:r w:rsidRPr="00F87E3A">
              <w:rPr>
                <w:rFonts w:ascii="Arial" w:eastAsia="等线" w:hAnsi="Arial" w:cs="Arial"/>
                <w:b/>
                <w:bCs/>
                <w:color w:val="0F243E"/>
                <w:kern w:val="0"/>
                <w:sz w:val="16"/>
                <w:szCs w:val="16"/>
                <w:lang w:eastAsia="zh-CN"/>
              </w:rPr>
              <w:t>300</w:t>
            </w:r>
            <w:r w:rsidRPr="00F87E3A">
              <w:rPr>
                <w:rFonts w:ascii="Arial" w:eastAsia="等线" w:hAnsi="Arial" w:cs="Arial"/>
                <w:b/>
                <w:bCs/>
                <w:color w:val="0F243E"/>
                <w:kern w:val="0"/>
                <w:sz w:val="16"/>
                <w:szCs w:val="16"/>
                <w:lang w:eastAsia="zh-CN"/>
              </w:rPr>
              <w:t>指数收益率</w:t>
            </w:r>
          </w:p>
        </w:tc>
        <w:tc>
          <w:tcPr>
            <w:tcW w:w="1020" w:type="dxa"/>
            <w:tcBorders>
              <w:top w:val="nil"/>
              <w:left w:val="nil"/>
              <w:bottom w:val="nil"/>
              <w:right w:val="nil"/>
            </w:tcBorders>
            <w:shd w:val="clear" w:color="auto" w:fill="auto"/>
            <w:noWrap/>
            <w:vAlign w:val="center"/>
            <w:hideMark/>
          </w:tcPr>
          <w:p w14:paraId="53E6B880"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21</w:t>
            </w:r>
          </w:p>
        </w:tc>
      </w:tr>
      <w:tr w:rsidR="009A63B1" w:rsidRPr="00F87E3A" w14:paraId="3ABDBB48" w14:textId="77777777" w:rsidTr="009A63B1">
        <w:trPr>
          <w:trHeight w:val="278"/>
          <w:jc w:val="right"/>
        </w:trPr>
        <w:tc>
          <w:tcPr>
            <w:tcW w:w="1680" w:type="dxa"/>
            <w:vMerge/>
            <w:tcBorders>
              <w:top w:val="nil"/>
              <w:left w:val="nil"/>
              <w:bottom w:val="nil"/>
              <w:right w:val="nil"/>
            </w:tcBorders>
            <w:vAlign w:val="center"/>
            <w:hideMark/>
          </w:tcPr>
          <w:p w14:paraId="336A0C9C"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6727ED6"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中证</w:t>
            </w:r>
            <w:r w:rsidRPr="00F87E3A">
              <w:rPr>
                <w:rFonts w:ascii="Arial" w:eastAsia="等线" w:hAnsi="Arial" w:cs="Arial"/>
                <w:b/>
                <w:bCs/>
                <w:color w:val="0F243E"/>
                <w:kern w:val="0"/>
                <w:sz w:val="16"/>
                <w:szCs w:val="16"/>
                <w:lang w:eastAsia="zh-CN"/>
              </w:rPr>
              <w:t>500</w:t>
            </w:r>
            <w:r w:rsidRPr="00F87E3A">
              <w:rPr>
                <w:rFonts w:ascii="Arial" w:eastAsia="等线" w:hAnsi="Arial" w:cs="Arial"/>
                <w:b/>
                <w:bCs/>
                <w:color w:val="0F243E"/>
                <w:kern w:val="0"/>
                <w:sz w:val="16"/>
                <w:szCs w:val="16"/>
                <w:lang w:eastAsia="zh-CN"/>
              </w:rPr>
              <w:t>指数收益率</w:t>
            </w:r>
          </w:p>
        </w:tc>
        <w:tc>
          <w:tcPr>
            <w:tcW w:w="1020" w:type="dxa"/>
            <w:tcBorders>
              <w:top w:val="nil"/>
              <w:left w:val="nil"/>
              <w:bottom w:val="nil"/>
              <w:right w:val="nil"/>
            </w:tcBorders>
            <w:shd w:val="clear" w:color="auto" w:fill="auto"/>
            <w:noWrap/>
            <w:vAlign w:val="center"/>
            <w:hideMark/>
          </w:tcPr>
          <w:p w14:paraId="71789A20"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19</w:t>
            </w:r>
          </w:p>
        </w:tc>
      </w:tr>
      <w:tr w:rsidR="009A63B1" w:rsidRPr="00F87E3A" w14:paraId="130C4A70" w14:textId="77777777" w:rsidTr="009A63B1">
        <w:trPr>
          <w:trHeight w:val="278"/>
          <w:jc w:val="right"/>
        </w:trPr>
        <w:tc>
          <w:tcPr>
            <w:tcW w:w="1680" w:type="dxa"/>
            <w:vMerge/>
            <w:tcBorders>
              <w:top w:val="nil"/>
              <w:left w:val="nil"/>
              <w:bottom w:val="nil"/>
              <w:right w:val="nil"/>
            </w:tcBorders>
            <w:vAlign w:val="center"/>
            <w:hideMark/>
          </w:tcPr>
          <w:p w14:paraId="1BC68429"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29C8EBEB"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中证银行指数收益率</w:t>
            </w:r>
          </w:p>
        </w:tc>
        <w:tc>
          <w:tcPr>
            <w:tcW w:w="1020" w:type="dxa"/>
            <w:tcBorders>
              <w:top w:val="nil"/>
              <w:left w:val="nil"/>
              <w:bottom w:val="nil"/>
              <w:right w:val="nil"/>
            </w:tcBorders>
            <w:shd w:val="clear" w:color="auto" w:fill="auto"/>
            <w:noWrap/>
            <w:vAlign w:val="center"/>
            <w:hideMark/>
          </w:tcPr>
          <w:p w14:paraId="1C0F53BD"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6</w:t>
            </w:r>
          </w:p>
        </w:tc>
      </w:tr>
      <w:tr w:rsidR="009A63B1" w:rsidRPr="00F87E3A" w14:paraId="30F72E8D" w14:textId="77777777" w:rsidTr="009A63B1">
        <w:trPr>
          <w:trHeight w:val="278"/>
          <w:jc w:val="right"/>
        </w:trPr>
        <w:tc>
          <w:tcPr>
            <w:tcW w:w="1680" w:type="dxa"/>
            <w:vMerge/>
            <w:tcBorders>
              <w:top w:val="nil"/>
              <w:left w:val="nil"/>
              <w:bottom w:val="single" w:sz="4" w:space="0" w:color="auto"/>
              <w:right w:val="nil"/>
            </w:tcBorders>
            <w:vAlign w:val="center"/>
            <w:hideMark/>
          </w:tcPr>
          <w:p w14:paraId="599056D2"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115F8F9B"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中证光伏产业指数收益率</w:t>
            </w:r>
          </w:p>
        </w:tc>
        <w:tc>
          <w:tcPr>
            <w:tcW w:w="1020" w:type="dxa"/>
            <w:tcBorders>
              <w:top w:val="nil"/>
              <w:left w:val="nil"/>
              <w:bottom w:val="single" w:sz="4" w:space="0" w:color="auto"/>
              <w:right w:val="nil"/>
            </w:tcBorders>
            <w:shd w:val="clear" w:color="auto" w:fill="auto"/>
            <w:noWrap/>
            <w:vAlign w:val="center"/>
            <w:hideMark/>
          </w:tcPr>
          <w:p w14:paraId="1A14F491"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5</w:t>
            </w:r>
          </w:p>
        </w:tc>
      </w:tr>
      <w:tr w:rsidR="009A63B1" w:rsidRPr="00F87E3A" w14:paraId="52D6AA63" w14:textId="77777777" w:rsidTr="009A63B1">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15C1A2D4"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货币市场型基金</w:t>
            </w:r>
          </w:p>
        </w:tc>
        <w:tc>
          <w:tcPr>
            <w:tcW w:w="5102" w:type="dxa"/>
            <w:gridSpan w:val="2"/>
            <w:tcBorders>
              <w:top w:val="single" w:sz="4" w:space="0" w:color="auto"/>
              <w:left w:val="nil"/>
              <w:bottom w:val="nil"/>
              <w:right w:val="nil"/>
            </w:tcBorders>
            <w:shd w:val="clear" w:color="auto" w:fill="auto"/>
            <w:noWrap/>
            <w:vAlign w:val="center"/>
            <w:hideMark/>
          </w:tcPr>
          <w:p w14:paraId="40905D0E"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活期存款利率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single" w:sz="4" w:space="0" w:color="auto"/>
              <w:left w:val="nil"/>
              <w:bottom w:val="nil"/>
              <w:right w:val="nil"/>
            </w:tcBorders>
            <w:shd w:val="clear" w:color="auto" w:fill="auto"/>
            <w:noWrap/>
            <w:vAlign w:val="center"/>
            <w:hideMark/>
          </w:tcPr>
          <w:p w14:paraId="7D4ECB35"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292</w:t>
            </w:r>
          </w:p>
        </w:tc>
      </w:tr>
      <w:tr w:rsidR="009A63B1" w:rsidRPr="00F87E3A" w14:paraId="516DECCF" w14:textId="77777777" w:rsidTr="009A63B1">
        <w:trPr>
          <w:trHeight w:val="278"/>
          <w:jc w:val="right"/>
        </w:trPr>
        <w:tc>
          <w:tcPr>
            <w:tcW w:w="1680" w:type="dxa"/>
            <w:vMerge/>
            <w:tcBorders>
              <w:top w:val="nil"/>
              <w:left w:val="nil"/>
              <w:bottom w:val="nil"/>
              <w:right w:val="nil"/>
            </w:tcBorders>
            <w:vAlign w:val="center"/>
            <w:hideMark/>
          </w:tcPr>
          <w:p w14:paraId="105374CE"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CB4B855"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同期七天通知存款利率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6C10893D"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331</w:t>
            </w:r>
          </w:p>
        </w:tc>
      </w:tr>
      <w:tr w:rsidR="009A63B1" w:rsidRPr="00F87E3A" w14:paraId="1A474D4E" w14:textId="77777777" w:rsidTr="009A63B1">
        <w:trPr>
          <w:trHeight w:val="278"/>
          <w:jc w:val="right"/>
        </w:trPr>
        <w:tc>
          <w:tcPr>
            <w:tcW w:w="1680" w:type="dxa"/>
            <w:vMerge/>
            <w:tcBorders>
              <w:top w:val="nil"/>
              <w:left w:val="nil"/>
              <w:bottom w:val="nil"/>
              <w:right w:val="nil"/>
            </w:tcBorders>
            <w:vAlign w:val="center"/>
            <w:hideMark/>
          </w:tcPr>
          <w:p w14:paraId="0122A096"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287756BC"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一年期银行定期存款利率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054745A4"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8</w:t>
            </w:r>
          </w:p>
        </w:tc>
      </w:tr>
      <w:tr w:rsidR="009A63B1" w:rsidRPr="00F87E3A" w14:paraId="6A96AABD" w14:textId="77777777" w:rsidTr="009A63B1">
        <w:trPr>
          <w:trHeight w:val="278"/>
          <w:jc w:val="right"/>
        </w:trPr>
        <w:tc>
          <w:tcPr>
            <w:tcW w:w="1680" w:type="dxa"/>
            <w:vMerge/>
            <w:tcBorders>
              <w:top w:val="nil"/>
              <w:left w:val="nil"/>
              <w:bottom w:val="nil"/>
              <w:right w:val="nil"/>
            </w:tcBorders>
            <w:vAlign w:val="center"/>
            <w:hideMark/>
          </w:tcPr>
          <w:p w14:paraId="3C6D6551"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BD4AA8E"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六个月银行定期存款利率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389FEEBD"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7</w:t>
            </w:r>
          </w:p>
        </w:tc>
      </w:tr>
      <w:tr w:rsidR="009A63B1" w:rsidRPr="00F87E3A" w14:paraId="29CD03CA" w14:textId="77777777" w:rsidTr="009A63B1">
        <w:trPr>
          <w:trHeight w:val="278"/>
          <w:jc w:val="right"/>
        </w:trPr>
        <w:tc>
          <w:tcPr>
            <w:tcW w:w="1680" w:type="dxa"/>
            <w:vMerge/>
            <w:tcBorders>
              <w:top w:val="nil"/>
              <w:left w:val="nil"/>
              <w:bottom w:val="single" w:sz="4" w:space="0" w:color="auto"/>
              <w:right w:val="nil"/>
            </w:tcBorders>
            <w:vAlign w:val="center"/>
            <w:hideMark/>
          </w:tcPr>
          <w:p w14:paraId="31210BF2"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5BD42358"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金融机构人民币活期存款基准利率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single" w:sz="4" w:space="0" w:color="auto"/>
              <w:right w:val="nil"/>
            </w:tcBorders>
            <w:shd w:val="clear" w:color="auto" w:fill="auto"/>
            <w:noWrap/>
            <w:vAlign w:val="center"/>
            <w:hideMark/>
          </w:tcPr>
          <w:p w14:paraId="745CDE67"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5</w:t>
            </w:r>
          </w:p>
        </w:tc>
      </w:tr>
      <w:tr w:rsidR="009A63B1" w:rsidRPr="00F87E3A" w14:paraId="099A04E4" w14:textId="77777777" w:rsidTr="009A63B1">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3917254A"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国际</w:t>
            </w:r>
            <w:r w:rsidRPr="00F87E3A">
              <w:rPr>
                <w:rFonts w:ascii="Arial" w:eastAsia="等线" w:hAnsi="Arial" w:cs="Arial"/>
                <w:b/>
                <w:bCs/>
                <w:color w:val="0F243E"/>
                <w:kern w:val="0"/>
                <w:sz w:val="16"/>
                <w:szCs w:val="16"/>
                <w:lang w:eastAsia="zh-CN"/>
              </w:rPr>
              <w:t>(QDII)</w:t>
            </w:r>
            <w:r w:rsidRPr="00F87E3A">
              <w:rPr>
                <w:rFonts w:ascii="Arial" w:eastAsia="等线" w:hAnsi="Arial" w:cs="Arial"/>
                <w:b/>
                <w:bCs/>
                <w:color w:val="0F243E"/>
                <w:kern w:val="0"/>
                <w:sz w:val="16"/>
                <w:szCs w:val="16"/>
                <w:lang w:eastAsia="zh-CN"/>
              </w:rPr>
              <w:t>基金</w:t>
            </w:r>
          </w:p>
        </w:tc>
        <w:tc>
          <w:tcPr>
            <w:tcW w:w="5102" w:type="dxa"/>
            <w:gridSpan w:val="2"/>
            <w:tcBorders>
              <w:top w:val="single" w:sz="4" w:space="0" w:color="auto"/>
              <w:left w:val="nil"/>
              <w:bottom w:val="nil"/>
              <w:right w:val="nil"/>
            </w:tcBorders>
            <w:shd w:val="clear" w:color="auto" w:fill="auto"/>
            <w:noWrap/>
            <w:vAlign w:val="center"/>
            <w:hideMark/>
          </w:tcPr>
          <w:p w14:paraId="47FE579B"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同期人民币三年期定期存款利率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single" w:sz="4" w:space="0" w:color="auto"/>
              <w:left w:val="nil"/>
              <w:bottom w:val="nil"/>
              <w:right w:val="nil"/>
            </w:tcBorders>
            <w:shd w:val="clear" w:color="auto" w:fill="auto"/>
            <w:noWrap/>
            <w:vAlign w:val="center"/>
            <w:hideMark/>
          </w:tcPr>
          <w:p w14:paraId="0373B958"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6</w:t>
            </w:r>
          </w:p>
        </w:tc>
      </w:tr>
      <w:tr w:rsidR="009A63B1" w:rsidRPr="00F87E3A" w14:paraId="2C3C8E76" w14:textId="77777777" w:rsidTr="009A63B1">
        <w:trPr>
          <w:trHeight w:val="278"/>
          <w:jc w:val="right"/>
        </w:trPr>
        <w:tc>
          <w:tcPr>
            <w:tcW w:w="1680" w:type="dxa"/>
            <w:vMerge/>
            <w:tcBorders>
              <w:top w:val="nil"/>
              <w:left w:val="nil"/>
              <w:bottom w:val="nil"/>
              <w:right w:val="nil"/>
            </w:tcBorders>
            <w:vAlign w:val="center"/>
            <w:hideMark/>
          </w:tcPr>
          <w:p w14:paraId="74BA60D6"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2D21F2EC" w14:textId="30A6398C"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彭博巴克莱短期美元综合债券指数收益率</w:t>
            </w:r>
          </w:p>
        </w:tc>
        <w:tc>
          <w:tcPr>
            <w:tcW w:w="1020" w:type="dxa"/>
            <w:tcBorders>
              <w:top w:val="nil"/>
              <w:left w:val="nil"/>
              <w:bottom w:val="nil"/>
              <w:right w:val="nil"/>
            </w:tcBorders>
            <w:shd w:val="clear" w:color="auto" w:fill="auto"/>
            <w:noWrap/>
            <w:vAlign w:val="center"/>
            <w:hideMark/>
          </w:tcPr>
          <w:p w14:paraId="0A7100E9"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73800AE2" w14:textId="77777777" w:rsidTr="009A63B1">
        <w:trPr>
          <w:trHeight w:val="278"/>
          <w:jc w:val="right"/>
        </w:trPr>
        <w:tc>
          <w:tcPr>
            <w:tcW w:w="1680" w:type="dxa"/>
            <w:vMerge/>
            <w:tcBorders>
              <w:top w:val="nil"/>
              <w:left w:val="nil"/>
              <w:bottom w:val="nil"/>
              <w:right w:val="nil"/>
            </w:tcBorders>
            <w:vAlign w:val="center"/>
            <w:hideMark/>
          </w:tcPr>
          <w:p w14:paraId="2A3217F7"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5ECE2310"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标普高盛原油商品指数</w:t>
            </w:r>
            <w:r w:rsidRPr="00F87E3A">
              <w:rPr>
                <w:rFonts w:ascii="Arial" w:eastAsia="等线" w:hAnsi="Arial" w:cs="Arial"/>
                <w:b/>
                <w:bCs/>
                <w:color w:val="0F243E"/>
                <w:kern w:val="0"/>
                <w:sz w:val="16"/>
                <w:szCs w:val="16"/>
                <w:lang w:eastAsia="zh-CN"/>
              </w:rPr>
              <w:t>(S&amp;P GSCI Crude Oil Index ER)</w:t>
            </w:r>
            <w:r w:rsidRPr="00F87E3A">
              <w:rPr>
                <w:rFonts w:ascii="Arial" w:eastAsia="等线" w:hAnsi="Arial" w:cs="Arial"/>
                <w:b/>
                <w:bCs/>
                <w:color w:val="0F243E"/>
                <w:kern w:val="0"/>
                <w:sz w:val="16"/>
                <w:szCs w:val="16"/>
                <w:lang w:eastAsia="zh-CN"/>
              </w:rPr>
              <w:t>收益率</w:t>
            </w:r>
          </w:p>
        </w:tc>
        <w:tc>
          <w:tcPr>
            <w:tcW w:w="1020" w:type="dxa"/>
            <w:tcBorders>
              <w:top w:val="nil"/>
              <w:left w:val="nil"/>
              <w:bottom w:val="nil"/>
              <w:right w:val="nil"/>
            </w:tcBorders>
            <w:shd w:val="clear" w:color="auto" w:fill="auto"/>
            <w:noWrap/>
            <w:vAlign w:val="center"/>
            <w:hideMark/>
          </w:tcPr>
          <w:p w14:paraId="25240FD4"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29CA2C11" w14:textId="77777777" w:rsidTr="009A63B1">
        <w:trPr>
          <w:trHeight w:val="278"/>
          <w:jc w:val="right"/>
        </w:trPr>
        <w:tc>
          <w:tcPr>
            <w:tcW w:w="1680" w:type="dxa"/>
            <w:vMerge/>
            <w:tcBorders>
              <w:top w:val="nil"/>
              <w:left w:val="nil"/>
              <w:bottom w:val="nil"/>
              <w:right w:val="nil"/>
            </w:tcBorders>
            <w:vAlign w:val="center"/>
            <w:hideMark/>
          </w:tcPr>
          <w:p w14:paraId="122E7C43"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C61C912"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人民币计价的纳斯达克</w:t>
            </w:r>
            <w:r w:rsidRPr="00F87E3A">
              <w:rPr>
                <w:rFonts w:ascii="Arial" w:eastAsia="等线" w:hAnsi="Arial" w:cs="Arial"/>
                <w:b/>
                <w:bCs/>
                <w:color w:val="0F243E"/>
                <w:kern w:val="0"/>
                <w:sz w:val="16"/>
                <w:szCs w:val="16"/>
                <w:lang w:eastAsia="zh-CN"/>
              </w:rPr>
              <w:t>100</w:t>
            </w:r>
            <w:r w:rsidRPr="00F87E3A">
              <w:rPr>
                <w:rFonts w:ascii="Arial" w:eastAsia="等线" w:hAnsi="Arial" w:cs="Arial"/>
                <w:b/>
                <w:bCs/>
                <w:color w:val="0F243E"/>
                <w:kern w:val="0"/>
                <w:sz w:val="16"/>
                <w:szCs w:val="16"/>
                <w:lang w:eastAsia="zh-CN"/>
              </w:rPr>
              <w:t>总收益指数收益率</w:t>
            </w:r>
          </w:p>
        </w:tc>
        <w:tc>
          <w:tcPr>
            <w:tcW w:w="1020" w:type="dxa"/>
            <w:tcBorders>
              <w:top w:val="nil"/>
              <w:left w:val="nil"/>
              <w:bottom w:val="nil"/>
              <w:right w:val="nil"/>
            </w:tcBorders>
            <w:shd w:val="clear" w:color="auto" w:fill="auto"/>
            <w:noWrap/>
            <w:vAlign w:val="center"/>
            <w:hideMark/>
          </w:tcPr>
          <w:p w14:paraId="6E6B69E3"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7F6B5C4F" w14:textId="77777777" w:rsidTr="009A63B1">
        <w:trPr>
          <w:trHeight w:val="278"/>
          <w:jc w:val="right"/>
        </w:trPr>
        <w:tc>
          <w:tcPr>
            <w:tcW w:w="1680" w:type="dxa"/>
            <w:vMerge/>
            <w:tcBorders>
              <w:top w:val="nil"/>
              <w:left w:val="nil"/>
              <w:bottom w:val="single" w:sz="4" w:space="0" w:color="auto"/>
              <w:right w:val="nil"/>
            </w:tcBorders>
            <w:vAlign w:val="center"/>
            <w:hideMark/>
          </w:tcPr>
          <w:p w14:paraId="4C0952BB"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1CB79F83"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人民币计价的</w:t>
            </w:r>
            <w:r w:rsidRPr="00F87E3A">
              <w:rPr>
                <w:rFonts w:ascii="Arial" w:eastAsia="等线" w:hAnsi="Arial" w:cs="Arial"/>
                <w:b/>
                <w:bCs/>
                <w:color w:val="0F243E"/>
                <w:kern w:val="0"/>
                <w:sz w:val="16"/>
                <w:szCs w:val="16"/>
                <w:lang w:eastAsia="zh-CN"/>
              </w:rPr>
              <w:t>MSCI</w:t>
            </w:r>
            <w:r w:rsidRPr="00F87E3A">
              <w:rPr>
                <w:rFonts w:ascii="Arial" w:eastAsia="等线" w:hAnsi="Arial" w:cs="Arial"/>
                <w:b/>
                <w:bCs/>
                <w:color w:val="0F243E"/>
                <w:kern w:val="0"/>
                <w:sz w:val="16"/>
                <w:szCs w:val="16"/>
                <w:lang w:eastAsia="zh-CN"/>
              </w:rPr>
              <w:t>美国</w:t>
            </w:r>
            <w:r w:rsidRPr="00F87E3A">
              <w:rPr>
                <w:rFonts w:ascii="Arial" w:eastAsia="等线" w:hAnsi="Arial" w:cs="Arial"/>
                <w:b/>
                <w:bCs/>
                <w:color w:val="0F243E"/>
                <w:kern w:val="0"/>
                <w:sz w:val="16"/>
                <w:szCs w:val="16"/>
                <w:lang w:eastAsia="zh-CN"/>
              </w:rPr>
              <w:t>REIT</w:t>
            </w:r>
            <w:r w:rsidRPr="00F87E3A">
              <w:rPr>
                <w:rFonts w:ascii="Arial" w:eastAsia="等线" w:hAnsi="Arial" w:cs="Arial"/>
                <w:b/>
                <w:bCs/>
                <w:color w:val="0F243E"/>
                <w:kern w:val="0"/>
                <w:sz w:val="16"/>
                <w:szCs w:val="16"/>
                <w:lang w:eastAsia="zh-CN"/>
              </w:rPr>
              <w:t>净总收益指数</w:t>
            </w:r>
            <w:r w:rsidRPr="00F87E3A">
              <w:rPr>
                <w:rFonts w:ascii="Arial" w:eastAsia="等线" w:hAnsi="Arial" w:cs="Arial"/>
                <w:b/>
                <w:bCs/>
                <w:color w:val="0F243E"/>
                <w:kern w:val="0"/>
                <w:sz w:val="16"/>
                <w:szCs w:val="16"/>
                <w:lang w:eastAsia="zh-CN"/>
              </w:rPr>
              <w:t>(MSCI US REIT Net Daily Total Return Index)</w:t>
            </w:r>
          </w:p>
        </w:tc>
        <w:tc>
          <w:tcPr>
            <w:tcW w:w="1020" w:type="dxa"/>
            <w:tcBorders>
              <w:top w:val="nil"/>
              <w:left w:val="nil"/>
              <w:bottom w:val="single" w:sz="4" w:space="0" w:color="auto"/>
              <w:right w:val="nil"/>
            </w:tcBorders>
            <w:shd w:val="clear" w:color="auto" w:fill="auto"/>
            <w:noWrap/>
            <w:vAlign w:val="center"/>
            <w:hideMark/>
          </w:tcPr>
          <w:p w14:paraId="4B6F1452"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3FBD1150" w14:textId="77777777" w:rsidTr="009A63B1">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54C150B0" w14:textId="77777777" w:rsidR="00F87E3A" w:rsidRPr="00F87E3A" w:rsidRDefault="00F87E3A" w:rsidP="00F87E3A">
            <w:pPr>
              <w:widowControl/>
              <w:jc w:val="center"/>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另类投资基金</w:t>
            </w:r>
          </w:p>
        </w:tc>
        <w:tc>
          <w:tcPr>
            <w:tcW w:w="5102" w:type="dxa"/>
            <w:gridSpan w:val="2"/>
            <w:tcBorders>
              <w:top w:val="single" w:sz="4" w:space="0" w:color="auto"/>
              <w:left w:val="nil"/>
              <w:bottom w:val="nil"/>
              <w:right w:val="nil"/>
            </w:tcBorders>
            <w:shd w:val="clear" w:color="auto" w:fill="auto"/>
            <w:noWrap/>
            <w:vAlign w:val="center"/>
            <w:hideMark/>
          </w:tcPr>
          <w:p w14:paraId="174151DF"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一年期银行定期存款利率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single" w:sz="4" w:space="0" w:color="auto"/>
              <w:left w:val="nil"/>
              <w:bottom w:val="nil"/>
              <w:right w:val="nil"/>
            </w:tcBorders>
            <w:shd w:val="clear" w:color="auto" w:fill="auto"/>
            <w:noWrap/>
            <w:vAlign w:val="center"/>
            <w:hideMark/>
          </w:tcPr>
          <w:p w14:paraId="3FEE9AFF"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4</w:t>
            </w:r>
          </w:p>
        </w:tc>
      </w:tr>
      <w:tr w:rsidR="009A63B1" w:rsidRPr="00F87E3A" w14:paraId="5248FD82" w14:textId="77777777" w:rsidTr="009A63B1">
        <w:trPr>
          <w:trHeight w:val="278"/>
          <w:jc w:val="right"/>
        </w:trPr>
        <w:tc>
          <w:tcPr>
            <w:tcW w:w="1680" w:type="dxa"/>
            <w:vMerge/>
            <w:tcBorders>
              <w:top w:val="nil"/>
              <w:left w:val="nil"/>
              <w:bottom w:val="nil"/>
              <w:right w:val="nil"/>
            </w:tcBorders>
            <w:vAlign w:val="center"/>
            <w:hideMark/>
          </w:tcPr>
          <w:p w14:paraId="534DFA63"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718B7703"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黄金现货实盘合约</w:t>
            </w:r>
            <w:r w:rsidRPr="00F87E3A">
              <w:rPr>
                <w:rFonts w:ascii="Arial" w:eastAsia="等线" w:hAnsi="Arial" w:cs="Arial"/>
                <w:b/>
                <w:bCs/>
                <w:color w:val="0F243E"/>
                <w:kern w:val="0"/>
                <w:sz w:val="16"/>
                <w:szCs w:val="16"/>
                <w:lang w:eastAsia="zh-CN"/>
              </w:rPr>
              <w:t>AU99.99</w:t>
            </w:r>
            <w:r w:rsidRPr="00F87E3A">
              <w:rPr>
                <w:rFonts w:ascii="Arial" w:eastAsia="等线" w:hAnsi="Arial" w:cs="Arial"/>
                <w:b/>
                <w:bCs/>
                <w:color w:val="0F243E"/>
                <w:kern w:val="0"/>
                <w:sz w:val="16"/>
                <w:szCs w:val="16"/>
                <w:lang w:eastAsia="zh-CN"/>
              </w:rPr>
              <w:t>收益率</w:t>
            </w:r>
          </w:p>
        </w:tc>
        <w:tc>
          <w:tcPr>
            <w:tcW w:w="1020" w:type="dxa"/>
            <w:tcBorders>
              <w:top w:val="nil"/>
              <w:left w:val="nil"/>
              <w:bottom w:val="nil"/>
              <w:right w:val="nil"/>
            </w:tcBorders>
            <w:shd w:val="clear" w:color="auto" w:fill="auto"/>
            <w:noWrap/>
            <w:vAlign w:val="center"/>
            <w:hideMark/>
          </w:tcPr>
          <w:p w14:paraId="0E61A022"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3</w:t>
            </w:r>
          </w:p>
        </w:tc>
      </w:tr>
      <w:tr w:rsidR="009A63B1" w:rsidRPr="00F87E3A" w14:paraId="0585ADDD" w14:textId="77777777" w:rsidTr="009A63B1">
        <w:trPr>
          <w:trHeight w:val="278"/>
          <w:jc w:val="right"/>
        </w:trPr>
        <w:tc>
          <w:tcPr>
            <w:tcW w:w="1680" w:type="dxa"/>
            <w:vMerge/>
            <w:tcBorders>
              <w:top w:val="nil"/>
              <w:left w:val="nil"/>
              <w:bottom w:val="nil"/>
              <w:right w:val="nil"/>
            </w:tcBorders>
            <w:vAlign w:val="center"/>
            <w:hideMark/>
          </w:tcPr>
          <w:p w14:paraId="5532572A"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746D887"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上海黄金交易所上海金集中定价合约</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合约代码</w:t>
            </w:r>
            <w:r w:rsidRPr="00F87E3A">
              <w:rPr>
                <w:rFonts w:ascii="Arial" w:eastAsia="等线" w:hAnsi="Arial" w:cs="Arial"/>
                <w:b/>
                <w:bCs/>
                <w:color w:val="0F243E"/>
                <w:kern w:val="0"/>
                <w:sz w:val="16"/>
                <w:szCs w:val="16"/>
                <w:lang w:eastAsia="zh-CN"/>
              </w:rPr>
              <w:t>:SHAU)</w:t>
            </w:r>
            <w:r w:rsidRPr="00F87E3A">
              <w:rPr>
                <w:rFonts w:ascii="Arial" w:eastAsia="等线" w:hAnsi="Arial" w:cs="Arial"/>
                <w:b/>
                <w:bCs/>
                <w:color w:val="0F243E"/>
                <w:kern w:val="0"/>
                <w:sz w:val="16"/>
                <w:szCs w:val="16"/>
                <w:lang w:eastAsia="zh-CN"/>
              </w:rPr>
              <w:t>午盘基准价格收益率</w:t>
            </w:r>
          </w:p>
        </w:tc>
        <w:tc>
          <w:tcPr>
            <w:tcW w:w="1020" w:type="dxa"/>
            <w:tcBorders>
              <w:top w:val="nil"/>
              <w:left w:val="nil"/>
              <w:bottom w:val="nil"/>
              <w:right w:val="nil"/>
            </w:tcBorders>
            <w:shd w:val="clear" w:color="auto" w:fill="auto"/>
            <w:noWrap/>
            <w:vAlign w:val="center"/>
            <w:hideMark/>
          </w:tcPr>
          <w:p w14:paraId="43ED6698"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3</w:t>
            </w:r>
          </w:p>
        </w:tc>
      </w:tr>
      <w:tr w:rsidR="009A63B1" w:rsidRPr="00F87E3A" w14:paraId="533CACE9" w14:textId="77777777" w:rsidTr="009A63B1">
        <w:trPr>
          <w:trHeight w:val="278"/>
          <w:jc w:val="right"/>
        </w:trPr>
        <w:tc>
          <w:tcPr>
            <w:tcW w:w="1680" w:type="dxa"/>
            <w:vMerge/>
            <w:tcBorders>
              <w:top w:val="nil"/>
              <w:left w:val="nil"/>
              <w:bottom w:val="nil"/>
              <w:right w:val="nil"/>
            </w:tcBorders>
            <w:vAlign w:val="center"/>
            <w:hideMark/>
          </w:tcPr>
          <w:p w14:paraId="746BA630"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0D37466"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1</w:t>
            </w:r>
            <w:r w:rsidRPr="00F87E3A">
              <w:rPr>
                <w:rFonts w:ascii="Arial" w:eastAsia="等线" w:hAnsi="Arial" w:cs="Arial"/>
                <w:b/>
                <w:bCs/>
                <w:color w:val="0F243E"/>
                <w:kern w:val="0"/>
                <w:sz w:val="16"/>
                <w:szCs w:val="16"/>
                <w:lang w:eastAsia="zh-CN"/>
              </w:rPr>
              <w:t>年期银行定期存款收益率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nil"/>
              <w:right w:val="nil"/>
            </w:tcBorders>
            <w:shd w:val="clear" w:color="auto" w:fill="auto"/>
            <w:noWrap/>
            <w:vAlign w:val="center"/>
            <w:hideMark/>
          </w:tcPr>
          <w:p w14:paraId="2B255BBA"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w:t>
            </w:r>
          </w:p>
        </w:tc>
      </w:tr>
      <w:tr w:rsidR="009A63B1" w:rsidRPr="00F87E3A" w14:paraId="22A16B00" w14:textId="77777777" w:rsidTr="00F06B29">
        <w:trPr>
          <w:trHeight w:val="278"/>
          <w:jc w:val="right"/>
        </w:trPr>
        <w:tc>
          <w:tcPr>
            <w:tcW w:w="1680" w:type="dxa"/>
            <w:vMerge/>
            <w:tcBorders>
              <w:top w:val="nil"/>
              <w:left w:val="nil"/>
              <w:bottom w:val="single" w:sz="8" w:space="0" w:color="auto"/>
              <w:right w:val="nil"/>
            </w:tcBorders>
            <w:vAlign w:val="center"/>
            <w:hideMark/>
          </w:tcPr>
          <w:p w14:paraId="59C24547" w14:textId="77777777" w:rsidR="00F87E3A" w:rsidRPr="00F87E3A" w:rsidRDefault="00F87E3A" w:rsidP="00F87E3A">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8" w:space="0" w:color="auto"/>
              <w:right w:val="nil"/>
            </w:tcBorders>
            <w:shd w:val="clear" w:color="auto" w:fill="auto"/>
            <w:noWrap/>
            <w:vAlign w:val="center"/>
            <w:hideMark/>
          </w:tcPr>
          <w:p w14:paraId="0CE89E72" w14:textId="77777777" w:rsidR="00F87E3A" w:rsidRPr="00F87E3A" w:rsidRDefault="00F87E3A" w:rsidP="00F87E3A">
            <w:pPr>
              <w:widowControl/>
              <w:rPr>
                <w:rFonts w:ascii="Arial" w:eastAsia="等线" w:hAnsi="Arial" w:cs="Arial"/>
                <w:b/>
                <w:bCs/>
                <w:color w:val="0F243E"/>
                <w:kern w:val="0"/>
                <w:sz w:val="16"/>
                <w:szCs w:val="16"/>
                <w:lang w:eastAsia="zh-CN"/>
              </w:rPr>
            </w:pPr>
            <w:r w:rsidRPr="00F87E3A">
              <w:rPr>
                <w:rFonts w:ascii="Arial" w:eastAsia="等线" w:hAnsi="Arial" w:cs="Arial"/>
                <w:b/>
                <w:bCs/>
                <w:color w:val="0F243E"/>
                <w:kern w:val="0"/>
                <w:sz w:val="16"/>
                <w:szCs w:val="16"/>
                <w:lang w:eastAsia="zh-CN"/>
              </w:rPr>
              <w:t>三年期银行定期存款利率</w:t>
            </w:r>
            <w:r w:rsidRPr="00F87E3A">
              <w:rPr>
                <w:rFonts w:ascii="Arial" w:eastAsia="等线" w:hAnsi="Arial" w:cs="Arial"/>
                <w:b/>
                <w:bCs/>
                <w:color w:val="0F243E"/>
                <w:kern w:val="0"/>
                <w:sz w:val="16"/>
                <w:szCs w:val="16"/>
                <w:lang w:eastAsia="zh-CN"/>
              </w:rPr>
              <w:t>(</w:t>
            </w:r>
            <w:r w:rsidRPr="00F87E3A">
              <w:rPr>
                <w:rFonts w:ascii="Arial" w:eastAsia="等线" w:hAnsi="Arial" w:cs="Arial"/>
                <w:b/>
                <w:bCs/>
                <w:color w:val="0F243E"/>
                <w:kern w:val="0"/>
                <w:sz w:val="16"/>
                <w:szCs w:val="16"/>
                <w:lang w:eastAsia="zh-CN"/>
              </w:rPr>
              <w:t>税后</w:t>
            </w:r>
            <w:r w:rsidRPr="00F87E3A">
              <w:rPr>
                <w:rFonts w:ascii="Arial" w:eastAsia="等线" w:hAnsi="Arial" w:cs="Arial"/>
                <w:b/>
                <w:bCs/>
                <w:color w:val="0F243E"/>
                <w:kern w:val="0"/>
                <w:sz w:val="16"/>
                <w:szCs w:val="16"/>
                <w:lang w:eastAsia="zh-CN"/>
              </w:rPr>
              <w:t>)</w:t>
            </w:r>
          </w:p>
        </w:tc>
        <w:tc>
          <w:tcPr>
            <w:tcW w:w="1020" w:type="dxa"/>
            <w:tcBorders>
              <w:top w:val="nil"/>
              <w:left w:val="nil"/>
              <w:bottom w:val="single" w:sz="8" w:space="0" w:color="auto"/>
              <w:right w:val="nil"/>
            </w:tcBorders>
            <w:shd w:val="clear" w:color="auto" w:fill="auto"/>
            <w:noWrap/>
            <w:vAlign w:val="center"/>
            <w:hideMark/>
          </w:tcPr>
          <w:p w14:paraId="5313333C" w14:textId="77777777" w:rsidR="00F87E3A" w:rsidRPr="00F87E3A" w:rsidRDefault="00F87E3A" w:rsidP="00F87E3A">
            <w:pPr>
              <w:widowControl/>
              <w:jc w:val="center"/>
              <w:rPr>
                <w:rFonts w:ascii="Arial" w:eastAsia="等线" w:hAnsi="Arial" w:cs="Arial"/>
                <w:color w:val="0F243E"/>
                <w:kern w:val="0"/>
                <w:sz w:val="16"/>
                <w:szCs w:val="16"/>
                <w:lang w:eastAsia="zh-CN"/>
              </w:rPr>
            </w:pPr>
            <w:r w:rsidRPr="00F87E3A">
              <w:rPr>
                <w:rFonts w:ascii="Arial" w:eastAsia="等线" w:hAnsi="Arial" w:cs="Arial"/>
                <w:color w:val="0F243E"/>
                <w:kern w:val="0"/>
                <w:sz w:val="16"/>
                <w:szCs w:val="16"/>
                <w:lang w:eastAsia="zh-CN"/>
              </w:rPr>
              <w:t>2</w:t>
            </w:r>
          </w:p>
        </w:tc>
      </w:tr>
      <w:tr w:rsidR="00F06B29" w:rsidRPr="00F87E3A" w14:paraId="1EDC6A83" w14:textId="77777777" w:rsidTr="00D01B9E">
        <w:trPr>
          <w:trHeight w:val="278"/>
          <w:jc w:val="right"/>
        </w:trPr>
        <w:tc>
          <w:tcPr>
            <w:tcW w:w="7802" w:type="dxa"/>
            <w:gridSpan w:val="4"/>
            <w:tcBorders>
              <w:top w:val="single" w:sz="8" w:space="0" w:color="auto"/>
              <w:left w:val="nil"/>
              <w:right w:val="nil"/>
            </w:tcBorders>
            <w:vAlign w:val="center"/>
          </w:tcPr>
          <w:p w14:paraId="0DAF7306" w14:textId="2B625142" w:rsidR="00F06B29" w:rsidRPr="00F87E3A" w:rsidRDefault="00EF2613" w:rsidP="00EF2613">
            <w:pPr>
              <w:pStyle w:val="aff2"/>
              <w:ind w:leftChars="-54" w:left="-130"/>
              <w:rPr>
                <w:rFonts w:eastAsia="等线" w:cs="Arial"/>
                <w:sz w:val="16"/>
                <w:szCs w:val="16"/>
              </w:rPr>
            </w:pPr>
            <w:r w:rsidRPr="00C66411">
              <w:t>数据来源：</w:t>
            </w:r>
            <w:r>
              <w:rPr>
                <w:rFonts w:hint="eastAsia"/>
              </w:rPr>
              <w:t>Wind</w:t>
            </w:r>
            <w:r w:rsidRPr="00C66411">
              <w:rPr>
                <w:rFonts w:hint="eastAsia"/>
              </w:rPr>
              <w:t>，</w:t>
            </w:r>
            <w:r w:rsidRPr="00C66411">
              <w:t>广发证券发展研究中心</w:t>
            </w:r>
          </w:p>
        </w:tc>
      </w:tr>
    </w:tbl>
    <w:p w14:paraId="7BBDF2E8" w14:textId="77777777" w:rsidR="009307D7" w:rsidRDefault="009307D7" w:rsidP="009307D7">
      <w:pPr>
        <w:pStyle w:val="ae"/>
        <w:spacing w:beforeLines="50" w:before="163" w:afterLines="50" w:after="163" w:line="252" w:lineRule="auto"/>
        <w:ind w:left="3017"/>
        <w:jc w:val="both"/>
        <w:rPr>
          <w:lang w:eastAsia="zh-CN"/>
        </w:rPr>
      </w:pPr>
    </w:p>
    <w:tbl>
      <w:tblPr>
        <w:tblW w:w="8822" w:type="dxa"/>
        <w:jc w:val="right"/>
        <w:tblLook w:val="04A0" w:firstRow="1" w:lastRow="0" w:firstColumn="1" w:lastColumn="0" w:noHBand="0" w:noVBand="1"/>
      </w:tblPr>
      <w:tblGrid>
        <w:gridCol w:w="1680"/>
        <w:gridCol w:w="5021"/>
        <w:gridCol w:w="81"/>
        <w:gridCol w:w="939"/>
        <w:gridCol w:w="81"/>
        <w:gridCol w:w="1020"/>
      </w:tblGrid>
      <w:tr w:rsidR="00EF2613" w:rsidRPr="00F87E3A" w14:paraId="71E696BA" w14:textId="4E54F65B" w:rsidTr="00EF2613">
        <w:trPr>
          <w:gridAfter w:val="2"/>
          <w:wAfter w:w="1101" w:type="dxa"/>
          <w:trHeight w:val="285"/>
          <w:jc w:val="right"/>
        </w:trPr>
        <w:tc>
          <w:tcPr>
            <w:tcW w:w="6701" w:type="dxa"/>
            <w:gridSpan w:val="2"/>
            <w:tcBorders>
              <w:left w:val="nil"/>
              <w:bottom w:val="single" w:sz="8" w:space="0" w:color="000000"/>
              <w:right w:val="nil"/>
            </w:tcBorders>
            <w:shd w:val="clear" w:color="auto" w:fill="auto"/>
            <w:noWrap/>
            <w:vAlign w:val="center"/>
          </w:tcPr>
          <w:p w14:paraId="6D8712BC" w14:textId="7B6F40F7" w:rsidR="00EF2613" w:rsidRPr="00F87E3A" w:rsidRDefault="00EF2613" w:rsidP="00D01B9E">
            <w:pPr>
              <w:pStyle w:val="af0"/>
              <w:ind w:leftChars="-54" w:left="-130"/>
              <w:rPr>
                <w:rFonts w:ascii="楷体_GB2312" w:hAnsi="等线" w:cs="宋体"/>
                <w:b w:val="0"/>
                <w:bCs/>
                <w:sz w:val="16"/>
                <w:szCs w:val="16"/>
                <w:lang w:eastAsia="zh-CN"/>
              </w:rPr>
            </w:pPr>
            <w:bookmarkStart w:id="39" w:name="_Toc65772379"/>
            <w:r w:rsidRPr="00941673">
              <w:rPr>
                <w:rFonts w:hint="eastAsia"/>
                <w:lang w:eastAsia="zh-CN"/>
              </w:rPr>
              <w:t>表</w:t>
            </w:r>
            <w:r w:rsidRPr="00941673">
              <w:rPr>
                <w:rFonts w:hint="eastAsia"/>
                <w:lang w:eastAsia="zh-CN"/>
              </w:rPr>
              <w:t xml:space="preserve"> </w:t>
            </w:r>
            <w:r w:rsidRPr="00941673">
              <w:rPr>
                <w:lang w:eastAsia="zh-CN"/>
              </w:rPr>
              <w:fldChar w:fldCharType="begin"/>
            </w:r>
            <w:r w:rsidRPr="009A63B1">
              <w:rPr>
                <w:lang w:eastAsia="zh-CN"/>
              </w:rPr>
              <w:instrText xml:space="preserve"> </w:instrText>
            </w:r>
            <w:r w:rsidRPr="009A63B1">
              <w:rPr>
                <w:rFonts w:hint="eastAsia"/>
                <w:lang w:eastAsia="zh-CN"/>
              </w:rPr>
              <w:instrText xml:space="preserve">SEQ </w:instrText>
            </w:r>
            <w:r w:rsidRPr="009A63B1">
              <w:rPr>
                <w:rFonts w:hint="eastAsia"/>
                <w:lang w:eastAsia="zh-CN"/>
              </w:rPr>
              <w:instrText>表</w:instrText>
            </w:r>
            <w:r w:rsidRPr="009A63B1">
              <w:rPr>
                <w:rFonts w:hint="eastAsia"/>
                <w:lang w:eastAsia="zh-CN"/>
              </w:rPr>
              <w:instrText xml:space="preserve"> \* ARABIC</w:instrText>
            </w:r>
            <w:r w:rsidRPr="009A63B1">
              <w:rPr>
                <w:lang w:eastAsia="zh-CN"/>
              </w:rPr>
              <w:instrText xml:space="preserve"> </w:instrText>
            </w:r>
            <w:r w:rsidRPr="00941673">
              <w:rPr>
                <w:lang w:eastAsia="zh-CN"/>
              </w:rPr>
              <w:fldChar w:fldCharType="separate"/>
            </w:r>
            <w:r w:rsidR="0010512F">
              <w:rPr>
                <w:noProof/>
                <w:lang w:eastAsia="zh-CN"/>
              </w:rPr>
              <w:t>3</w:t>
            </w:r>
            <w:r w:rsidRPr="00941673">
              <w:rPr>
                <w:lang w:eastAsia="zh-CN"/>
              </w:rPr>
              <w:fldChar w:fldCharType="end"/>
            </w:r>
            <w:r w:rsidRPr="00941673">
              <w:rPr>
                <w:rFonts w:hint="eastAsia"/>
                <w:lang w:eastAsia="zh-CN"/>
              </w:rPr>
              <w:t>：</w:t>
            </w:r>
            <w:r>
              <w:rPr>
                <w:rFonts w:hint="eastAsia"/>
                <w:lang w:eastAsia="zh-CN"/>
              </w:rPr>
              <w:t>Wind</w:t>
            </w:r>
            <w:r>
              <w:rPr>
                <w:rFonts w:hint="eastAsia"/>
                <w:lang w:eastAsia="zh-CN"/>
              </w:rPr>
              <w:t>基金一级分类双基准基金所选基准以及对应的基金数目</w:t>
            </w:r>
            <w:bookmarkEnd w:id="39"/>
          </w:p>
        </w:tc>
        <w:tc>
          <w:tcPr>
            <w:tcW w:w="1020" w:type="dxa"/>
            <w:gridSpan w:val="2"/>
            <w:tcBorders>
              <w:left w:val="nil"/>
              <w:bottom w:val="single" w:sz="8" w:space="0" w:color="000000"/>
              <w:right w:val="nil"/>
            </w:tcBorders>
          </w:tcPr>
          <w:p w14:paraId="2C7BE3D1" w14:textId="77777777" w:rsidR="00EF2613" w:rsidRPr="00941673" w:rsidRDefault="00EF2613" w:rsidP="00D01B9E">
            <w:pPr>
              <w:pStyle w:val="af0"/>
              <w:ind w:leftChars="-54" w:left="-130"/>
              <w:rPr>
                <w:lang w:eastAsia="zh-CN"/>
              </w:rPr>
            </w:pPr>
          </w:p>
        </w:tc>
      </w:tr>
      <w:tr w:rsidR="00EF2613" w:rsidRPr="00F87E3A" w14:paraId="784AD2D5" w14:textId="27DFA2D7" w:rsidTr="00EF2613">
        <w:trPr>
          <w:trHeight w:val="285"/>
          <w:jc w:val="right"/>
        </w:trPr>
        <w:tc>
          <w:tcPr>
            <w:tcW w:w="1680" w:type="dxa"/>
            <w:tcBorders>
              <w:top w:val="single" w:sz="8" w:space="0" w:color="auto"/>
              <w:left w:val="nil"/>
              <w:bottom w:val="single" w:sz="8" w:space="0" w:color="000000"/>
              <w:right w:val="nil"/>
            </w:tcBorders>
            <w:shd w:val="clear" w:color="auto" w:fill="auto"/>
            <w:noWrap/>
            <w:vAlign w:val="center"/>
            <w:hideMark/>
          </w:tcPr>
          <w:p w14:paraId="36315515" w14:textId="1C9A1984"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Pr>
                <w:rFonts w:ascii="楷体_GB2312" w:eastAsia="楷体_GB2312" w:hAnsi="等线" w:cs="宋体" w:hint="eastAsia"/>
                <w:b/>
                <w:bCs/>
                <w:color w:val="0F243E"/>
                <w:kern w:val="0"/>
                <w:sz w:val="16"/>
                <w:szCs w:val="16"/>
                <w:lang w:eastAsia="zh-CN"/>
              </w:rPr>
              <w:t>双</w:t>
            </w:r>
            <w:r w:rsidRPr="00F87E3A">
              <w:rPr>
                <w:rFonts w:ascii="楷体_GB2312" w:eastAsia="楷体_GB2312" w:hAnsi="等线" w:cs="宋体" w:hint="eastAsia"/>
                <w:b/>
                <w:bCs/>
                <w:color w:val="0F243E"/>
                <w:kern w:val="0"/>
                <w:sz w:val="16"/>
                <w:szCs w:val="16"/>
                <w:lang w:eastAsia="zh-CN"/>
              </w:rPr>
              <w:t>基准基金</w:t>
            </w:r>
          </w:p>
        </w:tc>
        <w:tc>
          <w:tcPr>
            <w:tcW w:w="5102" w:type="dxa"/>
            <w:gridSpan w:val="2"/>
            <w:tcBorders>
              <w:top w:val="single" w:sz="8" w:space="0" w:color="auto"/>
              <w:left w:val="nil"/>
              <w:bottom w:val="single" w:sz="8" w:space="0" w:color="000000"/>
              <w:right w:val="nil"/>
            </w:tcBorders>
            <w:shd w:val="clear" w:color="auto" w:fill="auto"/>
            <w:noWrap/>
            <w:vAlign w:val="center"/>
            <w:hideMark/>
          </w:tcPr>
          <w:p w14:paraId="1D99D5AE" w14:textId="77777777"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业绩比较基准</w:t>
            </w:r>
          </w:p>
        </w:tc>
        <w:tc>
          <w:tcPr>
            <w:tcW w:w="1020" w:type="dxa"/>
            <w:gridSpan w:val="2"/>
            <w:tcBorders>
              <w:top w:val="single" w:sz="8" w:space="0" w:color="auto"/>
              <w:left w:val="nil"/>
              <w:bottom w:val="single" w:sz="8" w:space="0" w:color="000000"/>
              <w:right w:val="nil"/>
            </w:tcBorders>
            <w:shd w:val="clear" w:color="auto" w:fill="auto"/>
            <w:noWrap/>
            <w:vAlign w:val="center"/>
            <w:hideMark/>
          </w:tcPr>
          <w:p w14:paraId="31A73FE4" w14:textId="77777777"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基准对应的基金数目</w:t>
            </w:r>
          </w:p>
        </w:tc>
        <w:tc>
          <w:tcPr>
            <w:tcW w:w="1020" w:type="dxa"/>
            <w:tcBorders>
              <w:top w:val="single" w:sz="8" w:space="0" w:color="auto"/>
              <w:left w:val="nil"/>
              <w:bottom w:val="single" w:sz="8" w:space="0" w:color="000000"/>
              <w:right w:val="nil"/>
            </w:tcBorders>
          </w:tcPr>
          <w:p w14:paraId="4976EABF" w14:textId="29420F93"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EF2613">
              <w:rPr>
                <w:rFonts w:ascii="楷体_GB2312" w:eastAsia="楷体_GB2312" w:hAnsi="等线" w:cs="宋体" w:hint="eastAsia"/>
                <w:b/>
                <w:bCs/>
                <w:color w:val="0F243E"/>
                <w:kern w:val="0"/>
                <w:sz w:val="16"/>
                <w:szCs w:val="16"/>
                <w:lang w:eastAsia="zh-CN"/>
              </w:rPr>
              <w:t>基准对应的比例</w:t>
            </w:r>
          </w:p>
        </w:tc>
      </w:tr>
      <w:tr w:rsidR="00EF2613" w:rsidRPr="00F87E3A" w14:paraId="18E75DBA" w14:textId="721876A7" w:rsidTr="00D01B9E">
        <w:trPr>
          <w:trHeight w:val="278"/>
          <w:jc w:val="right"/>
        </w:trPr>
        <w:tc>
          <w:tcPr>
            <w:tcW w:w="1680" w:type="dxa"/>
            <w:vMerge w:val="restart"/>
            <w:tcBorders>
              <w:top w:val="nil"/>
              <w:left w:val="nil"/>
              <w:bottom w:val="nil"/>
              <w:right w:val="nil"/>
            </w:tcBorders>
            <w:shd w:val="clear" w:color="auto" w:fill="auto"/>
            <w:noWrap/>
            <w:vAlign w:val="center"/>
            <w:hideMark/>
          </w:tcPr>
          <w:p w14:paraId="698740BE" w14:textId="692D2662"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混合型基金</w:t>
            </w:r>
          </w:p>
        </w:tc>
        <w:tc>
          <w:tcPr>
            <w:tcW w:w="5102" w:type="dxa"/>
            <w:gridSpan w:val="2"/>
            <w:tcBorders>
              <w:top w:val="nil"/>
              <w:left w:val="nil"/>
              <w:bottom w:val="nil"/>
              <w:right w:val="nil"/>
            </w:tcBorders>
            <w:shd w:val="clear" w:color="auto" w:fill="auto"/>
            <w:noWrap/>
            <w:vAlign w:val="center"/>
            <w:hideMark/>
          </w:tcPr>
          <w:p w14:paraId="04CBB389" w14:textId="4EAA7393"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020" w:type="dxa"/>
            <w:gridSpan w:val="2"/>
            <w:tcBorders>
              <w:top w:val="nil"/>
              <w:left w:val="nil"/>
              <w:bottom w:val="nil"/>
              <w:right w:val="nil"/>
            </w:tcBorders>
            <w:shd w:val="clear" w:color="auto" w:fill="auto"/>
            <w:noWrap/>
            <w:vAlign w:val="center"/>
            <w:hideMark/>
          </w:tcPr>
          <w:p w14:paraId="15B34193" w14:textId="0D27F59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253</w:t>
            </w:r>
          </w:p>
        </w:tc>
        <w:tc>
          <w:tcPr>
            <w:tcW w:w="1020" w:type="dxa"/>
            <w:tcBorders>
              <w:top w:val="nil"/>
              <w:left w:val="nil"/>
              <w:bottom w:val="nil"/>
              <w:right w:val="nil"/>
            </w:tcBorders>
            <w:vAlign w:val="center"/>
          </w:tcPr>
          <w:p w14:paraId="2F8CD9A2" w14:textId="5105294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11.87%</w:t>
            </w:r>
          </w:p>
        </w:tc>
      </w:tr>
      <w:tr w:rsidR="00EF2613" w:rsidRPr="00F87E3A" w14:paraId="1333130B" w14:textId="4985E428" w:rsidTr="00D01B9E">
        <w:trPr>
          <w:trHeight w:val="278"/>
          <w:jc w:val="right"/>
        </w:trPr>
        <w:tc>
          <w:tcPr>
            <w:tcW w:w="1680" w:type="dxa"/>
            <w:vMerge/>
            <w:tcBorders>
              <w:top w:val="nil"/>
              <w:left w:val="nil"/>
              <w:bottom w:val="nil"/>
              <w:right w:val="nil"/>
            </w:tcBorders>
            <w:vAlign w:val="center"/>
            <w:hideMark/>
          </w:tcPr>
          <w:p w14:paraId="7F035A5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3EACED02" w14:textId="6CB415E6"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0B0D2AE4" w14:textId="7EB57F1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227</w:t>
            </w:r>
          </w:p>
        </w:tc>
        <w:tc>
          <w:tcPr>
            <w:tcW w:w="1020" w:type="dxa"/>
            <w:tcBorders>
              <w:top w:val="nil"/>
              <w:left w:val="nil"/>
              <w:bottom w:val="nil"/>
              <w:right w:val="nil"/>
            </w:tcBorders>
            <w:vAlign w:val="center"/>
          </w:tcPr>
          <w:p w14:paraId="308EB73C" w14:textId="13DAB3B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6.28%</w:t>
            </w:r>
          </w:p>
        </w:tc>
      </w:tr>
      <w:tr w:rsidR="00EF2613" w:rsidRPr="00F87E3A" w14:paraId="4A9C2811" w14:textId="6E18576E" w:rsidTr="00D01B9E">
        <w:trPr>
          <w:trHeight w:val="278"/>
          <w:jc w:val="right"/>
        </w:trPr>
        <w:tc>
          <w:tcPr>
            <w:tcW w:w="1680" w:type="dxa"/>
            <w:vMerge/>
            <w:tcBorders>
              <w:top w:val="nil"/>
              <w:left w:val="nil"/>
              <w:bottom w:val="nil"/>
              <w:right w:val="nil"/>
            </w:tcBorders>
            <w:vAlign w:val="center"/>
            <w:hideMark/>
          </w:tcPr>
          <w:p w14:paraId="296E58E6"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9554979" w14:textId="0439F957"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一年期定期存款利率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27F0593C" w14:textId="2989700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199</w:t>
            </w:r>
          </w:p>
        </w:tc>
        <w:tc>
          <w:tcPr>
            <w:tcW w:w="1020" w:type="dxa"/>
            <w:tcBorders>
              <w:top w:val="nil"/>
              <w:left w:val="nil"/>
              <w:bottom w:val="nil"/>
              <w:right w:val="nil"/>
            </w:tcBorders>
            <w:vAlign w:val="center"/>
          </w:tcPr>
          <w:p w14:paraId="36DF009C" w14:textId="189C38D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18.88%</w:t>
            </w:r>
          </w:p>
        </w:tc>
      </w:tr>
      <w:tr w:rsidR="00EF2613" w:rsidRPr="00F87E3A" w14:paraId="79570356" w14:textId="24273F02" w:rsidTr="00D01B9E">
        <w:trPr>
          <w:trHeight w:val="278"/>
          <w:jc w:val="right"/>
        </w:trPr>
        <w:tc>
          <w:tcPr>
            <w:tcW w:w="1680" w:type="dxa"/>
            <w:vMerge/>
            <w:tcBorders>
              <w:top w:val="nil"/>
              <w:left w:val="nil"/>
              <w:bottom w:val="nil"/>
              <w:right w:val="nil"/>
            </w:tcBorders>
            <w:vAlign w:val="center"/>
            <w:hideMark/>
          </w:tcPr>
          <w:p w14:paraId="63B9E2C6"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D3DB485" w14:textId="0772BCC8"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1</w:t>
            </w:r>
            <w:r>
              <w:rPr>
                <w:rFonts w:ascii="Arial" w:eastAsia="等线" w:hAnsi="Arial" w:cs="Arial"/>
                <w:b/>
                <w:bCs/>
                <w:color w:val="0F243E"/>
                <w:sz w:val="16"/>
                <w:szCs w:val="16"/>
                <w:lang w:eastAsia="zh-CN"/>
              </w:rPr>
              <w:t>年期定期存款利率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7343566A" w14:textId="203B6AB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193</w:t>
            </w:r>
          </w:p>
        </w:tc>
        <w:tc>
          <w:tcPr>
            <w:tcW w:w="1020" w:type="dxa"/>
            <w:tcBorders>
              <w:top w:val="nil"/>
              <w:left w:val="nil"/>
              <w:bottom w:val="nil"/>
              <w:right w:val="nil"/>
            </w:tcBorders>
            <w:vAlign w:val="center"/>
          </w:tcPr>
          <w:p w14:paraId="10A8FD81" w14:textId="2278C2E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10.05%</w:t>
            </w:r>
          </w:p>
        </w:tc>
      </w:tr>
      <w:tr w:rsidR="00EF2613" w:rsidRPr="00F87E3A" w14:paraId="0BA82EBC" w14:textId="3E12062B" w:rsidTr="00D01B9E">
        <w:trPr>
          <w:trHeight w:val="278"/>
          <w:jc w:val="right"/>
        </w:trPr>
        <w:tc>
          <w:tcPr>
            <w:tcW w:w="1680" w:type="dxa"/>
            <w:vMerge/>
            <w:tcBorders>
              <w:top w:val="nil"/>
              <w:left w:val="nil"/>
              <w:bottom w:val="single" w:sz="4" w:space="0" w:color="auto"/>
              <w:right w:val="nil"/>
            </w:tcBorders>
            <w:vAlign w:val="center"/>
            <w:hideMark/>
          </w:tcPr>
          <w:p w14:paraId="1A27EA90"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085E5495" w14:textId="71DC32BB"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中债综合财富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020" w:type="dxa"/>
            <w:gridSpan w:val="2"/>
            <w:tcBorders>
              <w:top w:val="nil"/>
              <w:left w:val="nil"/>
              <w:bottom w:val="single" w:sz="4" w:space="0" w:color="auto"/>
              <w:right w:val="nil"/>
            </w:tcBorders>
            <w:shd w:val="clear" w:color="auto" w:fill="auto"/>
            <w:noWrap/>
            <w:vAlign w:val="center"/>
            <w:hideMark/>
          </w:tcPr>
          <w:p w14:paraId="25DF896F" w14:textId="5282994B"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147</w:t>
            </w:r>
          </w:p>
        </w:tc>
        <w:tc>
          <w:tcPr>
            <w:tcW w:w="1020" w:type="dxa"/>
            <w:tcBorders>
              <w:top w:val="nil"/>
              <w:left w:val="nil"/>
              <w:bottom w:val="single" w:sz="4" w:space="0" w:color="auto"/>
              <w:right w:val="nil"/>
            </w:tcBorders>
            <w:vAlign w:val="center"/>
          </w:tcPr>
          <w:p w14:paraId="54838453" w14:textId="773FA437"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88.67%</w:t>
            </w:r>
          </w:p>
        </w:tc>
      </w:tr>
      <w:tr w:rsidR="00EF2613" w:rsidRPr="00F87E3A" w14:paraId="229A7337" w14:textId="547842C9"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4E1599BE" w14:textId="106779B5"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债券型基金</w:t>
            </w:r>
          </w:p>
        </w:tc>
        <w:tc>
          <w:tcPr>
            <w:tcW w:w="5102" w:type="dxa"/>
            <w:gridSpan w:val="2"/>
            <w:tcBorders>
              <w:top w:val="single" w:sz="4" w:space="0" w:color="auto"/>
              <w:left w:val="nil"/>
              <w:bottom w:val="nil"/>
              <w:right w:val="nil"/>
            </w:tcBorders>
            <w:shd w:val="clear" w:color="auto" w:fill="auto"/>
            <w:noWrap/>
            <w:vAlign w:val="center"/>
            <w:hideMark/>
          </w:tcPr>
          <w:p w14:paraId="2DB7F7C0" w14:textId="6D9ABACD"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020" w:type="dxa"/>
            <w:gridSpan w:val="2"/>
            <w:tcBorders>
              <w:top w:val="single" w:sz="4" w:space="0" w:color="auto"/>
              <w:left w:val="nil"/>
              <w:bottom w:val="nil"/>
              <w:right w:val="nil"/>
            </w:tcBorders>
            <w:shd w:val="clear" w:color="auto" w:fill="auto"/>
            <w:noWrap/>
            <w:vAlign w:val="center"/>
            <w:hideMark/>
          </w:tcPr>
          <w:p w14:paraId="05A83F8B" w14:textId="076B9D7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2136</w:t>
            </w:r>
          </w:p>
        </w:tc>
        <w:tc>
          <w:tcPr>
            <w:tcW w:w="1020" w:type="dxa"/>
            <w:tcBorders>
              <w:top w:val="single" w:sz="4" w:space="0" w:color="auto"/>
              <w:left w:val="nil"/>
              <w:bottom w:val="nil"/>
              <w:right w:val="nil"/>
            </w:tcBorders>
            <w:vAlign w:val="center"/>
          </w:tcPr>
          <w:p w14:paraId="24A702AC" w14:textId="4685B4F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51.87%</w:t>
            </w:r>
          </w:p>
        </w:tc>
      </w:tr>
      <w:tr w:rsidR="00EF2613" w:rsidRPr="00F87E3A" w14:paraId="0E2C5D93" w14:textId="361E384F" w:rsidTr="00D01B9E">
        <w:trPr>
          <w:trHeight w:val="278"/>
          <w:jc w:val="right"/>
        </w:trPr>
        <w:tc>
          <w:tcPr>
            <w:tcW w:w="1680" w:type="dxa"/>
            <w:vMerge/>
            <w:tcBorders>
              <w:top w:val="nil"/>
              <w:left w:val="nil"/>
              <w:bottom w:val="nil"/>
              <w:right w:val="nil"/>
            </w:tcBorders>
            <w:vAlign w:val="center"/>
            <w:hideMark/>
          </w:tcPr>
          <w:p w14:paraId="1A42D5E8"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114DF5B" w14:textId="31AA61FF"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上证国债指数收益率</w:t>
            </w:r>
          </w:p>
        </w:tc>
        <w:tc>
          <w:tcPr>
            <w:tcW w:w="1020" w:type="dxa"/>
            <w:gridSpan w:val="2"/>
            <w:tcBorders>
              <w:top w:val="nil"/>
              <w:left w:val="nil"/>
              <w:bottom w:val="nil"/>
              <w:right w:val="nil"/>
            </w:tcBorders>
            <w:shd w:val="clear" w:color="auto" w:fill="auto"/>
            <w:noWrap/>
            <w:vAlign w:val="center"/>
            <w:hideMark/>
          </w:tcPr>
          <w:p w14:paraId="68C950C4" w14:textId="367529C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510</w:t>
            </w:r>
          </w:p>
        </w:tc>
        <w:tc>
          <w:tcPr>
            <w:tcW w:w="1020" w:type="dxa"/>
            <w:tcBorders>
              <w:top w:val="nil"/>
              <w:left w:val="nil"/>
              <w:bottom w:val="nil"/>
              <w:right w:val="nil"/>
            </w:tcBorders>
            <w:vAlign w:val="center"/>
          </w:tcPr>
          <w:p w14:paraId="4062EE8A" w14:textId="47CFA70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41.56%</w:t>
            </w:r>
          </w:p>
        </w:tc>
      </w:tr>
      <w:tr w:rsidR="00EF2613" w:rsidRPr="00F87E3A" w14:paraId="4AE5E0C8" w14:textId="2E65F4AF" w:rsidTr="00D01B9E">
        <w:trPr>
          <w:trHeight w:val="278"/>
          <w:jc w:val="right"/>
        </w:trPr>
        <w:tc>
          <w:tcPr>
            <w:tcW w:w="1680" w:type="dxa"/>
            <w:vMerge/>
            <w:tcBorders>
              <w:top w:val="nil"/>
              <w:left w:val="nil"/>
              <w:bottom w:val="nil"/>
              <w:right w:val="nil"/>
            </w:tcBorders>
            <w:vAlign w:val="center"/>
            <w:hideMark/>
          </w:tcPr>
          <w:p w14:paraId="570E993B"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6195B8D" w14:textId="72D66822"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中证全债指数收益率</w:t>
            </w:r>
          </w:p>
        </w:tc>
        <w:tc>
          <w:tcPr>
            <w:tcW w:w="1020" w:type="dxa"/>
            <w:gridSpan w:val="2"/>
            <w:tcBorders>
              <w:top w:val="nil"/>
              <w:left w:val="nil"/>
              <w:bottom w:val="nil"/>
              <w:right w:val="nil"/>
            </w:tcBorders>
            <w:shd w:val="clear" w:color="auto" w:fill="auto"/>
            <w:noWrap/>
            <w:vAlign w:val="center"/>
            <w:hideMark/>
          </w:tcPr>
          <w:p w14:paraId="75DA185F" w14:textId="2E7B4CB7"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494</w:t>
            </w:r>
          </w:p>
        </w:tc>
        <w:tc>
          <w:tcPr>
            <w:tcW w:w="1020" w:type="dxa"/>
            <w:tcBorders>
              <w:top w:val="nil"/>
              <w:left w:val="nil"/>
              <w:bottom w:val="nil"/>
              <w:right w:val="nil"/>
            </w:tcBorders>
            <w:vAlign w:val="center"/>
          </w:tcPr>
          <w:p w14:paraId="18689B2B" w14:textId="4B3AD1C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47.81%</w:t>
            </w:r>
          </w:p>
        </w:tc>
      </w:tr>
      <w:tr w:rsidR="00EF2613" w:rsidRPr="00F87E3A" w14:paraId="0613413B" w14:textId="00157FF1" w:rsidTr="00D01B9E">
        <w:trPr>
          <w:trHeight w:val="278"/>
          <w:jc w:val="right"/>
        </w:trPr>
        <w:tc>
          <w:tcPr>
            <w:tcW w:w="1680" w:type="dxa"/>
            <w:vMerge/>
            <w:tcBorders>
              <w:top w:val="nil"/>
              <w:left w:val="nil"/>
              <w:bottom w:val="nil"/>
              <w:right w:val="nil"/>
            </w:tcBorders>
            <w:vAlign w:val="center"/>
            <w:hideMark/>
          </w:tcPr>
          <w:p w14:paraId="6FED44A0"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7C6EA482" w14:textId="228B5F6C"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中债综合指数收益率</w:t>
            </w:r>
          </w:p>
        </w:tc>
        <w:tc>
          <w:tcPr>
            <w:tcW w:w="1020" w:type="dxa"/>
            <w:gridSpan w:val="2"/>
            <w:tcBorders>
              <w:top w:val="nil"/>
              <w:left w:val="nil"/>
              <w:bottom w:val="nil"/>
              <w:right w:val="nil"/>
            </w:tcBorders>
            <w:shd w:val="clear" w:color="auto" w:fill="auto"/>
            <w:noWrap/>
            <w:vAlign w:val="center"/>
            <w:hideMark/>
          </w:tcPr>
          <w:p w14:paraId="3BAA0F21" w14:textId="26DC251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432</w:t>
            </w:r>
          </w:p>
        </w:tc>
        <w:tc>
          <w:tcPr>
            <w:tcW w:w="1020" w:type="dxa"/>
            <w:tcBorders>
              <w:top w:val="nil"/>
              <w:left w:val="nil"/>
              <w:bottom w:val="nil"/>
              <w:right w:val="nil"/>
            </w:tcBorders>
            <w:vAlign w:val="center"/>
          </w:tcPr>
          <w:p w14:paraId="53D9E052" w14:textId="6687F098"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47.00%</w:t>
            </w:r>
          </w:p>
        </w:tc>
      </w:tr>
      <w:tr w:rsidR="00EF2613" w:rsidRPr="00F87E3A" w14:paraId="4CECD195" w14:textId="687F843A" w:rsidTr="00D01B9E">
        <w:trPr>
          <w:trHeight w:val="278"/>
          <w:jc w:val="right"/>
        </w:trPr>
        <w:tc>
          <w:tcPr>
            <w:tcW w:w="1680" w:type="dxa"/>
            <w:vMerge/>
            <w:tcBorders>
              <w:top w:val="nil"/>
              <w:left w:val="nil"/>
              <w:bottom w:val="single" w:sz="4" w:space="0" w:color="auto"/>
              <w:right w:val="nil"/>
            </w:tcBorders>
            <w:vAlign w:val="center"/>
            <w:hideMark/>
          </w:tcPr>
          <w:p w14:paraId="2BBA188D"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1D4CA1D5" w14:textId="3013C421"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中证综合债指数收益率</w:t>
            </w:r>
          </w:p>
        </w:tc>
        <w:tc>
          <w:tcPr>
            <w:tcW w:w="1020" w:type="dxa"/>
            <w:gridSpan w:val="2"/>
            <w:tcBorders>
              <w:top w:val="nil"/>
              <w:left w:val="nil"/>
              <w:bottom w:val="single" w:sz="4" w:space="0" w:color="auto"/>
              <w:right w:val="nil"/>
            </w:tcBorders>
            <w:shd w:val="clear" w:color="auto" w:fill="auto"/>
            <w:noWrap/>
            <w:vAlign w:val="center"/>
            <w:hideMark/>
          </w:tcPr>
          <w:p w14:paraId="1FE91C3B" w14:textId="248601A7"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284</w:t>
            </w:r>
          </w:p>
        </w:tc>
        <w:tc>
          <w:tcPr>
            <w:tcW w:w="1020" w:type="dxa"/>
            <w:tcBorders>
              <w:top w:val="nil"/>
              <w:left w:val="nil"/>
              <w:bottom w:val="single" w:sz="4" w:space="0" w:color="auto"/>
              <w:right w:val="nil"/>
            </w:tcBorders>
            <w:vAlign w:val="center"/>
          </w:tcPr>
          <w:p w14:paraId="7F0095C2" w14:textId="43FA1E1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46.61%</w:t>
            </w:r>
          </w:p>
        </w:tc>
      </w:tr>
      <w:tr w:rsidR="00EF2613" w:rsidRPr="00F87E3A" w14:paraId="0C78E149" w14:textId="547E3ADF"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34312C47" w14:textId="672FBDF1"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股票型基金</w:t>
            </w:r>
          </w:p>
        </w:tc>
        <w:tc>
          <w:tcPr>
            <w:tcW w:w="5102" w:type="dxa"/>
            <w:gridSpan w:val="2"/>
            <w:tcBorders>
              <w:top w:val="single" w:sz="4" w:space="0" w:color="auto"/>
              <w:left w:val="nil"/>
              <w:bottom w:val="nil"/>
              <w:right w:val="nil"/>
            </w:tcBorders>
            <w:shd w:val="clear" w:color="auto" w:fill="auto"/>
            <w:noWrap/>
            <w:vAlign w:val="center"/>
            <w:hideMark/>
          </w:tcPr>
          <w:p w14:paraId="5D7C6FE4" w14:textId="07CA6009"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single" w:sz="4" w:space="0" w:color="auto"/>
              <w:left w:val="nil"/>
              <w:bottom w:val="nil"/>
              <w:right w:val="nil"/>
            </w:tcBorders>
            <w:shd w:val="clear" w:color="auto" w:fill="auto"/>
            <w:noWrap/>
            <w:vAlign w:val="center"/>
            <w:hideMark/>
          </w:tcPr>
          <w:p w14:paraId="09DD5E57" w14:textId="2E0A537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399</w:t>
            </w:r>
          </w:p>
        </w:tc>
        <w:tc>
          <w:tcPr>
            <w:tcW w:w="1020" w:type="dxa"/>
            <w:tcBorders>
              <w:top w:val="single" w:sz="4" w:space="0" w:color="auto"/>
              <w:left w:val="nil"/>
              <w:bottom w:val="nil"/>
              <w:right w:val="nil"/>
            </w:tcBorders>
            <w:vAlign w:val="center"/>
          </w:tcPr>
          <w:p w14:paraId="09A55F8C" w14:textId="5D30583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5.18%</w:t>
            </w:r>
          </w:p>
        </w:tc>
      </w:tr>
      <w:tr w:rsidR="00EF2613" w:rsidRPr="00F87E3A" w14:paraId="386EF4FD" w14:textId="284F2BDE" w:rsidTr="00D01B9E">
        <w:trPr>
          <w:trHeight w:val="278"/>
          <w:jc w:val="right"/>
        </w:trPr>
        <w:tc>
          <w:tcPr>
            <w:tcW w:w="1680" w:type="dxa"/>
            <w:vMerge/>
            <w:tcBorders>
              <w:top w:val="nil"/>
              <w:left w:val="nil"/>
              <w:bottom w:val="nil"/>
              <w:right w:val="nil"/>
            </w:tcBorders>
            <w:vAlign w:val="center"/>
            <w:hideMark/>
          </w:tcPr>
          <w:p w14:paraId="14677168"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5F766BFC" w14:textId="728F02B1"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020" w:type="dxa"/>
            <w:gridSpan w:val="2"/>
            <w:tcBorders>
              <w:top w:val="nil"/>
              <w:left w:val="nil"/>
              <w:bottom w:val="nil"/>
              <w:right w:val="nil"/>
            </w:tcBorders>
            <w:shd w:val="clear" w:color="auto" w:fill="auto"/>
            <w:noWrap/>
            <w:vAlign w:val="center"/>
            <w:hideMark/>
          </w:tcPr>
          <w:p w14:paraId="5D198E24" w14:textId="570EF57B"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230</w:t>
            </w:r>
          </w:p>
        </w:tc>
        <w:tc>
          <w:tcPr>
            <w:tcW w:w="1020" w:type="dxa"/>
            <w:tcBorders>
              <w:top w:val="nil"/>
              <w:left w:val="nil"/>
              <w:bottom w:val="nil"/>
              <w:right w:val="nil"/>
            </w:tcBorders>
            <w:vAlign w:val="center"/>
          </w:tcPr>
          <w:p w14:paraId="0052AB5C" w14:textId="73EC48E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89.54%</w:t>
            </w:r>
          </w:p>
        </w:tc>
      </w:tr>
      <w:tr w:rsidR="00EF2613" w:rsidRPr="00F87E3A" w14:paraId="7A42C17B" w14:textId="7E849560" w:rsidTr="00D01B9E">
        <w:trPr>
          <w:trHeight w:val="278"/>
          <w:jc w:val="right"/>
        </w:trPr>
        <w:tc>
          <w:tcPr>
            <w:tcW w:w="1680" w:type="dxa"/>
            <w:vMerge/>
            <w:tcBorders>
              <w:top w:val="nil"/>
              <w:left w:val="nil"/>
              <w:bottom w:val="nil"/>
              <w:right w:val="nil"/>
            </w:tcBorders>
            <w:vAlign w:val="center"/>
            <w:hideMark/>
          </w:tcPr>
          <w:p w14:paraId="13B955B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8194197" w14:textId="5368E61C"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1020" w:type="dxa"/>
            <w:gridSpan w:val="2"/>
            <w:tcBorders>
              <w:top w:val="nil"/>
              <w:left w:val="nil"/>
              <w:bottom w:val="nil"/>
              <w:right w:val="nil"/>
            </w:tcBorders>
            <w:shd w:val="clear" w:color="auto" w:fill="auto"/>
            <w:noWrap/>
            <w:vAlign w:val="center"/>
            <w:hideMark/>
          </w:tcPr>
          <w:p w14:paraId="0BF612FA" w14:textId="011757E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145</w:t>
            </w:r>
          </w:p>
        </w:tc>
        <w:tc>
          <w:tcPr>
            <w:tcW w:w="1020" w:type="dxa"/>
            <w:tcBorders>
              <w:top w:val="nil"/>
              <w:left w:val="nil"/>
              <w:bottom w:val="nil"/>
              <w:right w:val="nil"/>
            </w:tcBorders>
            <w:vAlign w:val="center"/>
          </w:tcPr>
          <w:p w14:paraId="3F63837B" w14:textId="7794F74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93.86%</w:t>
            </w:r>
          </w:p>
        </w:tc>
      </w:tr>
      <w:tr w:rsidR="00EF2613" w:rsidRPr="00F87E3A" w14:paraId="01F7D958" w14:textId="67B7D46E" w:rsidTr="00D01B9E">
        <w:trPr>
          <w:trHeight w:val="278"/>
          <w:jc w:val="right"/>
        </w:trPr>
        <w:tc>
          <w:tcPr>
            <w:tcW w:w="1680" w:type="dxa"/>
            <w:vMerge/>
            <w:tcBorders>
              <w:top w:val="nil"/>
              <w:left w:val="nil"/>
              <w:bottom w:val="nil"/>
              <w:right w:val="nil"/>
            </w:tcBorders>
            <w:vAlign w:val="center"/>
            <w:hideMark/>
          </w:tcPr>
          <w:p w14:paraId="6E058284"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46D0573" w14:textId="26982342"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银行人民币活期存款利率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45770496" w14:textId="0BA54BA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140</w:t>
            </w:r>
          </w:p>
        </w:tc>
        <w:tc>
          <w:tcPr>
            <w:tcW w:w="1020" w:type="dxa"/>
            <w:tcBorders>
              <w:top w:val="nil"/>
              <w:left w:val="nil"/>
              <w:bottom w:val="nil"/>
              <w:right w:val="nil"/>
            </w:tcBorders>
            <w:vAlign w:val="center"/>
          </w:tcPr>
          <w:p w14:paraId="125D7C7F" w14:textId="5F552A7A"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5.36%</w:t>
            </w:r>
          </w:p>
        </w:tc>
      </w:tr>
      <w:tr w:rsidR="00EF2613" w:rsidRPr="00F87E3A" w14:paraId="7E6A8026" w14:textId="277DC345" w:rsidTr="00D01B9E">
        <w:trPr>
          <w:trHeight w:val="278"/>
          <w:jc w:val="right"/>
        </w:trPr>
        <w:tc>
          <w:tcPr>
            <w:tcW w:w="1680" w:type="dxa"/>
            <w:vMerge/>
            <w:tcBorders>
              <w:top w:val="nil"/>
              <w:left w:val="nil"/>
              <w:bottom w:val="single" w:sz="4" w:space="0" w:color="auto"/>
              <w:right w:val="nil"/>
            </w:tcBorders>
            <w:vAlign w:val="center"/>
            <w:hideMark/>
          </w:tcPr>
          <w:p w14:paraId="1C59B93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39227DCC" w14:textId="24260C61"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商业银行活期存款利率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single" w:sz="4" w:space="0" w:color="auto"/>
              <w:right w:val="nil"/>
            </w:tcBorders>
            <w:shd w:val="clear" w:color="auto" w:fill="auto"/>
            <w:noWrap/>
            <w:vAlign w:val="center"/>
            <w:hideMark/>
          </w:tcPr>
          <w:p w14:paraId="7B40C24A" w14:textId="6E84D58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81</w:t>
            </w:r>
          </w:p>
        </w:tc>
        <w:tc>
          <w:tcPr>
            <w:tcW w:w="1020" w:type="dxa"/>
            <w:tcBorders>
              <w:top w:val="nil"/>
              <w:left w:val="nil"/>
              <w:bottom w:val="single" w:sz="4" w:space="0" w:color="auto"/>
              <w:right w:val="nil"/>
            </w:tcBorders>
            <w:vAlign w:val="center"/>
          </w:tcPr>
          <w:p w14:paraId="1EB8EB36" w14:textId="7901CC0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5.80%</w:t>
            </w:r>
          </w:p>
        </w:tc>
      </w:tr>
      <w:tr w:rsidR="00EF2613" w:rsidRPr="00F87E3A" w14:paraId="0B09345D" w14:textId="3724327C"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56C327F7" w14:textId="67BE7E08"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国际</w:t>
            </w:r>
            <w:r>
              <w:rPr>
                <w:rFonts w:ascii="Arial" w:eastAsia="等线" w:hAnsi="Arial" w:cs="Arial"/>
                <w:b/>
                <w:bCs/>
                <w:color w:val="0F243E"/>
                <w:sz w:val="16"/>
                <w:szCs w:val="16"/>
              </w:rPr>
              <w:t>(QDII)</w:t>
            </w:r>
            <w:r>
              <w:rPr>
                <w:rFonts w:ascii="Arial" w:eastAsia="等线" w:hAnsi="Arial" w:cs="Arial"/>
                <w:b/>
                <w:bCs/>
                <w:color w:val="0F243E"/>
                <w:sz w:val="16"/>
                <w:szCs w:val="16"/>
              </w:rPr>
              <w:t>基金</w:t>
            </w:r>
          </w:p>
        </w:tc>
        <w:tc>
          <w:tcPr>
            <w:tcW w:w="5102" w:type="dxa"/>
            <w:gridSpan w:val="2"/>
            <w:tcBorders>
              <w:top w:val="single" w:sz="4" w:space="0" w:color="auto"/>
              <w:left w:val="nil"/>
              <w:bottom w:val="nil"/>
              <w:right w:val="nil"/>
            </w:tcBorders>
            <w:shd w:val="clear" w:color="auto" w:fill="auto"/>
            <w:noWrap/>
            <w:vAlign w:val="center"/>
            <w:hideMark/>
          </w:tcPr>
          <w:p w14:paraId="17E119CE" w14:textId="20B68323"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single" w:sz="4" w:space="0" w:color="auto"/>
              <w:left w:val="nil"/>
              <w:bottom w:val="nil"/>
              <w:right w:val="nil"/>
            </w:tcBorders>
            <w:shd w:val="clear" w:color="auto" w:fill="auto"/>
            <w:noWrap/>
            <w:vAlign w:val="center"/>
            <w:hideMark/>
          </w:tcPr>
          <w:p w14:paraId="31A7BCF8" w14:textId="463286D8"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34</w:t>
            </w:r>
          </w:p>
        </w:tc>
        <w:tc>
          <w:tcPr>
            <w:tcW w:w="1020" w:type="dxa"/>
            <w:tcBorders>
              <w:top w:val="single" w:sz="4" w:space="0" w:color="auto"/>
              <w:left w:val="nil"/>
              <w:bottom w:val="nil"/>
              <w:right w:val="nil"/>
            </w:tcBorders>
            <w:vAlign w:val="center"/>
          </w:tcPr>
          <w:p w14:paraId="02B19DE9" w14:textId="1B6BD8E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8.09%</w:t>
            </w:r>
          </w:p>
        </w:tc>
      </w:tr>
      <w:tr w:rsidR="00EF2613" w:rsidRPr="00F87E3A" w14:paraId="384501E6" w14:textId="7303A578" w:rsidTr="00D01B9E">
        <w:trPr>
          <w:trHeight w:val="278"/>
          <w:jc w:val="right"/>
        </w:trPr>
        <w:tc>
          <w:tcPr>
            <w:tcW w:w="1680" w:type="dxa"/>
            <w:vMerge/>
            <w:tcBorders>
              <w:top w:val="nil"/>
              <w:left w:val="nil"/>
              <w:bottom w:val="nil"/>
              <w:right w:val="nil"/>
            </w:tcBorders>
            <w:vAlign w:val="center"/>
            <w:hideMark/>
          </w:tcPr>
          <w:p w14:paraId="7B2A8516"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29408AC4" w14:textId="4B49A979"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活期存款利率</w:t>
            </w:r>
            <w:r>
              <w:rPr>
                <w:rFonts w:ascii="Arial" w:eastAsia="等线" w:hAnsi="Arial" w:cs="Arial"/>
                <w:b/>
                <w:bCs/>
                <w:color w:val="0F243E"/>
                <w:sz w:val="16"/>
                <w:szCs w:val="16"/>
              </w:rPr>
              <w:t>(</w:t>
            </w:r>
            <w:r>
              <w:rPr>
                <w:rFonts w:ascii="Arial" w:eastAsia="等线" w:hAnsi="Arial" w:cs="Arial"/>
                <w:b/>
                <w:bCs/>
                <w:color w:val="0F243E"/>
                <w:sz w:val="16"/>
                <w:szCs w:val="16"/>
              </w:rPr>
              <w:t>税后</w:t>
            </w:r>
            <w:r>
              <w:rPr>
                <w:rFonts w:ascii="Arial" w:eastAsia="等线" w:hAnsi="Arial" w:cs="Arial"/>
                <w:b/>
                <w:bCs/>
                <w:color w:val="0F243E"/>
                <w:sz w:val="16"/>
                <w:szCs w:val="16"/>
              </w:rPr>
              <w:t>)</w:t>
            </w:r>
          </w:p>
        </w:tc>
        <w:tc>
          <w:tcPr>
            <w:tcW w:w="1020" w:type="dxa"/>
            <w:gridSpan w:val="2"/>
            <w:tcBorders>
              <w:top w:val="nil"/>
              <w:left w:val="nil"/>
              <w:bottom w:val="nil"/>
              <w:right w:val="nil"/>
            </w:tcBorders>
            <w:shd w:val="clear" w:color="auto" w:fill="auto"/>
            <w:noWrap/>
            <w:vAlign w:val="center"/>
            <w:hideMark/>
          </w:tcPr>
          <w:p w14:paraId="2C1838BA" w14:textId="23FE8725"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28</w:t>
            </w:r>
          </w:p>
        </w:tc>
        <w:tc>
          <w:tcPr>
            <w:tcW w:w="1020" w:type="dxa"/>
            <w:tcBorders>
              <w:top w:val="nil"/>
              <w:left w:val="nil"/>
              <w:bottom w:val="nil"/>
              <w:right w:val="nil"/>
            </w:tcBorders>
            <w:vAlign w:val="center"/>
          </w:tcPr>
          <w:p w14:paraId="6DEFE4C7" w14:textId="769367E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5.00%</w:t>
            </w:r>
          </w:p>
        </w:tc>
      </w:tr>
      <w:tr w:rsidR="00EF2613" w:rsidRPr="00F87E3A" w14:paraId="384A9F0A" w14:textId="2728A4B3" w:rsidTr="00D01B9E">
        <w:trPr>
          <w:trHeight w:val="278"/>
          <w:jc w:val="right"/>
        </w:trPr>
        <w:tc>
          <w:tcPr>
            <w:tcW w:w="1680" w:type="dxa"/>
            <w:vMerge/>
            <w:tcBorders>
              <w:top w:val="nil"/>
              <w:left w:val="nil"/>
              <w:bottom w:val="nil"/>
              <w:right w:val="nil"/>
            </w:tcBorders>
            <w:vAlign w:val="center"/>
            <w:hideMark/>
          </w:tcPr>
          <w:p w14:paraId="4A66B596"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1511DF2" w14:textId="386689CD"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商业银行活期存款基准利率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7FF6C0AD" w14:textId="240E8BE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20</w:t>
            </w:r>
          </w:p>
        </w:tc>
        <w:tc>
          <w:tcPr>
            <w:tcW w:w="1020" w:type="dxa"/>
            <w:tcBorders>
              <w:top w:val="nil"/>
              <w:left w:val="nil"/>
              <w:bottom w:val="nil"/>
              <w:right w:val="nil"/>
            </w:tcBorders>
            <w:vAlign w:val="center"/>
          </w:tcPr>
          <w:p w14:paraId="5D432AFC" w14:textId="5D1B228B"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6.00%</w:t>
            </w:r>
          </w:p>
        </w:tc>
      </w:tr>
      <w:tr w:rsidR="00EF2613" w:rsidRPr="00F87E3A" w14:paraId="298E7F63" w14:textId="74D4FC15" w:rsidTr="00D01B9E">
        <w:trPr>
          <w:trHeight w:val="278"/>
          <w:jc w:val="right"/>
        </w:trPr>
        <w:tc>
          <w:tcPr>
            <w:tcW w:w="1680" w:type="dxa"/>
            <w:vMerge/>
            <w:tcBorders>
              <w:top w:val="nil"/>
              <w:left w:val="nil"/>
              <w:bottom w:val="nil"/>
              <w:right w:val="nil"/>
            </w:tcBorders>
            <w:vAlign w:val="center"/>
            <w:hideMark/>
          </w:tcPr>
          <w:p w14:paraId="21C41595"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7A7CAB86" w14:textId="799F79BC"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巴克莱资本美国综合债券指数收益率</w:t>
            </w:r>
          </w:p>
        </w:tc>
        <w:tc>
          <w:tcPr>
            <w:tcW w:w="1020" w:type="dxa"/>
            <w:gridSpan w:val="2"/>
            <w:tcBorders>
              <w:top w:val="nil"/>
              <w:left w:val="nil"/>
              <w:bottom w:val="nil"/>
              <w:right w:val="nil"/>
            </w:tcBorders>
            <w:shd w:val="clear" w:color="auto" w:fill="auto"/>
            <w:noWrap/>
            <w:vAlign w:val="center"/>
            <w:hideMark/>
          </w:tcPr>
          <w:p w14:paraId="1BCD2EF0" w14:textId="15DA8C4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12</w:t>
            </w:r>
          </w:p>
        </w:tc>
        <w:tc>
          <w:tcPr>
            <w:tcW w:w="1020" w:type="dxa"/>
            <w:tcBorders>
              <w:top w:val="nil"/>
              <w:left w:val="nil"/>
              <w:bottom w:val="nil"/>
              <w:right w:val="nil"/>
            </w:tcBorders>
            <w:vAlign w:val="center"/>
          </w:tcPr>
          <w:p w14:paraId="29D7991B" w14:textId="7C433F0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93.33%</w:t>
            </w:r>
          </w:p>
        </w:tc>
      </w:tr>
      <w:tr w:rsidR="00EF2613" w:rsidRPr="00F87E3A" w14:paraId="4E4E8CC6" w14:textId="4F1974CD" w:rsidTr="00D01B9E">
        <w:trPr>
          <w:trHeight w:val="278"/>
          <w:jc w:val="right"/>
        </w:trPr>
        <w:tc>
          <w:tcPr>
            <w:tcW w:w="1680" w:type="dxa"/>
            <w:vMerge/>
            <w:tcBorders>
              <w:top w:val="nil"/>
              <w:left w:val="nil"/>
              <w:bottom w:val="single" w:sz="4" w:space="0" w:color="auto"/>
              <w:right w:val="nil"/>
            </w:tcBorders>
            <w:vAlign w:val="center"/>
            <w:hideMark/>
          </w:tcPr>
          <w:p w14:paraId="5AB9B668"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21978B86" w14:textId="12094BA4"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人民币活期存款收益率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single" w:sz="4" w:space="0" w:color="auto"/>
              <w:right w:val="nil"/>
            </w:tcBorders>
            <w:shd w:val="clear" w:color="auto" w:fill="auto"/>
            <w:noWrap/>
            <w:vAlign w:val="center"/>
            <w:hideMark/>
          </w:tcPr>
          <w:p w14:paraId="4DD0620E" w14:textId="7C1929E2"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12</w:t>
            </w:r>
          </w:p>
        </w:tc>
        <w:tc>
          <w:tcPr>
            <w:tcW w:w="1020" w:type="dxa"/>
            <w:tcBorders>
              <w:top w:val="nil"/>
              <w:left w:val="nil"/>
              <w:bottom w:val="single" w:sz="4" w:space="0" w:color="auto"/>
              <w:right w:val="nil"/>
            </w:tcBorders>
            <w:vAlign w:val="center"/>
          </w:tcPr>
          <w:p w14:paraId="1EA2CE11" w14:textId="6C68B54A"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5.83%</w:t>
            </w:r>
          </w:p>
        </w:tc>
      </w:tr>
      <w:tr w:rsidR="00EF2613" w:rsidRPr="00F87E3A" w14:paraId="68070872" w14:textId="66C823BC"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367B7207" w14:textId="7C0921A2"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另类投资基金</w:t>
            </w:r>
          </w:p>
        </w:tc>
        <w:tc>
          <w:tcPr>
            <w:tcW w:w="5102" w:type="dxa"/>
            <w:gridSpan w:val="2"/>
            <w:tcBorders>
              <w:top w:val="single" w:sz="4" w:space="0" w:color="auto"/>
              <w:left w:val="nil"/>
              <w:bottom w:val="nil"/>
              <w:right w:val="nil"/>
            </w:tcBorders>
            <w:shd w:val="clear" w:color="auto" w:fill="auto"/>
            <w:noWrap/>
            <w:vAlign w:val="center"/>
            <w:hideMark/>
          </w:tcPr>
          <w:p w14:paraId="38D2582D" w14:textId="3FF93B6B"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single" w:sz="4" w:space="0" w:color="auto"/>
              <w:left w:val="nil"/>
              <w:bottom w:val="nil"/>
              <w:right w:val="nil"/>
            </w:tcBorders>
            <w:shd w:val="clear" w:color="auto" w:fill="auto"/>
            <w:noWrap/>
            <w:vAlign w:val="center"/>
            <w:hideMark/>
          </w:tcPr>
          <w:p w14:paraId="788D83D2" w14:textId="7B48C92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11</w:t>
            </w:r>
          </w:p>
        </w:tc>
        <w:tc>
          <w:tcPr>
            <w:tcW w:w="1020" w:type="dxa"/>
            <w:tcBorders>
              <w:top w:val="single" w:sz="4" w:space="0" w:color="auto"/>
              <w:left w:val="nil"/>
              <w:bottom w:val="nil"/>
              <w:right w:val="nil"/>
            </w:tcBorders>
            <w:vAlign w:val="center"/>
          </w:tcPr>
          <w:p w14:paraId="270FE107" w14:textId="3258D77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5.45%</w:t>
            </w:r>
          </w:p>
        </w:tc>
      </w:tr>
      <w:tr w:rsidR="00EF2613" w:rsidRPr="00F87E3A" w14:paraId="7850E214" w14:textId="27389B71" w:rsidTr="00D01B9E">
        <w:trPr>
          <w:trHeight w:val="278"/>
          <w:jc w:val="right"/>
        </w:trPr>
        <w:tc>
          <w:tcPr>
            <w:tcW w:w="1680" w:type="dxa"/>
            <w:vMerge/>
            <w:tcBorders>
              <w:top w:val="nil"/>
              <w:left w:val="nil"/>
              <w:bottom w:val="nil"/>
              <w:right w:val="nil"/>
            </w:tcBorders>
            <w:vAlign w:val="center"/>
            <w:hideMark/>
          </w:tcPr>
          <w:p w14:paraId="70DBF2AD"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0F9BAF4" w14:textId="3863D799"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固定利率</w:t>
            </w:r>
            <w:r>
              <w:rPr>
                <w:rFonts w:ascii="Arial" w:eastAsia="等线" w:hAnsi="Arial" w:cs="Arial"/>
                <w:b/>
                <w:bCs/>
                <w:color w:val="0F243E"/>
                <w:sz w:val="16"/>
                <w:szCs w:val="16"/>
              </w:rPr>
              <w:t>3%</w:t>
            </w:r>
          </w:p>
        </w:tc>
        <w:tc>
          <w:tcPr>
            <w:tcW w:w="1020" w:type="dxa"/>
            <w:gridSpan w:val="2"/>
            <w:tcBorders>
              <w:top w:val="nil"/>
              <w:left w:val="nil"/>
              <w:bottom w:val="nil"/>
              <w:right w:val="nil"/>
            </w:tcBorders>
            <w:shd w:val="clear" w:color="auto" w:fill="auto"/>
            <w:noWrap/>
            <w:vAlign w:val="center"/>
            <w:hideMark/>
          </w:tcPr>
          <w:p w14:paraId="4785EFE4" w14:textId="2946F79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9</w:t>
            </w:r>
          </w:p>
        </w:tc>
        <w:tc>
          <w:tcPr>
            <w:tcW w:w="1020" w:type="dxa"/>
            <w:tcBorders>
              <w:top w:val="nil"/>
              <w:left w:val="nil"/>
              <w:bottom w:val="nil"/>
              <w:right w:val="nil"/>
            </w:tcBorders>
            <w:vAlign w:val="center"/>
          </w:tcPr>
          <w:p w14:paraId="41B005FB" w14:textId="22963BF2"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100.00%</w:t>
            </w:r>
          </w:p>
        </w:tc>
      </w:tr>
      <w:tr w:rsidR="00EF2613" w:rsidRPr="00F87E3A" w14:paraId="3B95887C" w14:textId="18E25669" w:rsidTr="00D01B9E">
        <w:trPr>
          <w:trHeight w:val="278"/>
          <w:jc w:val="right"/>
        </w:trPr>
        <w:tc>
          <w:tcPr>
            <w:tcW w:w="1680" w:type="dxa"/>
            <w:vMerge/>
            <w:tcBorders>
              <w:top w:val="nil"/>
              <w:left w:val="nil"/>
              <w:bottom w:val="nil"/>
              <w:right w:val="nil"/>
            </w:tcBorders>
            <w:vAlign w:val="center"/>
            <w:hideMark/>
          </w:tcPr>
          <w:p w14:paraId="51FE1AD1"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C57A004" w14:textId="5A1DD8F4"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中国人民银行公布的同期一年期定期存款基准利率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68A275FE" w14:textId="4303226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nil"/>
              <w:left w:val="nil"/>
              <w:bottom w:val="nil"/>
              <w:right w:val="nil"/>
            </w:tcBorders>
            <w:vAlign w:val="center"/>
          </w:tcPr>
          <w:p w14:paraId="3E19C705" w14:textId="6A4A893A"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33D614E4" w14:textId="7DF4F297" w:rsidTr="00D01B9E">
        <w:trPr>
          <w:trHeight w:val="278"/>
          <w:jc w:val="right"/>
        </w:trPr>
        <w:tc>
          <w:tcPr>
            <w:tcW w:w="1680" w:type="dxa"/>
            <w:vMerge/>
            <w:tcBorders>
              <w:top w:val="nil"/>
              <w:left w:val="nil"/>
              <w:bottom w:val="nil"/>
              <w:right w:val="nil"/>
            </w:tcBorders>
            <w:vAlign w:val="center"/>
            <w:hideMark/>
          </w:tcPr>
          <w:p w14:paraId="72A1D68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5AF34C9" w14:textId="57B0893D"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6D88CAB9" w14:textId="1B258CA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nil"/>
              <w:left w:val="nil"/>
              <w:bottom w:val="nil"/>
              <w:right w:val="nil"/>
            </w:tcBorders>
            <w:vAlign w:val="center"/>
          </w:tcPr>
          <w:p w14:paraId="390B7AA6" w14:textId="0A92D54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501EBD51" w14:textId="086D0C72" w:rsidTr="00D01B9E">
        <w:trPr>
          <w:trHeight w:val="278"/>
          <w:jc w:val="right"/>
        </w:trPr>
        <w:tc>
          <w:tcPr>
            <w:tcW w:w="1680" w:type="dxa"/>
            <w:vMerge/>
            <w:tcBorders>
              <w:top w:val="nil"/>
              <w:left w:val="nil"/>
              <w:bottom w:val="single" w:sz="4" w:space="0" w:color="auto"/>
              <w:right w:val="nil"/>
            </w:tcBorders>
            <w:vAlign w:val="center"/>
            <w:hideMark/>
          </w:tcPr>
          <w:p w14:paraId="36EC481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21959AD4" w14:textId="7A0B6D41"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上海黄金交易所上海金集中定价合约</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合约代码</w:t>
            </w:r>
            <w:r>
              <w:rPr>
                <w:rFonts w:ascii="Arial" w:eastAsia="等线" w:hAnsi="Arial" w:cs="Arial"/>
                <w:b/>
                <w:bCs/>
                <w:color w:val="0F243E"/>
                <w:sz w:val="16"/>
                <w:szCs w:val="16"/>
                <w:lang w:eastAsia="zh-CN"/>
              </w:rPr>
              <w:t>:SHAU)</w:t>
            </w:r>
            <w:r>
              <w:rPr>
                <w:rFonts w:ascii="Arial" w:eastAsia="等线" w:hAnsi="Arial" w:cs="Arial"/>
                <w:b/>
                <w:bCs/>
                <w:color w:val="0F243E"/>
                <w:sz w:val="16"/>
                <w:szCs w:val="16"/>
                <w:lang w:eastAsia="zh-CN"/>
              </w:rPr>
              <w:t>的午盘基准价格收益率</w:t>
            </w:r>
          </w:p>
        </w:tc>
        <w:tc>
          <w:tcPr>
            <w:tcW w:w="1020" w:type="dxa"/>
            <w:gridSpan w:val="2"/>
            <w:tcBorders>
              <w:top w:val="nil"/>
              <w:left w:val="nil"/>
              <w:bottom w:val="single" w:sz="4" w:space="0" w:color="auto"/>
              <w:right w:val="nil"/>
            </w:tcBorders>
            <w:shd w:val="clear" w:color="auto" w:fill="auto"/>
            <w:noWrap/>
            <w:vAlign w:val="center"/>
            <w:hideMark/>
          </w:tcPr>
          <w:p w14:paraId="03618B04" w14:textId="6997CE88"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w:t>
            </w:r>
          </w:p>
        </w:tc>
        <w:tc>
          <w:tcPr>
            <w:tcW w:w="1020" w:type="dxa"/>
            <w:tcBorders>
              <w:top w:val="nil"/>
              <w:left w:val="nil"/>
              <w:bottom w:val="single" w:sz="4" w:space="0" w:color="auto"/>
              <w:right w:val="nil"/>
            </w:tcBorders>
            <w:vAlign w:val="center"/>
          </w:tcPr>
          <w:p w14:paraId="5A833898" w14:textId="7FDB1BA8"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161D58BD" w14:textId="4F1B8B69" w:rsidTr="00EF2613">
        <w:trPr>
          <w:trHeight w:val="278"/>
          <w:jc w:val="right"/>
        </w:trPr>
        <w:tc>
          <w:tcPr>
            <w:tcW w:w="7802" w:type="dxa"/>
            <w:gridSpan w:val="5"/>
            <w:tcBorders>
              <w:top w:val="single" w:sz="8" w:space="0" w:color="auto"/>
              <w:left w:val="nil"/>
              <w:right w:val="nil"/>
            </w:tcBorders>
            <w:vAlign w:val="center"/>
          </w:tcPr>
          <w:p w14:paraId="1AC86D7F" w14:textId="77777777" w:rsidR="00EF2613" w:rsidRPr="00F87E3A" w:rsidRDefault="00EF2613" w:rsidP="00D01B9E">
            <w:pPr>
              <w:pStyle w:val="aff2"/>
              <w:ind w:leftChars="-54" w:left="-130"/>
              <w:rPr>
                <w:rFonts w:eastAsia="等线" w:cs="Arial"/>
                <w:sz w:val="16"/>
                <w:szCs w:val="16"/>
              </w:rPr>
            </w:pPr>
            <w:r w:rsidRPr="00C66411">
              <w:t>数据来源：</w:t>
            </w:r>
            <w:r>
              <w:rPr>
                <w:rFonts w:hint="eastAsia"/>
              </w:rPr>
              <w:t>Wind</w:t>
            </w:r>
            <w:r w:rsidRPr="00C66411">
              <w:rPr>
                <w:rFonts w:hint="eastAsia"/>
              </w:rPr>
              <w:t>，</w:t>
            </w:r>
            <w:r w:rsidRPr="00C66411">
              <w:t>广发证券发展研究中心</w:t>
            </w:r>
          </w:p>
        </w:tc>
        <w:tc>
          <w:tcPr>
            <w:tcW w:w="1020" w:type="dxa"/>
            <w:tcBorders>
              <w:top w:val="single" w:sz="8" w:space="0" w:color="auto"/>
              <w:left w:val="nil"/>
              <w:right w:val="nil"/>
            </w:tcBorders>
          </w:tcPr>
          <w:p w14:paraId="6EC011D6" w14:textId="77777777" w:rsidR="00EF2613" w:rsidRPr="00C66411" w:rsidRDefault="00EF2613" w:rsidP="00D01B9E">
            <w:pPr>
              <w:pStyle w:val="aff2"/>
              <w:ind w:leftChars="-54" w:left="-130"/>
            </w:pPr>
          </w:p>
        </w:tc>
      </w:tr>
    </w:tbl>
    <w:p w14:paraId="09C16411" w14:textId="22652937" w:rsidR="009307D7" w:rsidRDefault="009307D7" w:rsidP="009307D7">
      <w:pPr>
        <w:pStyle w:val="ae"/>
        <w:spacing w:beforeLines="50" w:before="163" w:afterLines="50" w:after="163" w:line="252" w:lineRule="auto"/>
        <w:ind w:left="3017"/>
        <w:jc w:val="both"/>
        <w:rPr>
          <w:lang w:eastAsia="zh-CN"/>
        </w:rPr>
      </w:pPr>
    </w:p>
    <w:tbl>
      <w:tblPr>
        <w:tblW w:w="8822" w:type="dxa"/>
        <w:jc w:val="right"/>
        <w:tblLook w:val="04A0" w:firstRow="1" w:lastRow="0" w:firstColumn="1" w:lastColumn="0" w:noHBand="0" w:noVBand="1"/>
      </w:tblPr>
      <w:tblGrid>
        <w:gridCol w:w="1680"/>
        <w:gridCol w:w="5021"/>
        <w:gridCol w:w="81"/>
        <w:gridCol w:w="939"/>
        <w:gridCol w:w="81"/>
        <w:gridCol w:w="1020"/>
      </w:tblGrid>
      <w:tr w:rsidR="00EF2613" w:rsidRPr="00F87E3A" w14:paraId="2C17C3BD" w14:textId="77777777" w:rsidTr="00D01B9E">
        <w:trPr>
          <w:gridAfter w:val="2"/>
          <w:wAfter w:w="1101" w:type="dxa"/>
          <w:trHeight w:val="285"/>
          <w:jc w:val="right"/>
        </w:trPr>
        <w:tc>
          <w:tcPr>
            <w:tcW w:w="6701" w:type="dxa"/>
            <w:gridSpan w:val="2"/>
            <w:tcBorders>
              <w:left w:val="nil"/>
              <w:bottom w:val="single" w:sz="8" w:space="0" w:color="000000"/>
              <w:right w:val="nil"/>
            </w:tcBorders>
            <w:shd w:val="clear" w:color="auto" w:fill="auto"/>
            <w:noWrap/>
            <w:vAlign w:val="center"/>
          </w:tcPr>
          <w:p w14:paraId="57D879A7" w14:textId="26519B77" w:rsidR="00EF2613" w:rsidRPr="00F87E3A" w:rsidRDefault="00EF2613" w:rsidP="00D01B9E">
            <w:pPr>
              <w:pStyle w:val="af0"/>
              <w:ind w:leftChars="-54" w:left="-130"/>
              <w:rPr>
                <w:rFonts w:ascii="楷体_GB2312" w:hAnsi="等线" w:cs="宋体"/>
                <w:b w:val="0"/>
                <w:bCs/>
                <w:sz w:val="16"/>
                <w:szCs w:val="16"/>
                <w:lang w:eastAsia="zh-CN"/>
              </w:rPr>
            </w:pPr>
            <w:bookmarkStart w:id="40" w:name="_Toc65772380"/>
            <w:r w:rsidRPr="00941673">
              <w:rPr>
                <w:rFonts w:hint="eastAsia"/>
                <w:lang w:eastAsia="zh-CN"/>
              </w:rPr>
              <w:t>表</w:t>
            </w:r>
            <w:r w:rsidRPr="00941673">
              <w:rPr>
                <w:rFonts w:hint="eastAsia"/>
                <w:lang w:eastAsia="zh-CN"/>
              </w:rPr>
              <w:t xml:space="preserve"> </w:t>
            </w:r>
            <w:r w:rsidRPr="00941673">
              <w:rPr>
                <w:lang w:eastAsia="zh-CN"/>
              </w:rPr>
              <w:fldChar w:fldCharType="begin"/>
            </w:r>
            <w:r w:rsidRPr="009A63B1">
              <w:rPr>
                <w:lang w:eastAsia="zh-CN"/>
              </w:rPr>
              <w:instrText xml:space="preserve"> </w:instrText>
            </w:r>
            <w:r w:rsidRPr="009A63B1">
              <w:rPr>
                <w:rFonts w:hint="eastAsia"/>
                <w:lang w:eastAsia="zh-CN"/>
              </w:rPr>
              <w:instrText xml:space="preserve">SEQ </w:instrText>
            </w:r>
            <w:r w:rsidRPr="009A63B1">
              <w:rPr>
                <w:rFonts w:hint="eastAsia"/>
                <w:lang w:eastAsia="zh-CN"/>
              </w:rPr>
              <w:instrText>表</w:instrText>
            </w:r>
            <w:r w:rsidRPr="009A63B1">
              <w:rPr>
                <w:rFonts w:hint="eastAsia"/>
                <w:lang w:eastAsia="zh-CN"/>
              </w:rPr>
              <w:instrText xml:space="preserve"> \* ARABIC</w:instrText>
            </w:r>
            <w:r w:rsidRPr="009A63B1">
              <w:rPr>
                <w:lang w:eastAsia="zh-CN"/>
              </w:rPr>
              <w:instrText xml:space="preserve"> </w:instrText>
            </w:r>
            <w:r w:rsidRPr="00941673">
              <w:rPr>
                <w:lang w:eastAsia="zh-CN"/>
              </w:rPr>
              <w:fldChar w:fldCharType="separate"/>
            </w:r>
            <w:r w:rsidR="0010512F">
              <w:rPr>
                <w:noProof/>
                <w:lang w:eastAsia="zh-CN"/>
              </w:rPr>
              <w:t>4</w:t>
            </w:r>
            <w:r w:rsidRPr="00941673">
              <w:rPr>
                <w:lang w:eastAsia="zh-CN"/>
              </w:rPr>
              <w:fldChar w:fldCharType="end"/>
            </w:r>
            <w:r w:rsidRPr="00941673">
              <w:rPr>
                <w:rFonts w:hint="eastAsia"/>
                <w:lang w:eastAsia="zh-CN"/>
              </w:rPr>
              <w:t>：</w:t>
            </w:r>
            <w:r>
              <w:rPr>
                <w:rFonts w:hint="eastAsia"/>
                <w:lang w:eastAsia="zh-CN"/>
              </w:rPr>
              <w:t>Wind</w:t>
            </w:r>
            <w:r>
              <w:rPr>
                <w:rFonts w:hint="eastAsia"/>
                <w:lang w:eastAsia="zh-CN"/>
              </w:rPr>
              <w:t>基金一级分类三基准基金所选基准以及对应的基金数目</w:t>
            </w:r>
            <w:bookmarkEnd w:id="40"/>
          </w:p>
        </w:tc>
        <w:tc>
          <w:tcPr>
            <w:tcW w:w="1020" w:type="dxa"/>
            <w:gridSpan w:val="2"/>
            <w:tcBorders>
              <w:left w:val="nil"/>
              <w:bottom w:val="single" w:sz="8" w:space="0" w:color="000000"/>
              <w:right w:val="nil"/>
            </w:tcBorders>
          </w:tcPr>
          <w:p w14:paraId="26BFEDEF" w14:textId="77777777" w:rsidR="00EF2613" w:rsidRPr="00941673" w:rsidRDefault="00EF2613" w:rsidP="00D01B9E">
            <w:pPr>
              <w:pStyle w:val="af0"/>
              <w:ind w:leftChars="-54" w:left="-130"/>
              <w:rPr>
                <w:lang w:eastAsia="zh-CN"/>
              </w:rPr>
            </w:pPr>
          </w:p>
        </w:tc>
      </w:tr>
      <w:tr w:rsidR="00EF2613" w:rsidRPr="00F87E3A" w14:paraId="12FF344C" w14:textId="77777777" w:rsidTr="00D01B9E">
        <w:trPr>
          <w:trHeight w:val="285"/>
          <w:jc w:val="right"/>
        </w:trPr>
        <w:tc>
          <w:tcPr>
            <w:tcW w:w="1680" w:type="dxa"/>
            <w:tcBorders>
              <w:top w:val="single" w:sz="8" w:space="0" w:color="auto"/>
              <w:left w:val="nil"/>
              <w:bottom w:val="single" w:sz="8" w:space="0" w:color="000000"/>
              <w:right w:val="nil"/>
            </w:tcBorders>
            <w:shd w:val="clear" w:color="auto" w:fill="auto"/>
            <w:noWrap/>
            <w:vAlign w:val="center"/>
            <w:hideMark/>
          </w:tcPr>
          <w:p w14:paraId="26BD024D" w14:textId="2A9886E0"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Pr>
                <w:rFonts w:ascii="楷体_GB2312" w:eastAsia="楷体_GB2312" w:hAnsi="等线" w:cs="宋体" w:hint="eastAsia"/>
                <w:b/>
                <w:bCs/>
                <w:color w:val="0F243E"/>
                <w:kern w:val="0"/>
                <w:sz w:val="16"/>
                <w:szCs w:val="16"/>
                <w:lang w:eastAsia="zh-CN"/>
              </w:rPr>
              <w:t>三</w:t>
            </w:r>
            <w:r w:rsidRPr="00F87E3A">
              <w:rPr>
                <w:rFonts w:ascii="楷体_GB2312" w:eastAsia="楷体_GB2312" w:hAnsi="等线" w:cs="宋体" w:hint="eastAsia"/>
                <w:b/>
                <w:bCs/>
                <w:color w:val="0F243E"/>
                <w:kern w:val="0"/>
                <w:sz w:val="16"/>
                <w:szCs w:val="16"/>
                <w:lang w:eastAsia="zh-CN"/>
              </w:rPr>
              <w:t>基准基金</w:t>
            </w:r>
          </w:p>
        </w:tc>
        <w:tc>
          <w:tcPr>
            <w:tcW w:w="5102" w:type="dxa"/>
            <w:gridSpan w:val="2"/>
            <w:tcBorders>
              <w:top w:val="single" w:sz="8" w:space="0" w:color="auto"/>
              <w:left w:val="nil"/>
              <w:bottom w:val="single" w:sz="8" w:space="0" w:color="000000"/>
              <w:right w:val="nil"/>
            </w:tcBorders>
            <w:shd w:val="clear" w:color="auto" w:fill="auto"/>
            <w:noWrap/>
            <w:vAlign w:val="center"/>
            <w:hideMark/>
          </w:tcPr>
          <w:p w14:paraId="3C0E193E" w14:textId="77777777"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业绩比较基准</w:t>
            </w:r>
          </w:p>
        </w:tc>
        <w:tc>
          <w:tcPr>
            <w:tcW w:w="1020" w:type="dxa"/>
            <w:gridSpan w:val="2"/>
            <w:tcBorders>
              <w:top w:val="single" w:sz="8" w:space="0" w:color="auto"/>
              <w:left w:val="nil"/>
              <w:bottom w:val="single" w:sz="8" w:space="0" w:color="000000"/>
              <w:right w:val="nil"/>
            </w:tcBorders>
            <w:shd w:val="clear" w:color="auto" w:fill="auto"/>
            <w:noWrap/>
            <w:vAlign w:val="center"/>
            <w:hideMark/>
          </w:tcPr>
          <w:p w14:paraId="03EB2E21" w14:textId="77777777"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F87E3A">
              <w:rPr>
                <w:rFonts w:ascii="楷体_GB2312" w:eastAsia="楷体_GB2312" w:hAnsi="等线" w:cs="宋体" w:hint="eastAsia"/>
                <w:b/>
                <w:bCs/>
                <w:color w:val="0F243E"/>
                <w:kern w:val="0"/>
                <w:sz w:val="16"/>
                <w:szCs w:val="16"/>
                <w:lang w:eastAsia="zh-CN"/>
              </w:rPr>
              <w:t>基准对应的基金数目</w:t>
            </w:r>
          </w:p>
        </w:tc>
        <w:tc>
          <w:tcPr>
            <w:tcW w:w="1020" w:type="dxa"/>
            <w:tcBorders>
              <w:top w:val="single" w:sz="8" w:space="0" w:color="auto"/>
              <w:left w:val="nil"/>
              <w:bottom w:val="single" w:sz="8" w:space="0" w:color="000000"/>
              <w:right w:val="nil"/>
            </w:tcBorders>
          </w:tcPr>
          <w:p w14:paraId="705549DA" w14:textId="77777777" w:rsidR="00EF2613" w:rsidRPr="00F87E3A" w:rsidRDefault="00EF2613" w:rsidP="00D01B9E">
            <w:pPr>
              <w:widowControl/>
              <w:jc w:val="center"/>
              <w:rPr>
                <w:rFonts w:ascii="楷体_GB2312" w:eastAsia="楷体_GB2312" w:hAnsi="等线" w:cs="宋体"/>
                <w:b/>
                <w:bCs/>
                <w:color w:val="0F243E"/>
                <w:kern w:val="0"/>
                <w:sz w:val="16"/>
                <w:szCs w:val="16"/>
                <w:lang w:eastAsia="zh-CN"/>
              </w:rPr>
            </w:pPr>
            <w:r w:rsidRPr="00EF2613">
              <w:rPr>
                <w:rFonts w:ascii="楷体_GB2312" w:eastAsia="楷体_GB2312" w:hAnsi="等线" w:cs="宋体" w:hint="eastAsia"/>
                <w:b/>
                <w:bCs/>
                <w:color w:val="0F243E"/>
                <w:kern w:val="0"/>
                <w:sz w:val="16"/>
                <w:szCs w:val="16"/>
                <w:lang w:eastAsia="zh-CN"/>
              </w:rPr>
              <w:t>基准对应的比例</w:t>
            </w:r>
          </w:p>
        </w:tc>
      </w:tr>
      <w:tr w:rsidR="00EF2613" w:rsidRPr="00F87E3A" w14:paraId="61E119F0" w14:textId="77777777" w:rsidTr="00D01B9E">
        <w:trPr>
          <w:trHeight w:val="278"/>
          <w:jc w:val="right"/>
        </w:trPr>
        <w:tc>
          <w:tcPr>
            <w:tcW w:w="1680" w:type="dxa"/>
            <w:vMerge w:val="restart"/>
            <w:tcBorders>
              <w:top w:val="nil"/>
              <w:left w:val="nil"/>
              <w:bottom w:val="nil"/>
              <w:right w:val="nil"/>
            </w:tcBorders>
            <w:shd w:val="clear" w:color="auto" w:fill="auto"/>
            <w:noWrap/>
            <w:vAlign w:val="center"/>
            <w:hideMark/>
          </w:tcPr>
          <w:p w14:paraId="63860413" w14:textId="77777777"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混合型基金</w:t>
            </w:r>
          </w:p>
        </w:tc>
        <w:tc>
          <w:tcPr>
            <w:tcW w:w="5102" w:type="dxa"/>
            <w:gridSpan w:val="2"/>
            <w:tcBorders>
              <w:top w:val="nil"/>
              <w:left w:val="nil"/>
              <w:bottom w:val="nil"/>
              <w:right w:val="nil"/>
            </w:tcBorders>
            <w:shd w:val="clear" w:color="auto" w:fill="auto"/>
            <w:noWrap/>
            <w:vAlign w:val="center"/>
            <w:hideMark/>
          </w:tcPr>
          <w:p w14:paraId="27573D26" w14:textId="7503BC02"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恒生指数收益率</w:t>
            </w:r>
          </w:p>
        </w:tc>
        <w:tc>
          <w:tcPr>
            <w:tcW w:w="1020" w:type="dxa"/>
            <w:gridSpan w:val="2"/>
            <w:tcBorders>
              <w:top w:val="nil"/>
              <w:left w:val="nil"/>
              <w:bottom w:val="nil"/>
              <w:right w:val="nil"/>
            </w:tcBorders>
            <w:shd w:val="clear" w:color="auto" w:fill="auto"/>
            <w:noWrap/>
            <w:vAlign w:val="center"/>
            <w:hideMark/>
          </w:tcPr>
          <w:p w14:paraId="58D19207" w14:textId="4ECB2B6A"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389</w:t>
            </w:r>
          </w:p>
        </w:tc>
        <w:tc>
          <w:tcPr>
            <w:tcW w:w="1020" w:type="dxa"/>
            <w:tcBorders>
              <w:top w:val="nil"/>
              <w:left w:val="nil"/>
              <w:bottom w:val="nil"/>
              <w:right w:val="nil"/>
            </w:tcBorders>
            <w:vAlign w:val="center"/>
          </w:tcPr>
          <w:p w14:paraId="7ADBEB5C" w14:textId="28EFDFE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14.10%</w:t>
            </w:r>
          </w:p>
        </w:tc>
      </w:tr>
      <w:tr w:rsidR="00EF2613" w:rsidRPr="00F87E3A" w14:paraId="29BC8EB5" w14:textId="77777777" w:rsidTr="00D01B9E">
        <w:trPr>
          <w:trHeight w:val="278"/>
          <w:jc w:val="right"/>
        </w:trPr>
        <w:tc>
          <w:tcPr>
            <w:tcW w:w="1680" w:type="dxa"/>
            <w:vMerge/>
            <w:tcBorders>
              <w:top w:val="nil"/>
              <w:left w:val="nil"/>
              <w:bottom w:val="nil"/>
              <w:right w:val="nil"/>
            </w:tcBorders>
            <w:vAlign w:val="center"/>
            <w:hideMark/>
          </w:tcPr>
          <w:p w14:paraId="13ACED39"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C155FCC" w14:textId="48D6EE59"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020" w:type="dxa"/>
            <w:gridSpan w:val="2"/>
            <w:tcBorders>
              <w:top w:val="nil"/>
              <w:left w:val="nil"/>
              <w:bottom w:val="nil"/>
              <w:right w:val="nil"/>
            </w:tcBorders>
            <w:shd w:val="clear" w:color="auto" w:fill="auto"/>
            <w:noWrap/>
            <w:vAlign w:val="center"/>
            <w:hideMark/>
          </w:tcPr>
          <w:p w14:paraId="0B0908E1" w14:textId="46FCD9DB"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247</w:t>
            </w:r>
          </w:p>
        </w:tc>
        <w:tc>
          <w:tcPr>
            <w:tcW w:w="1020" w:type="dxa"/>
            <w:tcBorders>
              <w:top w:val="nil"/>
              <w:left w:val="nil"/>
              <w:bottom w:val="nil"/>
              <w:right w:val="nil"/>
            </w:tcBorders>
            <w:vAlign w:val="center"/>
          </w:tcPr>
          <w:p w14:paraId="74A64546" w14:textId="10C266E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54.88%</w:t>
            </w:r>
          </w:p>
        </w:tc>
      </w:tr>
      <w:tr w:rsidR="00EF2613" w:rsidRPr="00F87E3A" w14:paraId="562D3BE3" w14:textId="77777777" w:rsidTr="00D01B9E">
        <w:trPr>
          <w:trHeight w:val="278"/>
          <w:jc w:val="right"/>
        </w:trPr>
        <w:tc>
          <w:tcPr>
            <w:tcW w:w="1680" w:type="dxa"/>
            <w:vMerge/>
            <w:tcBorders>
              <w:top w:val="nil"/>
              <w:left w:val="nil"/>
              <w:bottom w:val="nil"/>
              <w:right w:val="nil"/>
            </w:tcBorders>
            <w:vAlign w:val="center"/>
            <w:hideMark/>
          </w:tcPr>
          <w:p w14:paraId="41BB8E65"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53528DF5" w14:textId="32C1FA89"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中债综合指数收益率</w:t>
            </w:r>
          </w:p>
        </w:tc>
        <w:tc>
          <w:tcPr>
            <w:tcW w:w="1020" w:type="dxa"/>
            <w:gridSpan w:val="2"/>
            <w:tcBorders>
              <w:top w:val="nil"/>
              <w:left w:val="nil"/>
              <w:bottom w:val="nil"/>
              <w:right w:val="nil"/>
            </w:tcBorders>
            <w:shd w:val="clear" w:color="auto" w:fill="auto"/>
            <w:noWrap/>
            <w:vAlign w:val="center"/>
            <w:hideMark/>
          </w:tcPr>
          <w:p w14:paraId="211CE4F8" w14:textId="7C4B2A3A"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216</w:t>
            </w:r>
          </w:p>
        </w:tc>
        <w:tc>
          <w:tcPr>
            <w:tcW w:w="1020" w:type="dxa"/>
            <w:tcBorders>
              <w:top w:val="nil"/>
              <w:left w:val="nil"/>
              <w:bottom w:val="nil"/>
              <w:right w:val="nil"/>
            </w:tcBorders>
            <w:vAlign w:val="center"/>
          </w:tcPr>
          <w:p w14:paraId="6C88C652" w14:textId="12EEB11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42.15%</w:t>
            </w:r>
          </w:p>
        </w:tc>
      </w:tr>
      <w:tr w:rsidR="00EF2613" w:rsidRPr="00F87E3A" w14:paraId="2261C1A9" w14:textId="77777777" w:rsidTr="00D01B9E">
        <w:trPr>
          <w:trHeight w:val="278"/>
          <w:jc w:val="right"/>
        </w:trPr>
        <w:tc>
          <w:tcPr>
            <w:tcW w:w="1680" w:type="dxa"/>
            <w:vMerge/>
            <w:tcBorders>
              <w:top w:val="nil"/>
              <w:left w:val="nil"/>
              <w:bottom w:val="nil"/>
              <w:right w:val="nil"/>
            </w:tcBorders>
            <w:vAlign w:val="center"/>
            <w:hideMark/>
          </w:tcPr>
          <w:p w14:paraId="205F564C"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047E6B7E" w14:textId="6C52EBAE"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中证全债指数收益率</w:t>
            </w:r>
          </w:p>
        </w:tc>
        <w:tc>
          <w:tcPr>
            <w:tcW w:w="1020" w:type="dxa"/>
            <w:gridSpan w:val="2"/>
            <w:tcBorders>
              <w:top w:val="nil"/>
              <w:left w:val="nil"/>
              <w:bottom w:val="nil"/>
              <w:right w:val="nil"/>
            </w:tcBorders>
            <w:shd w:val="clear" w:color="auto" w:fill="auto"/>
            <w:noWrap/>
            <w:vAlign w:val="center"/>
            <w:hideMark/>
          </w:tcPr>
          <w:p w14:paraId="00EE7800" w14:textId="5D360FA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165</w:t>
            </w:r>
          </w:p>
        </w:tc>
        <w:tc>
          <w:tcPr>
            <w:tcW w:w="1020" w:type="dxa"/>
            <w:tcBorders>
              <w:top w:val="nil"/>
              <w:left w:val="nil"/>
              <w:bottom w:val="nil"/>
              <w:right w:val="nil"/>
            </w:tcBorders>
            <w:vAlign w:val="center"/>
          </w:tcPr>
          <w:p w14:paraId="577E4674" w14:textId="4C79FC4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38.27%</w:t>
            </w:r>
          </w:p>
        </w:tc>
      </w:tr>
      <w:tr w:rsidR="00EF2613" w:rsidRPr="00F87E3A" w14:paraId="028FF445" w14:textId="77777777" w:rsidTr="00D01B9E">
        <w:trPr>
          <w:trHeight w:val="278"/>
          <w:jc w:val="right"/>
        </w:trPr>
        <w:tc>
          <w:tcPr>
            <w:tcW w:w="1680" w:type="dxa"/>
            <w:vMerge/>
            <w:tcBorders>
              <w:top w:val="nil"/>
              <w:left w:val="nil"/>
              <w:bottom w:val="single" w:sz="4" w:space="0" w:color="auto"/>
              <w:right w:val="nil"/>
            </w:tcBorders>
            <w:vAlign w:val="center"/>
            <w:hideMark/>
          </w:tcPr>
          <w:p w14:paraId="1B4F3674"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48E8D39C" w14:textId="2AF550A4"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020" w:type="dxa"/>
            <w:gridSpan w:val="2"/>
            <w:tcBorders>
              <w:top w:val="nil"/>
              <w:left w:val="nil"/>
              <w:bottom w:val="single" w:sz="4" w:space="0" w:color="auto"/>
              <w:right w:val="nil"/>
            </w:tcBorders>
            <w:shd w:val="clear" w:color="auto" w:fill="auto"/>
            <w:noWrap/>
            <w:vAlign w:val="center"/>
            <w:hideMark/>
          </w:tcPr>
          <w:p w14:paraId="270AEEDA" w14:textId="099865B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107</w:t>
            </w:r>
          </w:p>
        </w:tc>
        <w:tc>
          <w:tcPr>
            <w:tcW w:w="1020" w:type="dxa"/>
            <w:tcBorders>
              <w:top w:val="nil"/>
              <w:left w:val="nil"/>
              <w:bottom w:val="single" w:sz="4" w:space="0" w:color="auto"/>
              <w:right w:val="nil"/>
            </w:tcBorders>
            <w:vAlign w:val="center"/>
          </w:tcPr>
          <w:p w14:paraId="6979D93D" w14:textId="2D58912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9.71%</w:t>
            </w:r>
          </w:p>
        </w:tc>
      </w:tr>
      <w:tr w:rsidR="00EF2613" w:rsidRPr="00F87E3A" w14:paraId="154352E7" w14:textId="77777777"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679ABF40" w14:textId="77777777"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债券型基金</w:t>
            </w:r>
          </w:p>
        </w:tc>
        <w:tc>
          <w:tcPr>
            <w:tcW w:w="5102" w:type="dxa"/>
            <w:gridSpan w:val="2"/>
            <w:tcBorders>
              <w:top w:val="single" w:sz="4" w:space="0" w:color="auto"/>
              <w:left w:val="nil"/>
              <w:bottom w:val="nil"/>
              <w:right w:val="nil"/>
            </w:tcBorders>
            <w:shd w:val="clear" w:color="auto" w:fill="auto"/>
            <w:noWrap/>
            <w:vAlign w:val="center"/>
            <w:hideMark/>
          </w:tcPr>
          <w:p w14:paraId="36A7DF55" w14:textId="6E96A5C3"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中证可转换债券指数收益率</w:t>
            </w:r>
          </w:p>
        </w:tc>
        <w:tc>
          <w:tcPr>
            <w:tcW w:w="1020" w:type="dxa"/>
            <w:gridSpan w:val="2"/>
            <w:tcBorders>
              <w:top w:val="single" w:sz="4" w:space="0" w:color="auto"/>
              <w:left w:val="nil"/>
              <w:bottom w:val="nil"/>
              <w:right w:val="nil"/>
            </w:tcBorders>
            <w:shd w:val="clear" w:color="auto" w:fill="auto"/>
            <w:noWrap/>
            <w:vAlign w:val="center"/>
            <w:hideMark/>
          </w:tcPr>
          <w:p w14:paraId="612F8BA1" w14:textId="60E3288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40</w:t>
            </w:r>
          </w:p>
        </w:tc>
        <w:tc>
          <w:tcPr>
            <w:tcW w:w="1020" w:type="dxa"/>
            <w:tcBorders>
              <w:top w:val="single" w:sz="4" w:space="0" w:color="auto"/>
              <w:left w:val="nil"/>
              <w:bottom w:val="nil"/>
              <w:right w:val="nil"/>
            </w:tcBorders>
            <w:vAlign w:val="center"/>
          </w:tcPr>
          <w:p w14:paraId="780C91D3" w14:textId="2C5EA64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63.88%</w:t>
            </w:r>
          </w:p>
        </w:tc>
      </w:tr>
      <w:tr w:rsidR="00EF2613" w:rsidRPr="00F87E3A" w14:paraId="3E656B53" w14:textId="77777777" w:rsidTr="00D01B9E">
        <w:trPr>
          <w:trHeight w:val="278"/>
          <w:jc w:val="right"/>
        </w:trPr>
        <w:tc>
          <w:tcPr>
            <w:tcW w:w="1680" w:type="dxa"/>
            <w:vMerge/>
            <w:tcBorders>
              <w:top w:val="nil"/>
              <w:left w:val="nil"/>
              <w:bottom w:val="nil"/>
              <w:right w:val="nil"/>
            </w:tcBorders>
            <w:vAlign w:val="center"/>
            <w:hideMark/>
          </w:tcPr>
          <w:p w14:paraId="52D01626"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3EE8C6B" w14:textId="279D306D"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中债综合财富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020" w:type="dxa"/>
            <w:gridSpan w:val="2"/>
            <w:tcBorders>
              <w:top w:val="nil"/>
              <w:left w:val="nil"/>
              <w:bottom w:val="nil"/>
              <w:right w:val="nil"/>
            </w:tcBorders>
            <w:shd w:val="clear" w:color="auto" w:fill="auto"/>
            <w:noWrap/>
            <w:vAlign w:val="center"/>
            <w:hideMark/>
          </w:tcPr>
          <w:p w14:paraId="418DABD4" w14:textId="40613F4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27</w:t>
            </w:r>
          </w:p>
        </w:tc>
        <w:tc>
          <w:tcPr>
            <w:tcW w:w="1020" w:type="dxa"/>
            <w:tcBorders>
              <w:top w:val="nil"/>
              <w:left w:val="nil"/>
              <w:bottom w:val="nil"/>
              <w:right w:val="nil"/>
            </w:tcBorders>
            <w:vAlign w:val="center"/>
          </w:tcPr>
          <w:p w14:paraId="7305BE60" w14:textId="684A25B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66.48%</w:t>
            </w:r>
          </w:p>
        </w:tc>
      </w:tr>
      <w:tr w:rsidR="00EF2613" w:rsidRPr="00F87E3A" w14:paraId="1C9D9B16" w14:textId="77777777" w:rsidTr="00D01B9E">
        <w:trPr>
          <w:trHeight w:val="278"/>
          <w:jc w:val="right"/>
        </w:trPr>
        <w:tc>
          <w:tcPr>
            <w:tcW w:w="1680" w:type="dxa"/>
            <w:vMerge/>
            <w:tcBorders>
              <w:top w:val="nil"/>
              <w:left w:val="nil"/>
              <w:bottom w:val="nil"/>
              <w:right w:val="nil"/>
            </w:tcBorders>
            <w:vAlign w:val="center"/>
            <w:hideMark/>
          </w:tcPr>
          <w:p w14:paraId="53D3322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8371A2A" w14:textId="5BB5C3F7"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中债综合指数收益率</w:t>
            </w:r>
          </w:p>
        </w:tc>
        <w:tc>
          <w:tcPr>
            <w:tcW w:w="1020" w:type="dxa"/>
            <w:gridSpan w:val="2"/>
            <w:tcBorders>
              <w:top w:val="nil"/>
              <w:left w:val="nil"/>
              <w:bottom w:val="nil"/>
              <w:right w:val="nil"/>
            </w:tcBorders>
            <w:shd w:val="clear" w:color="auto" w:fill="auto"/>
            <w:noWrap/>
            <w:vAlign w:val="center"/>
            <w:hideMark/>
          </w:tcPr>
          <w:p w14:paraId="24F3B8F7" w14:textId="14B4FFF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18</w:t>
            </w:r>
          </w:p>
        </w:tc>
        <w:tc>
          <w:tcPr>
            <w:tcW w:w="1020" w:type="dxa"/>
            <w:tcBorders>
              <w:top w:val="nil"/>
              <w:left w:val="nil"/>
              <w:bottom w:val="nil"/>
              <w:right w:val="nil"/>
            </w:tcBorders>
            <w:vAlign w:val="center"/>
          </w:tcPr>
          <w:p w14:paraId="350BB14D" w14:textId="6FE6F62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39.44%</w:t>
            </w:r>
          </w:p>
        </w:tc>
      </w:tr>
      <w:tr w:rsidR="00EF2613" w:rsidRPr="00F87E3A" w14:paraId="22B99AB4" w14:textId="77777777" w:rsidTr="00D01B9E">
        <w:trPr>
          <w:trHeight w:val="278"/>
          <w:jc w:val="right"/>
        </w:trPr>
        <w:tc>
          <w:tcPr>
            <w:tcW w:w="1680" w:type="dxa"/>
            <w:vMerge/>
            <w:tcBorders>
              <w:top w:val="nil"/>
              <w:left w:val="nil"/>
              <w:bottom w:val="nil"/>
              <w:right w:val="nil"/>
            </w:tcBorders>
            <w:vAlign w:val="center"/>
            <w:hideMark/>
          </w:tcPr>
          <w:p w14:paraId="655352BD"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899FBE5" w14:textId="0CF757C8"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恒生指数收益率</w:t>
            </w:r>
          </w:p>
        </w:tc>
        <w:tc>
          <w:tcPr>
            <w:tcW w:w="1020" w:type="dxa"/>
            <w:gridSpan w:val="2"/>
            <w:tcBorders>
              <w:top w:val="nil"/>
              <w:left w:val="nil"/>
              <w:bottom w:val="nil"/>
              <w:right w:val="nil"/>
            </w:tcBorders>
            <w:shd w:val="clear" w:color="auto" w:fill="auto"/>
            <w:noWrap/>
            <w:vAlign w:val="center"/>
            <w:hideMark/>
          </w:tcPr>
          <w:p w14:paraId="566154DC" w14:textId="014C57BE"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16</w:t>
            </w:r>
          </w:p>
        </w:tc>
        <w:tc>
          <w:tcPr>
            <w:tcW w:w="1020" w:type="dxa"/>
            <w:tcBorders>
              <w:top w:val="nil"/>
              <w:left w:val="nil"/>
              <w:bottom w:val="nil"/>
              <w:right w:val="nil"/>
            </w:tcBorders>
            <w:vAlign w:val="center"/>
          </w:tcPr>
          <w:p w14:paraId="6F015F80" w14:textId="612F9B0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5.67%</w:t>
            </w:r>
          </w:p>
        </w:tc>
      </w:tr>
      <w:tr w:rsidR="00EF2613" w:rsidRPr="00F87E3A" w14:paraId="0B7B6C5F" w14:textId="77777777" w:rsidTr="00D01B9E">
        <w:trPr>
          <w:trHeight w:val="278"/>
          <w:jc w:val="right"/>
        </w:trPr>
        <w:tc>
          <w:tcPr>
            <w:tcW w:w="1680" w:type="dxa"/>
            <w:vMerge/>
            <w:tcBorders>
              <w:top w:val="nil"/>
              <w:left w:val="nil"/>
              <w:bottom w:val="single" w:sz="4" w:space="0" w:color="auto"/>
              <w:right w:val="nil"/>
            </w:tcBorders>
            <w:vAlign w:val="center"/>
            <w:hideMark/>
          </w:tcPr>
          <w:p w14:paraId="45709FC4"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0CADFAC6" w14:textId="7A8E16A8"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020" w:type="dxa"/>
            <w:gridSpan w:val="2"/>
            <w:tcBorders>
              <w:top w:val="nil"/>
              <w:left w:val="nil"/>
              <w:bottom w:val="single" w:sz="4" w:space="0" w:color="auto"/>
              <w:right w:val="nil"/>
            </w:tcBorders>
            <w:shd w:val="clear" w:color="auto" w:fill="auto"/>
            <w:noWrap/>
            <w:vAlign w:val="center"/>
            <w:hideMark/>
          </w:tcPr>
          <w:p w14:paraId="097A25DF" w14:textId="2ADD00A7"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61</w:t>
            </w:r>
          </w:p>
        </w:tc>
        <w:tc>
          <w:tcPr>
            <w:tcW w:w="1020" w:type="dxa"/>
            <w:tcBorders>
              <w:top w:val="nil"/>
              <w:left w:val="nil"/>
              <w:bottom w:val="single" w:sz="4" w:space="0" w:color="auto"/>
              <w:right w:val="nil"/>
            </w:tcBorders>
            <w:vAlign w:val="center"/>
          </w:tcPr>
          <w:p w14:paraId="2E0B885F" w14:textId="631B814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58.85%</w:t>
            </w:r>
          </w:p>
        </w:tc>
      </w:tr>
      <w:tr w:rsidR="00EF2613" w:rsidRPr="00F87E3A" w14:paraId="0AC74CC8" w14:textId="77777777"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18F93368" w14:textId="77777777"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股票型基金</w:t>
            </w:r>
          </w:p>
        </w:tc>
        <w:tc>
          <w:tcPr>
            <w:tcW w:w="5102" w:type="dxa"/>
            <w:gridSpan w:val="2"/>
            <w:tcBorders>
              <w:top w:val="single" w:sz="4" w:space="0" w:color="auto"/>
              <w:left w:val="nil"/>
              <w:bottom w:val="nil"/>
              <w:right w:val="nil"/>
            </w:tcBorders>
            <w:shd w:val="clear" w:color="auto" w:fill="auto"/>
            <w:noWrap/>
            <w:vAlign w:val="center"/>
            <w:hideMark/>
          </w:tcPr>
          <w:p w14:paraId="2B35EDC8" w14:textId="4A2B2BE4"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恒生指数收益率</w:t>
            </w:r>
          </w:p>
        </w:tc>
        <w:tc>
          <w:tcPr>
            <w:tcW w:w="1020" w:type="dxa"/>
            <w:gridSpan w:val="2"/>
            <w:tcBorders>
              <w:top w:val="single" w:sz="4" w:space="0" w:color="auto"/>
              <w:left w:val="nil"/>
              <w:bottom w:val="nil"/>
              <w:right w:val="nil"/>
            </w:tcBorders>
            <w:shd w:val="clear" w:color="auto" w:fill="auto"/>
            <w:noWrap/>
            <w:vAlign w:val="center"/>
            <w:hideMark/>
          </w:tcPr>
          <w:p w14:paraId="4EEFD2B2" w14:textId="23C1BC7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38</w:t>
            </w:r>
          </w:p>
        </w:tc>
        <w:tc>
          <w:tcPr>
            <w:tcW w:w="1020" w:type="dxa"/>
            <w:tcBorders>
              <w:top w:val="single" w:sz="4" w:space="0" w:color="auto"/>
              <w:left w:val="nil"/>
              <w:bottom w:val="nil"/>
              <w:right w:val="nil"/>
            </w:tcBorders>
            <w:vAlign w:val="center"/>
          </w:tcPr>
          <w:p w14:paraId="6172C39D" w14:textId="4CF026D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21.22%</w:t>
            </w:r>
          </w:p>
        </w:tc>
      </w:tr>
      <w:tr w:rsidR="00EF2613" w:rsidRPr="00F87E3A" w14:paraId="66861A46" w14:textId="77777777" w:rsidTr="00D01B9E">
        <w:trPr>
          <w:trHeight w:val="278"/>
          <w:jc w:val="right"/>
        </w:trPr>
        <w:tc>
          <w:tcPr>
            <w:tcW w:w="1680" w:type="dxa"/>
            <w:vMerge/>
            <w:tcBorders>
              <w:top w:val="nil"/>
              <w:left w:val="nil"/>
              <w:bottom w:val="nil"/>
              <w:right w:val="nil"/>
            </w:tcBorders>
            <w:vAlign w:val="center"/>
            <w:hideMark/>
          </w:tcPr>
          <w:p w14:paraId="1AD959F8"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F5D333F" w14:textId="5892F4F0"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中证全债指数收益率</w:t>
            </w:r>
          </w:p>
        </w:tc>
        <w:tc>
          <w:tcPr>
            <w:tcW w:w="1020" w:type="dxa"/>
            <w:gridSpan w:val="2"/>
            <w:tcBorders>
              <w:top w:val="nil"/>
              <w:left w:val="nil"/>
              <w:bottom w:val="nil"/>
              <w:right w:val="nil"/>
            </w:tcBorders>
            <w:shd w:val="clear" w:color="auto" w:fill="auto"/>
            <w:noWrap/>
            <w:vAlign w:val="center"/>
            <w:hideMark/>
          </w:tcPr>
          <w:p w14:paraId="5583BB8C" w14:textId="53A838E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27</w:t>
            </w:r>
          </w:p>
        </w:tc>
        <w:tc>
          <w:tcPr>
            <w:tcW w:w="1020" w:type="dxa"/>
            <w:tcBorders>
              <w:top w:val="nil"/>
              <w:left w:val="nil"/>
              <w:bottom w:val="nil"/>
              <w:right w:val="nil"/>
            </w:tcBorders>
            <w:vAlign w:val="center"/>
          </w:tcPr>
          <w:p w14:paraId="39BEC486" w14:textId="5E95B8C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14.81%</w:t>
            </w:r>
          </w:p>
        </w:tc>
      </w:tr>
      <w:tr w:rsidR="00EF2613" w:rsidRPr="00F87E3A" w14:paraId="6858D66C" w14:textId="77777777" w:rsidTr="00D01B9E">
        <w:trPr>
          <w:trHeight w:val="278"/>
          <w:jc w:val="right"/>
        </w:trPr>
        <w:tc>
          <w:tcPr>
            <w:tcW w:w="1680" w:type="dxa"/>
            <w:vMerge/>
            <w:tcBorders>
              <w:top w:val="nil"/>
              <w:left w:val="nil"/>
              <w:bottom w:val="nil"/>
              <w:right w:val="nil"/>
            </w:tcBorders>
            <w:vAlign w:val="center"/>
            <w:hideMark/>
          </w:tcPr>
          <w:p w14:paraId="41AAE837"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549B5853" w14:textId="43A7CCCB"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中债综合指数收益率</w:t>
            </w:r>
          </w:p>
        </w:tc>
        <w:tc>
          <w:tcPr>
            <w:tcW w:w="1020" w:type="dxa"/>
            <w:gridSpan w:val="2"/>
            <w:tcBorders>
              <w:top w:val="nil"/>
              <w:left w:val="nil"/>
              <w:bottom w:val="nil"/>
              <w:right w:val="nil"/>
            </w:tcBorders>
            <w:shd w:val="clear" w:color="auto" w:fill="auto"/>
            <w:noWrap/>
            <w:vAlign w:val="center"/>
            <w:hideMark/>
          </w:tcPr>
          <w:p w14:paraId="669859E4" w14:textId="185DE13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26</w:t>
            </w:r>
          </w:p>
        </w:tc>
        <w:tc>
          <w:tcPr>
            <w:tcW w:w="1020" w:type="dxa"/>
            <w:tcBorders>
              <w:top w:val="nil"/>
              <w:left w:val="nil"/>
              <w:bottom w:val="nil"/>
              <w:right w:val="nil"/>
            </w:tcBorders>
            <w:vAlign w:val="center"/>
          </w:tcPr>
          <w:p w14:paraId="7DBD75B0" w14:textId="68A40DD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15.96%</w:t>
            </w:r>
          </w:p>
        </w:tc>
      </w:tr>
      <w:tr w:rsidR="00EF2613" w:rsidRPr="00F87E3A" w14:paraId="76565394" w14:textId="77777777" w:rsidTr="00D01B9E">
        <w:trPr>
          <w:trHeight w:val="278"/>
          <w:jc w:val="right"/>
        </w:trPr>
        <w:tc>
          <w:tcPr>
            <w:tcW w:w="1680" w:type="dxa"/>
            <w:vMerge/>
            <w:tcBorders>
              <w:top w:val="nil"/>
              <w:left w:val="nil"/>
              <w:bottom w:val="nil"/>
              <w:right w:val="nil"/>
            </w:tcBorders>
            <w:vAlign w:val="center"/>
            <w:hideMark/>
          </w:tcPr>
          <w:p w14:paraId="3326E63F"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765BBFC6" w14:textId="004FD847"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中证港股通综合指数收益率</w:t>
            </w:r>
          </w:p>
        </w:tc>
        <w:tc>
          <w:tcPr>
            <w:tcW w:w="1020" w:type="dxa"/>
            <w:gridSpan w:val="2"/>
            <w:tcBorders>
              <w:top w:val="nil"/>
              <w:left w:val="nil"/>
              <w:bottom w:val="nil"/>
              <w:right w:val="nil"/>
            </w:tcBorders>
            <w:shd w:val="clear" w:color="auto" w:fill="auto"/>
            <w:noWrap/>
            <w:vAlign w:val="center"/>
            <w:hideMark/>
          </w:tcPr>
          <w:p w14:paraId="38D8F44F" w14:textId="4339D50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20</w:t>
            </w:r>
          </w:p>
        </w:tc>
        <w:tc>
          <w:tcPr>
            <w:tcW w:w="1020" w:type="dxa"/>
            <w:tcBorders>
              <w:top w:val="nil"/>
              <w:left w:val="nil"/>
              <w:bottom w:val="nil"/>
              <w:right w:val="nil"/>
            </w:tcBorders>
            <w:vAlign w:val="center"/>
          </w:tcPr>
          <w:p w14:paraId="76214B65" w14:textId="526DA9B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15.50%</w:t>
            </w:r>
          </w:p>
        </w:tc>
      </w:tr>
      <w:tr w:rsidR="00EF2613" w:rsidRPr="00F87E3A" w14:paraId="08DF2716" w14:textId="77777777" w:rsidTr="00D01B9E">
        <w:trPr>
          <w:trHeight w:val="278"/>
          <w:jc w:val="right"/>
        </w:trPr>
        <w:tc>
          <w:tcPr>
            <w:tcW w:w="1680" w:type="dxa"/>
            <w:vMerge/>
            <w:tcBorders>
              <w:top w:val="nil"/>
              <w:left w:val="nil"/>
              <w:bottom w:val="single" w:sz="4" w:space="0" w:color="auto"/>
              <w:right w:val="nil"/>
            </w:tcBorders>
            <w:vAlign w:val="center"/>
            <w:hideMark/>
          </w:tcPr>
          <w:p w14:paraId="68D15890"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423F79A2" w14:textId="3400C85F"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上证国债指数收益率</w:t>
            </w:r>
          </w:p>
        </w:tc>
        <w:tc>
          <w:tcPr>
            <w:tcW w:w="1020" w:type="dxa"/>
            <w:gridSpan w:val="2"/>
            <w:tcBorders>
              <w:top w:val="nil"/>
              <w:left w:val="nil"/>
              <w:bottom w:val="single" w:sz="4" w:space="0" w:color="auto"/>
              <w:right w:val="nil"/>
            </w:tcBorders>
            <w:shd w:val="clear" w:color="auto" w:fill="auto"/>
            <w:noWrap/>
            <w:vAlign w:val="center"/>
            <w:hideMark/>
          </w:tcPr>
          <w:p w14:paraId="182A1638" w14:textId="1A2F6C3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nil"/>
              <w:left w:val="nil"/>
              <w:bottom w:val="single" w:sz="4" w:space="0" w:color="auto"/>
              <w:right w:val="nil"/>
            </w:tcBorders>
            <w:vAlign w:val="center"/>
          </w:tcPr>
          <w:p w14:paraId="21A31812" w14:textId="403C0022"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6D90222A" w14:textId="77777777"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73EB2179" w14:textId="77777777"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国际</w:t>
            </w:r>
            <w:r>
              <w:rPr>
                <w:rFonts w:ascii="Arial" w:eastAsia="等线" w:hAnsi="Arial" w:cs="Arial"/>
                <w:b/>
                <w:bCs/>
                <w:color w:val="0F243E"/>
                <w:sz w:val="16"/>
                <w:szCs w:val="16"/>
              </w:rPr>
              <w:t>(QDII)</w:t>
            </w:r>
            <w:r>
              <w:rPr>
                <w:rFonts w:ascii="Arial" w:eastAsia="等线" w:hAnsi="Arial" w:cs="Arial"/>
                <w:b/>
                <w:bCs/>
                <w:color w:val="0F243E"/>
                <w:sz w:val="16"/>
                <w:szCs w:val="16"/>
              </w:rPr>
              <w:t>基金</w:t>
            </w:r>
          </w:p>
        </w:tc>
        <w:tc>
          <w:tcPr>
            <w:tcW w:w="5102" w:type="dxa"/>
            <w:gridSpan w:val="2"/>
            <w:tcBorders>
              <w:top w:val="single" w:sz="4" w:space="0" w:color="auto"/>
              <w:left w:val="nil"/>
              <w:bottom w:val="nil"/>
              <w:right w:val="nil"/>
            </w:tcBorders>
            <w:shd w:val="clear" w:color="auto" w:fill="auto"/>
            <w:noWrap/>
            <w:vAlign w:val="center"/>
            <w:hideMark/>
          </w:tcPr>
          <w:p w14:paraId="1E701EC9" w14:textId="54C3BD6E"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中证海外中国互联网指数收益率</w:t>
            </w:r>
          </w:p>
        </w:tc>
        <w:tc>
          <w:tcPr>
            <w:tcW w:w="1020" w:type="dxa"/>
            <w:gridSpan w:val="2"/>
            <w:tcBorders>
              <w:top w:val="single" w:sz="4" w:space="0" w:color="auto"/>
              <w:left w:val="nil"/>
              <w:bottom w:val="nil"/>
              <w:right w:val="nil"/>
            </w:tcBorders>
            <w:shd w:val="clear" w:color="auto" w:fill="auto"/>
            <w:noWrap/>
            <w:vAlign w:val="center"/>
            <w:hideMark/>
          </w:tcPr>
          <w:p w14:paraId="4E59DA5D" w14:textId="64281EF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single" w:sz="4" w:space="0" w:color="auto"/>
              <w:left w:val="nil"/>
              <w:bottom w:val="nil"/>
              <w:right w:val="nil"/>
            </w:tcBorders>
            <w:vAlign w:val="center"/>
          </w:tcPr>
          <w:p w14:paraId="681AF75A" w14:textId="683FE87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1568D212" w14:textId="77777777" w:rsidTr="00D01B9E">
        <w:trPr>
          <w:trHeight w:val="278"/>
          <w:jc w:val="right"/>
        </w:trPr>
        <w:tc>
          <w:tcPr>
            <w:tcW w:w="1680" w:type="dxa"/>
            <w:vMerge/>
            <w:tcBorders>
              <w:top w:val="nil"/>
              <w:left w:val="nil"/>
              <w:bottom w:val="nil"/>
              <w:right w:val="nil"/>
            </w:tcBorders>
            <w:vAlign w:val="center"/>
            <w:hideMark/>
          </w:tcPr>
          <w:p w14:paraId="4D7BA9BB"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C2B4A2C" w14:textId="02FD374B"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摩根士丹利资本国际全球指数</w:t>
            </w:r>
            <w:r>
              <w:rPr>
                <w:rFonts w:ascii="Arial" w:eastAsia="等线" w:hAnsi="Arial" w:cs="Arial"/>
                <w:b/>
                <w:bCs/>
                <w:color w:val="0F243E"/>
                <w:sz w:val="16"/>
                <w:szCs w:val="16"/>
              </w:rPr>
              <w:t>(MSCI All Country World Index)</w:t>
            </w:r>
            <w:r>
              <w:rPr>
                <w:rFonts w:ascii="Arial" w:eastAsia="等线" w:hAnsi="Arial" w:cs="Arial"/>
                <w:b/>
                <w:bCs/>
                <w:color w:val="0F243E"/>
                <w:sz w:val="16"/>
                <w:szCs w:val="16"/>
              </w:rPr>
              <w:t>收益率</w:t>
            </w:r>
          </w:p>
        </w:tc>
        <w:tc>
          <w:tcPr>
            <w:tcW w:w="1020" w:type="dxa"/>
            <w:gridSpan w:val="2"/>
            <w:tcBorders>
              <w:top w:val="nil"/>
              <w:left w:val="nil"/>
              <w:bottom w:val="nil"/>
              <w:right w:val="nil"/>
            </w:tcBorders>
            <w:shd w:val="clear" w:color="auto" w:fill="auto"/>
            <w:noWrap/>
            <w:vAlign w:val="center"/>
            <w:hideMark/>
          </w:tcPr>
          <w:p w14:paraId="43C9284A" w14:textId="560DD10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w:t>
            </w:r>
          </w:p>
        </w:tc>
        <w:tc>
          <w:tcPr>
            <w:tcW w:w="1020" w:type="dxa"/>
            <w:tcBorders>
              <w:top w:val="nil"/>
              <w:left w:val="nil"/>
              <w:bottom w:val="nil"/>
              <w:right w:val="nil"/>
            </w:tcBorders>
            <w:vAlign w:val="center"/>
          </w:tcPr>
          <w:p w14:paraId="171B8277" w14:textId="54B9FD7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40CB8A2C" w14:textId="77777777" w:rsidTr="00D01B9E">
        <w:trPr>
          <w:trHeight w:val="278"/>
          <w:jc w:val="right"/>
        </w:trPr>
        <w:tc>
          <w:tcPr>
            <w:tcW w:w="1680" w:type="dxa"/>
            <w:vMerge/>
            <w:tcBorders>
              <w:top w:val="nil"/>
              <w:left w:val="nil"/>
              <w:bottom w:val="nil"/>
              <w:right w:val="nil"/>
            </w:tcBorders>
            <w:vAlign w:val="center"/>
            <w:hideMark/>
          </w:tcPr>
          <w:p w14:paraId="714FB0E9"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942D993" w14:textId="79AF476D"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w:t>
            </w:r>
            <w:r>
              <w:rPr>
                <w:rFonts w:ascii="Arial" w:eastAsia="等线" w:hAnsi="Arial" w:cs="Arial"/>
                <w:b/>
                <w:bCs/>
                <w:color w:val="0F243E"/>
                <w:sz w:val="16"/>
                <w:szCs w:val="16"/>
              </w:rPr>
              <w:t>美国</w:t>
            </w:r>
            <w:r>
              <w:rPr>
                <w:rFonts w:ascii="Arial" w:eastAsia="等线" w:hAnsi="Arial" w:cs="Arial"/>
                <w:b/>
                <w:bCs/>
                <w:color w:val="0F243E"/>
                <w:sz w:val="16"/>
                <w:szCs w:val="16"/>
              </w:rPr>
              <w:t>10</w:t>
            </w:r>
            <w:r>
              <w:rPr>
                <w:rFonts w:ascii="Arial" w:eastAsia="等线" w:hAnsi="Arial" w:cs="Arial"/>
                <w:b/>
                <w:bCs/>
                <w:color w:val="0F243E"/>
                <w:sz w:val="16"/>
                <w:szCs w:val="16"/>
              </w:rPr>
              <w:t>年期国债收益率</w:t>
            </w:r>
          </w:p>
        </w:tc>
        <w:tc>
          <w:tcPr>
            <w:tcW w:w="1020" w:type="dxa"/>
            <w:gridSpan w:val="2"/>
            <w:tcBorders>
              <w:top w:val="nil"/>
              <w:left w:val="nil"/>
              <w:bottom w:val="nil"/>
              <w:right w:val="nil"/>
            </w:tcBorders>
            <w:shd w:val="clear" w:color="auto" w:fill="auto"/>
            <w:noWrap/>
            <w:vAlign w:val="center"/>
            <w:hideMark/>
          </w:tcPr>
          <w:p w14:paraId="34A1AADA" w14:textId="3C0D981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w:t>
            </w:r>
          </w:p>
        </w:tc>
        <w:tc>
          <w:tcPr>
            <w:tcW w:w="1020" w:type="dxa"/>
            <w:tcBorders>
              <w:top w:val="nil"/>
              <w:left w:val="nil"/>
              <w:bottom w:val="nil"/>
              <w:right w:val="nil"/>
            </w:tcBorders>
            <w:vAlign w:val="center"/>
          </w:tcPr>
          <w:p w14:paraId="39244DDB" w14:textId="166B4DE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0E285600" w14:textId="77777777" w:rsidTr="00D01B9E">
        <w:trPr>
          <w:trHeight w:val="278"/>
          <w:jc w:val="right"/>
        </w:trPr>
        <w:tc>
          <w:tcPr>
            <w:tcW w:w="1680" w:type="dxa"/>
            <w:vMerge/>
            <w:tcBorders>
              <w:top w:val="nil"/>
              <w:left w:val="nil"/>
              <w:bottom w:val="nil"/>
              <w:right w:val="nil"/>
            </w:tcBorders>
            <w:vAlign w:val="center"/>
            <w:hideMark/>
          </w:tcPr>
          <w:p w14:paraId="5B809BFD"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FED293A" w14:textId="2E3B2CEF"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1.5%)</w:t>
            </w:r>
          </w:p>
        </w:tc>
        <w:tc>
          <w:tcPr>
            <w:tcW w:w="1020" w:type="dxa"/>
            <w:gridSpan w:val="2"/>
            <w:tcBorders>
              <w:top w:val="nil"/>
              <w:left w:val="nil"/>
              <w:bottom w:val="nil"/>
              <w:right w:val="nil"/>
            </w:tcBorders>
            <w:shd w:val="clear" w:color="auto" w:fill="auto"/>
            <w:noWrap/>
            <w:vAlign w:val="center"/>
            <w:hideMark/>
          </w:tcPr>
          <w:p w14:paraId="78537A9F" w14:textId="0169C2D1"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w:t>
            </w:r>
          </w:p>
        </w:tc>
        <w:tc>
          <w:tcPr>
            <w:tcW w:w="1020" w:type="dxa"/>
            <w:tcBorders>
              <w:top w:val="nil"/>
              <w:left w:val="nil"/>
              <w:bottom w:val="nil"/>
              <w:right w:val="nil"/>
            </w:tcBorders>
            <w:vAlign w:val="center"/>
          </w:tcPr>
          <w:p w14:paraId="35941CF9" w14:textId="73320C09"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6A229DBC" w14:textId="77777777" w:rsidTr="00D01B9E">
        <w:trPr>
          <w:trHeight w:val="278"/>
          <w:jc w:val="right"/>
        </w:trPr>
        <w:tc>
          <w:tcPr>
            <w:tcW w:w="1680" w:type="dxa"/>
            <w:vMerge/>
            <w:tcBorders>
              <w:top w:val="nil"/>
              <w:left w:val="nil"/>
              <w:bottom w:val="single" w:sz="4" w:space="0" w:color="auto"/>
              <w:right w:val="nil"/>
            </w:tcBorders>
            <w:vAlign w:val="center"/>
            <w:hideMark/>
          </w:tcPr>
          <w:p w14:paraId="3C77F3CD"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60D0C2FB" w14:textId="65B6428A"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single" w:sz="4" w:space="0" w:color="auto"/>
              <w:right w:val="nil"/>
            </w:tcBorders>
            <w:shd w:val="clear" w:color="auto" w:fill="auto"/>
            <w:noWrap/>
            <w:vAlign w:val="center"/>
            <w:hideMark/>
          </w:tcPr>
          <w:p w14:paraId="43D50A46" w14:textId="19F316F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11</w:t>
            </w:r>
          </w:p>
        </w:tc>
        <w:tc>
          <w:tcPr>
            <w:tcW w:w="1020" w:type="dxa"/>
            <w:tcBorders>
              <w:top w:val="nil"/>
              <w:left w:val="nil"/>
              <w:bottom w:val="single" w:sz="4" w:space="0" w:color="auto"/>
              <w:right w:val="nil"/>
            </w:tcBorders>
            <w:vAlign w:val="center"/>
          </w:tcPr>
          <w:p w14:paraId="5EF7F944" w14:textId="3C6C0A3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5.45%</w:t>
            </w:r>
          </w:p>
        </w:tc>
      </w:tr>
      <w:tr w:rsidR="00EF2613" w:rsidRPr="00F87E3A" w14:paraId="696B6FFB" w14:textId="77777777" w:rsidTr="00D01B9E">
        <w:trPr>
          <w:trHeight w:val="278"/>
          <w:jc w:val="right"/>
        </w:trPr>
        <w:tc>
          <w:tcPr>
            <w:tcW w:w="1680" w:type="dxa"/>
            <w:vMerge w:val="restart"/>
            <w:tcBorders>
              <w:top w:val="single" w:sz="4" w:space="0" w:color="auto"/>
              <w:left w:val="nil"/>
              <w:bottom w:val="nil"/>
              <w:right w:val="nil"/>
            </w:tcBorders>
            <w:shd w:val="clear" w:color="auto" w:fill="auto"/>
            <w:noWrap/>
            <w:vAlign w:val="center"/>
            <w:hideMark/>
          </w:tcPr>
          <w:p w14:paraId="4D0A350D" w14:textId="77777777" w:rsidR="00EF2613" w:rsidRPr="00F87E3A" w:rsidRDefault="00EF2613" w:rsidP="00EF2613">
            <w:pPr>
              <w:widowControl/>
              <w:jc w:val="center"/>
              <w:rPr>
                <w:rFonts w:ascii="Arial" w:eastAsia="等线" w:hAnsi="Arial" w:cs="Arial"/>
                <w:b/>
                <w:bCs/>
                <w:color w:val="0F243E"/>
                <w:kern w:val="0"/>
                <w:sz w:val="16"/>
                <w:szCs w:val="16"/>
                <w:lang w:eastAsia="zh-CN"/>
              </w:rPr>
            </w:pPr>
            <w:r>
              <w:rPr>
                <w:rFonts w:ascii="Arial" w:eastAsia="等线" w:hAnsi="Arial" w:cs="Arial"/>
                <w:b/>
                <w:bCs/>
                <w:color w:val="0F243E"/>
                <w:sz w:val="16"/>
                <w:szCs w:val="16"/>
              </w:rPr>
              <w:t>另类投资基金</w:t>
            </w:r>
          </w:p>
        </w:tc>
        <w:tc>
          <w:tcPr>
            <w:tcW w:w="5102" w:type="dxa"/>
            <w:gridSpan w:val="2"/>
            <w:tcBorders>
              <w:top w:val="single" w:sz="4" w:space="0" w:color="auto"/>
              <w:left w:val="nil"/>
              <w:bottom w:val="nil"/>
              <w:right w:val="nil"/>
            </w:tcBorders>
            <w:shd w:val="clear" w:color="auto" w:fill="auto"/>
            <w:noWrap/>
            <w:vAlign w:val="center"/>
            <w:hideMark/>
          </w:tcPr>
          <w:p w14:paraId="1BA201F3" w14:textId="5F169BA1"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固定利率</w:t>
            </w:r>
            <w:r>
              <w:rPr>
                <w:rFonts w:ascii="Arial" w:eastAsia="等线" w:hAnsi="Arial" w:cs="Arial"/>
                <w:b/>
                <w:bCs/>
                <w:color w:val="0F243E"/>
                <w:sz w:val="16"/>
                <w:szCs w:val="16"/>
              </w:rPr>
              <w:t>3%</w:t>
            </w:r>
          </w:p>
        </w:tc>
        <w:tc>
          <w:tcPr>
            <w:tcW w:w="1020" w:type="dxa"/>
            <w:gridSpan w:val="2"/>
            <w:tcBorders>
              <w:top w:val="single" w:sz="4" w:space="0" w:color="auto"/>
              <w:left w:val="nil"/>
              <w:bottom w:val="nil"/>
              <w:right w:val="nil"/>
            </w:tcBorders>
            <w:shd w:val="clear" w:color="auto" w:fill="auto"/>
            <w:noWrap/>
            <w:vAlign w:val="center"/>
            <w:hideMark/>
          </w:tcPr>
          <w:p w14:paraId="31319308" w14:textId="74513BFC"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9</w:t>
            </w:r>
          </w:p>
        </w:tc>
        <w:tc>
          <w:tcPr>
            <w:tcW w:w="1020" w:type="dxa"/>
            <w:tcBorders>
              <w:top w:val="single" w:sz="4" w:space="0" w:color="auto"/>
              <w:left w:val="nil"/>
              <w:bottom w:val="nil"/>
              <w:right w:val="nil"/>
            </w:tcBorders>
            <w:vAlign w:val="center"/>
          </w:tcPr>
          <w:p w14:paraId="55E265E2" w14:textId="552B00BF"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100.00%</w:t>
            </w:r>
          </w:p>
        </w:tc>
      </w:tr>
      <w:tr w:rsidR="00EF2613" w:rsidRPr="00F87E3A" w14:paraId="7137A952" w14:textId="77777777" w:rsidTr="00D01B9E">
        <w:trPr>
          <w:trHeight w:val="278"/>
          <w:jc w:val="right"/>
        </w:trPr>
        <w:tc>
          <w:tcPr>
            <w:tcW w:w="1680" w:type="dxa"/>
            <w:vMerge/>
            <w:tcBorders>
              <w:top w:val="nil"/>
              <w:left w:val="nil"/>
              <w:bottom w:val="nil"/>
              <w:right w:val="nil"/>
            </w:tcBorders>
            <w:vAlign w:val="center"/>
            <w:hideMark/>
          </w:tcPr>
          <w:p w14:paraId="59B3EB11"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664DC0D1" w14:textId="4129DD5C"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中国人民银行公布的同期一年期定期存款基准利率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4FEB035E" w14:textId="5D7092D6"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nil"/>
              <w:left w:val="nil"/>
              <w:bottom w:val="nil"/>
              <w:right w:val="nil"/>
            </w:tcBorders>
            <w:vAlign w:val="center"/>
          </w:tcPr>
          <w:p w14:paraId="05ED0724" w14:textId="108278C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7AD38180" w14:textId="77777777" w:rsidTr="00D01B9E">
        <w:trPr>
          <w:trHeight w:val="278"/>
          <w:jc w:val="right"/>
        </w:trPr>
        <w:tc>
          <w:tcPr>
            <w:tcW w:w="1680" w:type="dxa"/>
            <w:vMerge/>
            <w:tcBorders>
              <w:top w:val="nil"/>
              <w:left w:val="nil"/>
              <w:bottom w:val="nil"/>
              <w:right w:val="nil"/>
            </w:tcBorders>
            <w:vAlign w:val="center"/>
            <w:hideMark/>
          </w:tcPr>
          <w:p w14:paraId="7F67A64C"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4663A706" w14:textId="07ADF7B3"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020" w:type="dxa"/>
            <w:gridSpan w:val="2"/>
            <w:tcBorders>
              <w:top w:val="nil"/>
              <w:left w:val="nil"/>
              <w:bottom w:val="nil"/>
              <w:right w:val="nil"/>
            </w:tcBorders>
            <w:shd w:val="clear" w:color="auto" w:fill="auto"/>
            <w:noWrap/>
            <w:vAlign w:val="center"/>
            <w:hideMark/>
          </w:tcPr>
          <w:p w14:paraId="780B5CEE" w14:textId="160CC6A4"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6</w:t>
            </w:r>
          </w:p>
        </w:tc>
        <w:tc>
          <w:tcPr>
            <w:tcW w:w="1020" w:type="dxa"/>
            <w:tcBorders>
              <w:top w:val="nil"/>
              <w:left w:val="nil"/>
              <w:bottom w:val="nil"/>
              <w:right w:val="nil"/>
            </w:tcBorders>
            <w:vAlign w:val="center"/>
          </w:tcPr>
          <w:p w14:paraId="66F908CD" w14:textId="7B9AC640"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0048A87F" w14:textId="77777777" w:rsidTr="00D01B9E">
        <w:trPr>
          <w:trHeight w:val="278"/>
          <w:jc w:val="right"/>
        </w:trPr>
        <w:tc>
          <w:tcPr>
            <w:tcW w:w="1680" w:type="dxa"/>
            <w:vMerge/>
            <w:tcBorders>
              <w:top w:val="nil"/>
              <w:left w:val="nil"/>
              <w:bottom w:val="nil"/>
              <w:right w:val="nil"/>
            </w:tcBorders>
            <w:vAlign w:val="center"/>
            <w:hideMark/>
          </w:tcPr>
          <w:p w14:paraId="1F1C1452"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nil"/>
              <w:right w:val="nil"/>
            </w:tcBorders>
            <w:shd w:val="clear" w:color="auto" w:fill="auto"/>
            <w:noWrap/>
            <w:vAlign w:val="center"/>
            <w:hideMark/>
          </w:tcPr>
          <w:p w14:paraId="13445B58" w14:textId="567F26AE"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lang w:eastAsia="zh-CN"/>
              </w:rPr>
              <w:t>上海黄金交易所上海金集中定价合约</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合约代码</w:t>
            </w:r>
            <w:r>
              <w:rPr>
                <w:rFonts w:ascii="Arial" w:eastAsia="等线" w:hAnsi="Arial" w:cs="Arial"/>
                <w:b/>
                <w:bCs/>
                <w:color w:val="0F243E"/>
                <w:sz w:val="16"/>
                <w:szCs w:val="16"/>
                <w:lang w:eastAsia="zh-CN"/>
              </w:rPr>
              <w:t>:SHAU)</w:t>
            </w:r>
            <w:r>
              <w:rPr>
                <w:rFonts w:ascii="Arial" w:eastAsia="等线" w:hAnsi="Arial" w:cs="Arial"/>
                <w:b/>
                <w:bCs/>
                <w:color w:val="0F243E"/>
                <w:sz w:val="16"/>
                <w:szCs w:val="16"/>
                <w:lang w:eastAsia="zh-CN"/>
              </w:rPr>
              <w:t>的午盘基准价格收益率</w:t>
            </w:r>
          </w:p>
        </w:tc>
        <w:tc>
          <w:tcPr>
            <w:tcW w:w="1020" w:type="dxa"/>
            <w:gridSpan w:val="2"/>
            <w:tcBorders>
              <w:top w:val="nil"/>
              <w:left w:val="nil"/>
              <w:bottom w:val="nil"/>
              <w:right w:val="nil"/>
            </w:tcBorders>
            <w:shd w:val="clear" w:color="auto" w:fill="auto"/>
            <w:noWrap/>
            <w:vAlign w:val="center"/>
            <w:hideMark/>
          </w:tcPr>
          <w:p w14:paraId="4070F25F" w14:textId="60FC0223"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4</w:t>
            </w:r>
          </w:p>
        </w:tc>
        <w:tc>
          <w:tcPr>
            <w:tcW w:w="1020" w:type="dxa"/>
            <w:tcBorders>
              <w:top w:val="nil"/>
              <w:left w:val="nil"/>
              <w:bottom w:val="nil"/>
              <w:right w:val="nil"/>
            </w:tcBorders>
            <w:vAlign w:val="center"/>
          </w:tcPr>
          <w:p w14:paraId="480EF137" w14:textId="52F553B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0.00%</w:t>
            </w:r>
          </w:p>
        </w:tc>
      </w:tr>
      <w:tr w:rsidR="00EF2613" w:rsidRPr="00F87E3A" w14:paraId="62C4FCD7" w14:textId="77777777" w:rsidTr="00D01B9E">
        <w:trPr>
          <w:trHeight w:val="278"/>
          <w:jc w:val="right"/>
        </w:trPr>
        <w:tc>
          <w:tcPr>
            <w:tcW w:w="1680" w:type="dxa"/>
            <w:vMerge/>
            <w:tcBorders>
              <w:top w:val="nil"/>
              <w:left w:val="nil"/>
              <w:bottom w:val="single" w:sz="4" w:space="0" w:color="auto"/>
              <w:right w:val="nil"/>
            </w:tcBorders>
            <w:vAlign w:val="center"/>
            <w:hideMark/>
          </w:tcPr>
          <w:p w14:paraId="7E74B79F" w14:textId="77777777" w:rsidR="00EF2613" w:rsidRPr="00F87E3A" w:rsidRDefault="00EF2613" w:rsidP="00EF2613">
            <w:pPr>
              <w:widowControl/>
              <w:rPr>
                <w:rFonts w:ascii="Arial" w:eastAsia="等线" w:hAnsi="Arial" w:cs="Arial"/>
                <w:b/>
                <w:bCs/>
                <w:color w:val="0F243E"/>
                <w:kern w:val="0"/>
                <w:sz w:val="16"/>
                <w:szCs w:val="16"/>
                <w:lang w:eastAsia="zh-CN"/>
              </w:rPr>
            </w:pPr>
          </w:p>
        </w:tc>
        <w:tc>
          <w:tcPr>
            <w:tcW w:w="5102" w:type="dxa"/>
            <w:gridSpan w:val="2"/>
            <w:tcBorders>
              <w:top w:val="nil"/>
              <w:left w:val="nil"/>
              <w:bottom w:val="single" w:sz="4" w:space="0" w:color="auto"/>
              <w:right w:val="nil"/>
            </w:tcBorders>
            <w:shd w:val="clear" w:color="auto" w:fill="auto"/>
            <w:noWrap/>
            <w:vAlign w:val="center"/>
            <w:hideMark/>
          </w:tcPr>
          <w:p w14:paraId="5EB54466" w14:textId="4411E0B5" w:rsidR="00EF2613" w:rsidRPr="00F87E3A" w:rsidRDefault="00EF2613" w:rsidP="00EF2613">
            <w:pPr>
              <w:widowControl/>
              <w:rPr>
                <w:rFonts w:ascii="Arial" w:eastAsia="等线" w:hAnsi="Arial" w:cs="Arial"/>
                <w:b/>
                <w:bCs/>
                <w:color w:val="0F243E"/>
                <w:kern w:val="0"/>
                <w:sz w:val="16"/>
                <w:szCs w:val="16"/>
                <w:lang w:eastAsia="zh-CN"/>
              </w:rPr>
            </w:pPr>
            <w:r>
              <w:rPr>
                <w:rFonts w:ascii="Arial" w:eastAsia="等线" w:hAnsi="Arial" w:cs="Arial"/>
                <w:b/>
                <w:bCs/>
                <w:color w:val="0F243E"/>
                <w:sz w:val="16"/>
                <w:szCs w:val="16"/>
              </w:rPr>
              <w:t>恒生指数收益率</w:t>
            </w:r>
          </w:p>
        </w:tc>
        <w:tc>
          <w:tcPr>
            <w:tcW w:w="1020" w:type="dxa"/>
            <w:gridSpan w:val="2"/>
            <w:tcBorders>
              <w:top w:val="nil"/>
              <w:left w:val="nil"/>
              <w:bottom w:val="single" w:sz="4" w:space="0" w:color="auto"/>
              <w:right w:val="nil"/>
            </w:tcBorders>
            <w:shd w:val="clear" w:color="auto" w:fill="auto"/>
            <w:noWrap/>
            <w:vAlign w:val="center"/>
            <w:hideMark/>
          </w:tcPr>
          <w:p w14:paraId="6B0DEC05" w14:textId="29D4873D"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389</w:t>
            </w:r>
          </w:p>
        </w:tc>
        <w:tc>
          <w:tcPr>
            <w:tcW w:w="1020" w:type="dxa"/>
            <w:tcBorders>
              <w:top w:val="nil"/>
              <w:left w:val="nil"/>
              <w:bottom w:val="single" w:sz="4" w:space="0" w:color="auto"/>
              <w:right w:val="nil"/>
            </w:tcBorders>
            <w:vAlign w:val="center"/>
          </w:tcPr>
          <w:p w14:paraId="10247C66" w14:textId="2E8C1392" w:rsidR="00EF2613" w:rsidRPr="00F87E3A" w:rsidRDefault="00EF2613" w:rsidP="00EF2613">
            <w:pPr>
              <w:widowControl/>
              <w:jc w:val="center"/>
              <w:rPr>
                <w:rFonts w:ascii="Arial" w:eastAsia="等线" w:hAnsi="Arial" w:cs="Arial"/>
                <w:color w:val="0F243E"/>
                <w:kern w:val="0"/>
                <w:sz w:val="16"/>
                <w:szCs w:val="16"/>
                <w:lang w:eastAsia="zh-CN"/>
              </w:rPr>
            </w:pPr>
            <w:r>
              <w:rPr>
                <w:rFonts w:ascii="Arial" w:eastAsia="等线" w:hAnsi="Arial" w:cs="Arial"/>
                <w:color w:val="0F243E"/>
                <w:sz w:val="16"/>
                <w:szCs w:val="16"/>
              </w:rPr>
              <w:t>14.10%</w:t>
            </w:r>
          </w:p>
        </w:tc>
      </w:tr>
      <w:tr w:rsidR="00EF2613" w:rsidRPr="00F87E3A" w14:paraId="1847C6A1" w14:textId="77777777" w:rsidTr="00D01B9E">
        <w:trPr>
          <w:trHeight w:val="278"/>
          <w:jc w:val="right"/>
        </w:trPr>
        <w:tc>
          <w:tcPr>
            <w:tcW w:w="7802" w:type="dxa"/>
            <w:gridSpan w:val="5"/>
            <w:tcBorders>
              <w:top w:val="single" w:sz="8" w:space="0" w:color="auto"/>
              <w:left w:val="nil"/>
              <w:right w:val="nil"/>
            </w:tcBorders>
            <w:vAlign w:val="center"/>
          </w:tcPr>
          <w:p w14:paraId="3A24AF41" w14:textId="77777777" w:rsidR="00EF2613" w:rsidRPr="00F87E3A" w:rsidRDefault="00EF2613" w:rsidP="00D01B9E">
            <w:pPr>
              <w:pStyle w:val="aff2"/>
              <w:ind w:leftChars="-54" w:left="-130"/>
              <w:rPr>
                <w:rFonts w:eastAsia="等线" w:cs="Arial"/>
                <w:sz w:val="16"/>
                <w:szCs w:val="16"/>
              </w:rPr>
            </w:pPr>
            <w:r w:rsidRPr="00C66411">
              <w:t>数据来源：</w:t>
            </w:r>
            <w:r>
              <w:rPr>
                <w:rFonts w:hint="eastAsia"/>
              </w:rPr>
              <w:t>Wind</w:t>
            </w:r>
            <w:r w:rsidRPr="00C66411">
              <w:rPr>
                <w:rFonts w:hint="eastAsia"/>
              </w:rPr>
              <w:t>，</w:t>
            </w:r>
            <w:r w:rsidRPr="00C66411">
              <w:t>广发证券发展研究中心</w:t>
            </w:r>
          </w:p>
        </w:tc>
        <w:tc>
          <w:tcPr>
            <w:tcW w:w="1020" w:type="dxa"/>
            <w:tcBorders>
              <w:top w:val="single" w:sz="8" w:space="0" w:color="auto"/>
              <w:left w:val="nil"/>
              <w:right w:val="nil"/>
            </w:tcBorders>
          </w:tcPr>
          <w:p w14:paraId="2C6420B7" w14:textId="77777777" w:rsidR="00EF2613" w:rsidRPr="00C66411" w:rsidRDefault="00EF2613" w:rsidP="00D01B9E">
            <w:pPr>
              <w:pStyle w:val="aff2"/>
              <w:ind w:leftChars="-54" w:left="-130"/>
            </w:pPr>
          </w:p>
        </w:tc>
      </w:tr>
    </w:tbl>
    <w:p w14:paraId="1DEAE824" w14:textId="4ED78B40" w:rsidR="00EF2613" w:rsidRDefault="00EF2613" w:rsidP="009307D7">
      <w:pPr>
        <w:pStyle w:val="ae"/>
        <w:spacing w:beforeLines="50" w:before="163" w:afterLines="50" w:after="163" w:line="252" w:lineRule="auto"/>
        <w:ind w:left="3017"/>
        <w:jc w:val="both"/>
        <w:rPr>
          <w:lang w:eastAsia="zh-CN"/>
        </w:rPr>
      </w:pPr>
    </w:p>
    <w:tbl>
      <w:tblPr>
        <w:tblW w:w="10431" w:type="dxa"/>
        <w:tblInd w:w="130" w:type="dxa"/>
        <w:tblLayout w:type="fixed"/>
        <w:tblLook w:val="04A0" w:firstRow="1" w:lastRow="0" w:firstColumn="1" w:lastColumn="0" w:noHBand="0" w:noVBand="1"/>
      </w:tblPr>
      <w:tblGrid>
        <w:gridCol w:w="5046"/>
        <w:gridCol w:w="28"/>
        <w:gridCol w:w="255"/>
        <w:gridCol w:w="28"/>
        <w:gridCol w:w="5046"/>
        <w:gridCol w:w="28"/>
      </w:tblGrid>
      <w:tr w:rsidR="00D739B5" w:rsidRPr="00C72F7D" w14:paraId="4484346F" w14:textId="77777777" w:rsidTr="00D01B9E">
        <w:tc>
          <w:tcPr>
            <w:tcW w:w="5074" w:type="dxa"/>
            <w:gridSpan w:val="2"/>
            <w:tcBorders>
              <w:top w:val="nil"/>
              <w:left w:val="nil"/>
              <w:bottom w:val="single" w:sz="4" w:space="0" w:color="auto"/>
              <w:right w:val="nil"/>
            </w:tcBorders>
            <w:hideMark/>
          </w:tcPr>
          <w:p w14:paraId="199C7E87" w14:textId="298E2E7D" w:rsidR="00D739B5" w:rsidRPr="00C72F7D" w:rsidRDefault="00D739B5" w:rsidP="00D01B9E">
            <w:pPr>
              <w:pStyle w:val="af0"/>
              <w:ind w:leftChars="-54" w:left="-130"/>
              <w:rPr>
                <w:lang w:eastAsia="zh-CN"/>
              </w:rPr>
            </w:pPr>
            <w:bookmarkStart w:id="41" w:name="_Toc65772357"/>
            <w:r>
              <w:rPr>
                <w:rFonts w:hint="eastAsia"/>
                <w:lang w:eastAsia="zh-CN"/>
              </w:rPr>
              <w:t>图</w:t>
            </w:r>
            <w:r>
              <w:rPr>
                <w:lang w:eastAsia="zh-CN"/>
              </w:rPr>
              <w:t xml:space="preserve"> </w:t>
            </w:r>
            <w:r>
              <w:fldChar w:fldCharType="begin"/>
            </w:r>
            <w:r w:rsidRPr="000C0617">
              <w:rPr>
                <w:lang w:eastAsia="zh-CN"/>
              </w:rPr>
              <w:instrText xml:space="preserve"> SEQ </w:instrText>
            </w:r>
            <w:r w:rsidRPr="000C0617">
              <w:rPr>
                <w:lang w:eastAsia="zh-CN"/>
              </w:rPr>
              <w:instrText>图</w:instrText>
            </w:r>
            <w:r w:rsidRPr="000C0617">
              <w:rPr>
                <w:lang w:eastAsia="zh-CN"/>
              </w:rPr>
              <w:instrText xml:space="preserve"> \* ARABIC </w:instrText>
            </w:r>
            <w:r>
              <w:fldChar w:fldCharType="separate"/>
            </w:r>
            <w:r w:rsidR="0010512F">
              <w:rPr>
                <w:noProof/>
                <w:lang w:eastAsia="zh-CN"/>
              </w:rPr>
              <w:t>5</w:t>
            </w:r>
            <w:r>
              <w:fldChar w:fldCharType="end"/>
            </w:r>
            <w:r>
              <w:rPr>
                <w:rFonts w:hint="eastAsia"/>
                <w:lang w:eastAsia="zh-CN"/>
              </w:rPr>
              <w:t>：</w:t>
            </w:r>
            <w:r w:rsidR="00D01B9E">
              <w:rPr>
                <w:rFonts w:hint="eastAsia"/>
                <w:lang w:eastAsia="zh-CN"/>
              </w:rPr>
              <w:t>偏股混合型基金</w:t>
            </w:r>
            <w:r w:rsidRPr="0040539B">
              <w:rPr>
                <w:rFonts w:hint="eastAsia"/>
                <w:lang w:eastAsia="zh-CN"/>
              </w:rPr>
              <w:t>所选</w:t>
            </w:r>
            <w:r>
              <w:rPr>
                <w:rFonts w:hint="eastAsia"/>
                <w:lang w:eastAsia="zh-CN"/>
              </w:rPr>
              <w:t>第一</w:t>
            </w:r>
            <w:r w:rsidRPr="0040539B">
              <w:rPr>
                <w:rFonts w:hint="eastAsia"/>
                <w:lang w:eastAsia="zh-CN"/>
              </w:rPr>
              <w:t>基准对应的基金数目</w:t>
            </w:r>
            <w:bookmarkEnd w:id="41"/>
          </w:p>
        </w:tc>
        <w:tc>
          <w:tcPr>
            <w:tcW w:w="283" w:type="dxa"/>
            <w:gridSpan w:val="2"/>
          </w:tcPr>
          <w:p w14:paraId="23AEC382" w14:textId="77777777" w:rsidR="00D739B5" w:rsidRPr="00490D55" w:rsidRDefault="00D739B5" w:rsidP="00D01B9E">
            <w:pPr>
              <w:pStyle w:val="ae"/>
              <w:spacing w:after="0"/>
              <w:ind w:leftChars="0" w:left="0"/>
              <w:rPr>
                <w:b/>
                <w:color w:val="0F243E"/>
                <w:lang w:eastAsia="zh-CN"/>
              </w:rPr>
            </w:pPr>
          </w:p>
        </w:tc>
        <w:tc>
          <w:tcPr>
            <w:tcW w:w="5074" w:type="dxa"/>
            <w:gridSpan w:val="2"/>
            <w:tcBorders>
              <w:top w:val="nil"/>
              <w:left w:val="nil"/>
              <w:bottom w:val="single" w:sz="4" w:space="0" w:color="auto"/>
              <w:right w:val="nil"/>
            </w:tcBorders>
            <w:hideMark/>
          </w:tcPr>
          <w:p w14:paraId="028F0A21" w14:textId="06FC1DF0" w:rsidR="00D739B5" w:rsidRPr="00C72F7D" w:rsidRDefault="00D739B5" w:rsidP="00D01B9E">
            <w:pPr>
              <w:pStyle w:val="af0"/>
              <w:ind w:leftChars="-41" w:left="-98"/>
              <w:rPr>
                <w:lang w:eastAsia="zh-CN"/>
              </w:rPr>
            </w:pPr>
            <w:bookmarkStart w:id="42" w:name="_Toc65772358"/>
            <w:r>
              <w:rPr>
                <w:rFonts w:hint="eastAsia"/>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sidR="0010512F">
              <w:rPr>
                <w:noProof/>
                <w:lang w:eastAsia="zh-CN"/>
              </w:rPr>
              <w:t>6</w:t>
            </w:r>
            <w:r>
              <w:fldChar w:fldCharType="end"/>
            </w:r>
            <w:r>
              <w:rPr>
                <w:rFonts w:hint="eastAsia"/>
                <w:lang w:eastAsia="zh-CN"/>
              </w:rPr>
              <w:t>：</w:t>
            </w:r>
            <w:r w:rsidR="00390048">
              <w:rPr>
                <w:rFonts w:hint="eastAsia"/>
                <w:lang w:eastAsia="zh-CN"/>
              </w:rPr>
              <w:t>偏股混合型基金</w:t>
            </w:r>
            <w:r w:rsidRPr="0040539B">
              <w:rPr>
                <w:rFonts w:hint="eastAsia"/>
                <w:lang w:eastAsia="zh-CN"/>
              </w:rPr>
              <w:t>所选</w:t>
            </w:r>
            <w:r>
              <w:rPr>
                <w:rFonts w:hint="eastAsia"/>
                <w:lang w:eastAsia="zh-CN"/>
              </w:rPr>
              <w:t>第二基准</w:t>
            </w:r>
            <w:r w:rsidRPr="0040539B">
              <w:rPr>
                <w:rFonts w:hint="eastAsia"/>
                <w:lang w:eastAsia="zh-CN"/>
              </w:rPr>
              <w:t>应的基金数目</w:t>
            </w:r>
            <w:bookmarkEnd w:id="42"/>
          </w:p>
        </w:tc>
      </w:tr>
      <w:tr w:rsidR="00D739B5" w:rsidRPr="009B1FB9" w14:paraId="464ED48F" w14:textId="77777777" w:rsidTr="00D01B9E">
        <w:trPr>
          <w:gridAfter w:val="1"/>
          <w:wAfter w:w="28" w:type="dxa"/>
          <w:trHeight w:hRule="exact" w:val="2551"/>
        </w:trPr>
        <w:tc>
          <w:tcPr>
            <w:tcW w:w="5046" w:type="dxa"/>
            <w:tcBorders>
              <w:top w:val="single" w:sz="4" w:space="0" w:color="auto"/>
              <w:left w:val="nil"/>
              <w:bottom w:val="single" w:sz="4" w:space="0" w:color="auto"/>
              <w:right w:val="nil"/>
            </w:tcBorders>
            <w:vAlign w:val="center"/>
          </w:tcPr>
          <w:p w14:paraId="1EDC52C1" w14:textId="0FCA1485" w:rsidR="00D739B5" w:rsidRPr="00D739B5" w:rsidRDefault="00D01B9E" w:rsidP="00D739B5">
            <w:pPr>
              <w:pStyle w:val="ae"/>
              <w:spacing w:after="0"/>
              <w:ind w:leftChars="0" w:left="0"/>
              <w:rPr>
                <w:rFonts w:eastAsia="PMingLiU" w:cs="Arial"/>
                <w:lang w:eastAsia="zh-CN"/>
              </w:rPr>
            </w:pPr>
            <w:r>
              <w:rPr>
                <w:noProof/>
              </w:rPr>
              <w:lastRenderedPageBreak/>
              <w:drawing>
                <wp:inline distT="0" distB="0" distL="0" distR="0" wp14:anchorId="5681E604" wp14:editId="0C6F331D">
                  <wp:extent cx="2880000" cy="1440000"/>
                  <wp:effectExtent l="0" t="0" r="0" b="8255"/>
                  <wp:docPr id="98" name="图表 98">
                    <a:extLst xmlns:a="http://schemas.openxmlformats.org/drawingml/2006/main">
                      <a:ext uri="{FF2B5EF4-FFF2-40B4-BE49-F238E27FC236}">
                        <a16:creationId xmlns:a16="http://schemas.microsoft.com/office/drawing/2014/main" id="{7452655D-428C-4EB0-AAD9-66E35DCDB6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p>
        </w:tc>
        <w:tc>
          <w:tcPr>
            <w:tcW w:w="283" w:type="dxa"/>
            <w:gridSpan w:val="2"/>
          </w:tcPr>
          <w:p w14:paraId="055F8B16" w14:textId="77777777" w:rsidR="00D739B5" w:rsidRPr="009B1FB9" w:rsidRDefault="00D739B5" w:rsidP="00D01B9E">
            <w:pPr>
              <w:pStyle w:val="ae"/>
              <w:spacing w:after="0"/>
              <w:ind w:leftChars="0" w:left="0"/>
              <w:rPr>
                <w:rFonts w:cs="Arial"/>
                <w:lang w:eastAsia="zh-CN"/>
              </w:rPr>
            </w:pPr>
          </w:p>
        </w:tc>
        <w:tc>
          <w:tcPr>
            <w:tcW w:w="5074" w:type="dxa"/>
            <w:gridSpan w:val="2"/>
            <w:tcBorders>
              <w:top w:val="single" w:sz="4" w:space="0" w:color="auto"/>
              <w:left w:val="nil"/>
              <w:bottom w:val="single" w:sz="4" w:space="0" w:color="auto"/>
              <w:right w:val="nil"/>
            </w:tcBorders>
          </w:tcPr>
          <w:p w14:paraId="3D677DB8" w14:textId="2507B709" w:rsidR="00D739B5" w:rsidRPr="009B1FB9" w:rsidRDefault="00D01B9E" w:rsidP="00D01B9E">
            <w:pPr>
              <w:pStyle w:val="ae"/>
              <w:spacing w:after="0"/>
              <w:ind w:leftChars="0" w:left="0"/>
              <w:jc w:val="both"/>
              <w:rPr>
                <w:rFonts w:cs="Arial"/>
                <w:lang w:eastAsia="zh-CN"/>
              </w:rPr>
            </w:pPr>
            <w:r>
              <w:rPr>
                <w:noProof/>
              </w:rPr>
              <w:drawing>
                <wp:inline distT="0" distB="0" distL="0" distR="0" wp14:anchorId="3405A4BE" wp14:editId="2180C50E">
                  <wp:extent cx="2880000" cy="1440000"/>
                  <wp:effectExtent l="0" t="0" r="0" b="8255"/>
                  <wp:docPr id="99" name="图表 99">
                    <a:extLst xmlns:a="http://schemas.openxmlformats.org/drawingml/2006/main">
                      <a:ext uri="{FF2B5EF4-FFF2-40B4-BE49-F238E27FC236}">
                        <a16:creationId xmlns:a16="http://schemas.microsoft.com/office/drawing/2014/main" id="{C67CB92D-DBCB-4F59-8D5B-935270B903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inline>
              </w:drawing>
            </w:r>
          </w:p>
        </w:tc>
      </w:tr>
      <w:tr w:rsidR="00D739B5" w:rsidRPr="00C72F7D" w14:paraId="509D8D09" w14:textId="77777777" w:rsidTr="00D01B9E">
        <w:tc>
          <w:tcPr>
            <w:tcW w:w="5074" w:type="dxa"/>
            <w:gridSpan w:val="2"/>
            <w:tcBorders>
              <w:left w:val="nil"/>
              <w:bottom w:val="nil"/>
              <w:right w:val="nil"/>
            </w:tcBorders>
            <w:hideMark/>
          </w:tcPr>
          <w:p w14:paraId="593D4E2F" w14:textId="755DC92F" w:rsidR="00D739B5" w:rsidRPr="00C72F7D" w:rsidRDefault="00D739B5" w:rsidP="00D01B9E">
            <w:pPr>
              <w:pStyle w:val="af0"/>
              <w:ind w:leftChars="-54" w:left="-130"/>
              <w:rPr>
                <w:lang w:eastAsia="zh-CN"/>
              </w:rPr>
            </w:pPr>
            <w:bookmarkStart w:id="43" w:name="_Toc65772359"/>
            <w:r>
              <w:rPr>
                <w:rFonts w:hint="eastAsia"/>
                <w:lang w:eastAsia="zh-CN"/>
              </w:rPr>
              <w:t>图</w:t>
            </w:r>
            <w:r>
              <w:rPr>
                <w:lang w:eastAsia="zh-CN"/>
              </w:rPr>
              <w:t xml:space="preserve"> </w:t>
            </w:r>
            <w:r>
              <w:rPr>
                <w:lang w:eastAsia="zh-CN"/>
              </w:rPr>
              <w:fldChar w:fldCharType="begin"/>
            </w:r>
            <w:r w:rsidRPr="00716F0C">
              <w:rPr>
                <w:lang w:eastAsia="zh-CN"/>
              </w:rPr>
              <w:instrText xml:space="preserve"> SEQ </w:instrText>
            </w:r>
            <w:r w:rsidRPr="00716F0C">
              <w:rPr>
                <w:lang w:eastAsia="zh-CN"/>
              </w:rPr>
              <w:instrText>图</w:instrText>
            </w:r>
            <w:r w:rsidRPr="00716F0C">
              <w:rPr>
                <w:lang w:eastAsia="zh-CN"/>
              </w:rPr>
              <w:instrText xml:space="preserve"> \* ARABIC </w:instrText>
            </w:r>
            <w:r>
              <w:rPr>
                <w:lang w:eastAsia="zh-CN"/>
              </w:rPr>
              <w:fldChar w:fldCharType="separate"/>
            </w:r>
            <w:r w:rsidR="0010512F">
              <w:rPr>
                <w:noProof/>
                <w:lang w:eastAsia="zh-CN"/>
              </w:rPr>
              <w:t>7</w:t>
            </w:r>
            <w:r>
              <w:rPr>
                <w:lang w:eastAsia="zh-CN"/>
              </w:rPr>
              <w:fldChar w:fldCharType="end"/>
            </w:r>
            <w:r>
              <w:rPr>
                <w:rFonts w:hint="eastAsia"/>
                <w:lang w:eastAsia="zh-CN"/>
              </w:rPr>
              <w:t>：</w:t>
            </w:r>
            <w:r w:rsidR="00D01B9E">
              <w:rPr>
                <w:rFonts w:hint="eastAsia"/>
                <w:lang w:eastAsia="zh-CN"/>
              </w:rPr>
              <w:t>灵活配置型</w:t>
            </w:r>
            <w:r w:rsidR="00C374B0" w:rsidRPr="0040539B">
              <w:rPr>
                <w:rFonts w:hint="eastAsia"/>
                <w:lang w:eastAsia="zh-CN"/>
              </w:rPr>
              <w:t>基金</w:t>
            </w:r>
            <w:r w:rsidRPr="0040539B">
              <w:rPr>
                <w:rFonts w:hint="eastAsia"/>
                <w:lang w:eastAsia="zh-CN"/>
              </w:rPr>
              <w:t>所选</w:t>
            </w:r>
            <w:r>
              <w:rPr>
                <w:rFonts w:hint="eastAsia"/>
                <w:lang w:eastAsia="zh-CN"/>
              </w:rPr>
              <w:t>第一</w:t>
            </w:r>
            <w:r w:rsidRPr="0040539B">
              <w:rPr>
                <w:rFonts w:hint="eastAsia"/>
                <w:lang w:eastAsia="zh-CN"/>
              </w:rPr>
              <w:t>基准对应的基金数目</w:t>
            </w:r>
            <w:bookmarkEnd w:id="43"/>
          </w:p>
        </w:tc>
        <w:tc>
          <w:tcPr>
            <w:tcW w:w="283" w:type="dxa"/>
            <w:gridSpan w:val="2"/>
          </w:tcPr>
          <w:p w14:paraId="1FED51EB" w14:textId="77777777" w:rsidR="00D739B5" w:rsidRPr="0040539B" w:rsidRDefault="00D739B5" w:rsidP="00D01B9E">
            <w:pPr>
              <w:pStyle w:val="af0"/>
              <w:ind w:leftChars="-54" w:left="-130"/>
              <w:rPr>
                <w:lang w:eastAsia="zh-CN"/>
              </w:rPr>
            </w:pPr>
          </w:p>
        </w:tc>
        <w:tc>
          <w:tcPr>
            <w:tcW w:w="5074" w:type="dxa"/>
            <w:gridSpan w:val="2"/>
            <w:tcBorders>
              <w:left w:val="nil"/>
              <w:bottom w:val="nil"/>
              <w:right w:val="nil"/>
            </w:tcBorders>
            <w:hideMark/>
          </w:tcPr>
          <w:p w14:paraId="6E6C6CF9" w14:textId="111ECFCB" w:rsidR="00D739B5" w:rsidRPr="00C72F7D" w:rsidRDefault="00D739B5" w:rsidP="00D01B9E">
            <w:pPr>
              <w:pStyle w:val="af0"/>
              <w:ind w:leftChars="-54" w:left="-130"/>
              <w:rPr>
                <w:lang w:eastAsia="zh-CN"/>
              </w:rPr>
            </w:pPr>
            <w:bookmarkStart w:id="44" w:name="_Toc65772360"/>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10512F">
              <w:rPr>
                <w:noProof/>
                <w:lang w:eastAsia="zh-CN"/>
              </w:rPr>
              <w:t>8</w:t>
            </w:r>
            <w:r>
              <w:rPr>
                <w:lang w:eastAsia="zh-CN"/>
              </w:rPr>
              <w:fldChar w:fldCharType="end"/>
            </w:r>
            <w:r>
              <w:rPr>
                <w:rFonts w:hint="eastAsia"/>
                <w:lang w:eastAsia="zh-CN"/>
              </w:rPr>
              <w:t>：</w:t>
            </w:r>
            <w:r w:rsidR="00D01B9E">
              <w:rPr>
                <w:rFonts w:hint="eastAsia"/>
                <w:lang w:eastAsia="zh-CN"/>
              </w:rPr>
              <w:t>灵活配置型</w:t>
            </w:r>
            <w:r w:rsidR="00C374B0" w:rsidRPr="0040539B">
              <w:rPr>
                <w:rFonts w:hint="eastAsia"/>
                <w:lang w:eastAsia="zh-CN"/>
              </w:rPr>
              <w:t>基金</w:t>
            </w:r>
            <w:r w:rsidRPr="0040539B">
              <w:rPr>
                <w:rFonts w:hint="eastAsia"/>
                <w:lang w:eastAsia="zh-CN"/>
              </w:rPr>
              <w:t>所选</w:t>
            </w:r>
            <w:r>
              <w:rPr>
                <w:rFonts w:hint="eastAsia"/>
                <w:lang w:eastAsia="zh-CN"/>
              </w:rPr>
              <w:t>第二</w:t>
            </w:r>
            <w:r w:rsidRPr="0040539B">
              <w:rPr>
                <w:rFonts w:hint="eastAsia"/>
                <w:lang w:eastAsia="zh-CN"/>
              </w:rPr>
              <w:t>基准对应的基金数目</w:t>
            </w:r>
            <w:bookmarkEnd w:id="44"/>
          </w:p>
        </w:tc>
      </w:tr>
      <w:tr w:rsidR="00D739B5" w:rsidRPr="009B1FB9" w14:paraId="37505884" w14:textId="77777777" w:rsidTr="00D01B9E">
        <w:trPr>
          <w:trHeight w:val="3005"/>
        </w:trPr>
        <w:tc>
          <w:tcPr>
            <w:tcW w:w="5074" w:type="dxa"/>
            <w:gridSpan w:val="2"/>
            <w:tcBorders>
              <w:top w:val="single" w:sz="4" w:space="0" w:color="auto"/>
              <w:left w:val="nil"/>
              <w:bottom w:val="single" w:sz="4" w:space="0" w:color="auto"/>
              <w:right w:val="nil"/>
            </w:tcBorders>
            <w:hideMark/>
          </w:tcPr>
          <w:p w14:paraId="4738606B" w14:textId="3E102585" w:rsidR="00D739B5" w:rsidRPr="0040539B" w:rsidRDefault="00D01B9E" w:rsidP="00D01B9E">
            <w:pPr>
              <w:pStyle w:val="aff2"/>
              <w:ind w:leftChars="-54" w:left="-130"/>
            </w:pPr>
            <w:r>
              <w:rPr>
                <w:noProof/>
              </w:rPr>
              <w:drawing>
                <wp:inline distT="0" distB="0" distL="0" distR="0" wp14:anchorId="0C7C45DC" wp14:editId="542FA908">
                  <wp:extent cx="2880000" cy="1440000"/>
                  <wp:effectExtent l="0" t="0" r="0" b="8255"/>
                  <wp:docPr id="104" name="图表 104">
                    <a:extLst xmlns:a="http://schemas.openxmlformats.org/drawingml/2006/main">
                      <a:ext uri="{FF2B5EF4-FFF2-40B4-BE49-F238E27FC236}">
                        <a16:creationId xmlns:a16="http://schemas.microsoft.com/office/drawing/2014/main" id="{275A4994-8796-47A9-85D1-62E9F5774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7"/>
                    </a:graphicData>
                  </a:graphic>
                </wp:inline>
              </w:drawing>
            </w:r>
          </w:p>
        </w:tc>
        <w:tc>
          <w:tcPr>
            <w:tcW w:w="283" w:type="dxa"/>
            <w:gridSpan w:val="2"/>
            <w:tcBorders>
              <w:bottom w:val="single" w:sz="4" w:space="0" w:color="auto"/>
            </w:tcBorders>
          </w:tcPr>
          <w:p w14:paraId="58D7D404" w14:textId="77777777" w:rsidR="00D739B5" w:rsidRPr="0040539B" w:rsidRDefault="00D739B5" w:rsidP="00D01B9E">
            <w:pPr>
              <w:pStyle w:val="ae"/>
              <w:spacing w:after="0"/>
              <w:ind w:leftChars="0" w:left="0"/>
              <w:rPr>
                <w:color w:val="0F243E"/>
                <w:sz w:val="18"/>
                <w:lang w:eastAsia="zh-CN"/>
              </w:rPr>
            </w:pPr>
          </w:p>
        </w:tc>
        <w:tc>
          <w:tcPr>
            <w:tcW w:w="5074" w:type="dxa"/>
            <w:gridSpan w:val="2"/>
            <w:tcBorders>
              <w:top w:val="single" w:sz="4" w:space="0" w:color="auto"/>
              <w:left w:val="nil"/>
              <w:bottom w:val="single" w:sz="4" w:space="0" w:color="auto"/>
              <w:right w:val="nil"/>
            </w:tcBorders>
            <w:hideMark/>
          </w:tcPr>
          <w:p w14:paraId="6AED93EA" w14:textId="510477B9" w:rsidR="00D739B5" w:rsidRPr="0040539B" w:rsidRDefault="00D01B9E" w:rsidP="00D01B9E">
            <w:pPr>
              <w:pStyle w:val="aff2"/>
              <w:ind w:leftChars="-41" w:left="-98"/>
            </w:pPr>
            <w:r>
              <w:rPr>
                <w:noProof/>
              </w:rPr>
              <w:drawing>
                <wp:inline distT="0" distB="0" distL="0" distR="0" wp14:anchorId="3371E3C7" wp14:editId="54A4DA28">
                  <wp:extent cx="2880000" cy="1440000"/>
                  <wp:effectExtent l="0" t="0" r="0" b="8255"/>
                  <wp:docPr id="105" name="图表 105">
                    <a:extLst xmlns:a="http://schemas.openxmlformats.org/drawingml/2006/main">
                      <a:ext uri="{FF2B5EF4-FFF2-40B4-BE49-F238E27FC236}">
                        <a16:creationId xmlns:a16="http://schemas.microsoft.com/office/drawing/2014/main" id="{3101A38D-4BEA-42FC-9296-B028FF6BFE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8"/>
                    </a:graphicData>
                  </a:graphic>
                </wp:inline>
              </w:drawing>
            </w:r>
          </w:p>
        </w:tc>
      </w:tr>
      <w:tr w:rsidR="00C374B0" w:rsidRPr="00C72F7D" w14:paraId="67604FB2" w14:textId="77777777" w:rsidTr="00D01B9E">
        <w:tc>
          <w:tcPr>
            <w:tcW w:w="5074" w:type="dxa"/>
            <w:gridSpan w:val="2"/>
            <w:tcBorders>
              <w:left w:val="nil"/>
              <w:bottom w:val="single" w:sz="4" w:space="0" w:color="auto"/>
              <w:right w:val="nil"/>
            </w:tcBorders>
            <w:hideMark/>
          </w:tcPr>
          <w:p w14:paraId="206097FF" w14:textId="29181D26" w:rsidR="00C374B0" w:rsidRPr="00C72F7D" w:rsidRDefault="00C374B0" w:rsidP="00C374B0">
            <w:pPr>
              <w:pStyle w:val="af0"/>
              <w:ind w:leftChars="-54" w:left="-130"/>
              <w:rPr>
                <w:lang w:eastAsia="zh-CN"/>
              </w:rPr>
            </w:pPr>
            <w:bookmarkStart w:id="45" w:name="_Toc65772361"/>
            <w:r>
              <w:rPr>
                <w:rFonts w:hint="eastAsia"/>
                <w:lang w:eastAsia="zh-CN"/>
              </w:rPr>
              <w:t>图</w:t>
            </w:r>
            <w:r>
              <w:rPr>
                <w:lang w:eastAsia="zh-CN"/>
              </w:rPr>
              <w:t xml:space="preserve"> </w:t>
            </w:r>
            <w:r>
              <w:rPr>
                <w:lang w:eastAsia="zh-CN"/>
              </w:rPr>
              <w:fldChar w:fldCharType="begin"/>
            </w:r>
            <w:r w:rsidRPr="00716F0C">
              <w:rPr>
                <w:lang w:eastAsia="zh-CN"/>
              </w:rPr>
              <w:instrText xml:space="preserve"> SEQ </w:instrText>
            </w:r>
            <w:r w:rsidRPr="00716F0C">
              <w:rPr>
                <w:lang w:eastAsia="zh-CN"/>
              </w:rPr>
              <w:instrText>图</w:instrText>
            </w:r>
            <w:r w:rsidRPr="00716F0C">
              <w:rPr>
                <w:lang w:eastAsia="zh-CN"/>
              </w:rPr>
              <w:instrText xml:space="preserve"> \* ARABIC </w:instrText>
            </w:r>
            <w:r>
              <w:rPr>
                <w:lang w:eastAsia="zh-CN"/>
              </w:rPr>
              <w:fldChar w:fldCharType="separate"/>
            </w:r>
            <w:r w:rsidR="0010512F">
              <w:rPr>
                <w:noProof/>
                <w:lang w:eastAsia="zh-CN"/>
              </w:rPr>
              <w:t>9</w:t>
            </w:r>
            <w:r>
              <w:rPr>
                <w:lang w:eastAsia="zh-CN"/>
              </w:rPr>
              <w:fldChar w:fldCharType="end"/>
            </w:r>
            <w:r>
              <w:rPr>
                <w:rFonts w:hint="eastAsia"/>
                <w:lang w:eastAsia="zh-CN"/>
              </w:rPr>
              <w:t>：</w:t>
            </w:r>
            <w:r w:rsidR="00D01B9E">
              <w:rPr>
                <w:rFonts w:hint="eastAsia"/>
                <w:lang w:eastAsia="zh-CN"/>
              </w:rPr>
              <w:t>普通股票型基金</w:t>
            </w:r>
            <w:r w:rsidRPr="0040539B">
              <w:rPr>
                <w:rFonts w:hint="eastAsia"/>
                <w:lang w:eastAsia="zh-CN"/>
              </w:rPr>
              <w:t>所选</w:t>
            </w:r>
            <w:r>
              <w:rPr>
                <w:rFonts w:hint="eastAsia"/>
                <w:lang w:eastAsia="zh-CN"/>
              </w:rPr>
              <w:t>第一</w:t>
            </w:r>
            <w:r w:rsidRPr="0040539B">
              <w:rPr>
                <w:rFonts w:hint="eastAsia"/>
                <w:lang w:eastAsia="zh-CN"/>
              </w:rPr>
              <w:t>基准对应的基金数目</w:t>
            </w:r>
            <w:bookmarkEnd w:id="45"/>
          </w:p>
        </w:tc>
        <w:tc>
          <w:tcPr>
            <w:tcW w:w="283" w:type="dxa"/>
            <w:gridSpan w:val="2"/>
            <w:tcBorders>
              <w:bottom w:val="single" w:sz="4" w:space="0" w:color="auto"/>
            </w:tcBorders>
          </w:tcPr>
          <w:p w14:paraId="34B3D586" w14:textId="77777777" w:rsidR="00C374B0" w:rsidRPr="0040539B" w:rsidRDefault="00C374B0" w:rsidP="00C374B0">
            <w:pPr>
              <w:pStyle w:val="af0"/>
              <w:ind w:leftChars="-54" w:left="-130"/>
              <w:rPr>
                <w:lang w:eastAsia="zh-CN"/>
              </w:rPr>
            </w:pPr>
          </w:p>
        </w:tc>
        <w:tc>
          <w:tcPr>
            <w:tcW w:w="5074" w:type="dxa"/>
            <w:gridSpan w:val="2"/>
            <w:tcBorders>
              <w:left w:val="nil"/>
              <w:bottom w:val="single" w:sz="4" w:space="0" w:color="auto"/>
              <w:right w:val="nil"/>
            </w:tcBorders>
            <w:hideMark/>
          </w:tcPr>
          <w:p w14:paraId="72133EE2" w14:textId="7FAA3278" w:rsidR="00C374B0" w:rsidRPr="00C72F7D" w:rsidRDefault="00C374B0" w:rsidP="00C374B0">
            <w:pPr>
              <w:pStyle w:val="af0"/>
              <w:ind w:leftChars="-54" w:left="-130"/>
              <w:rPr>
                <w:lang w:eastAsia="zh-CN"/>
              </w:rPr>
            </w:pPr>
            <w:bookmarkStart w:id="46" w:name="_Toc65772362"/>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10512F">
              <w:rPr>
                <w:noProof/>
                <w:lang w:eastAsia="zh-CN"/>
              </w:rPr>
              <w:t>10</w:t>
            </w:r>
            <w:r>
              <w:rPr>
                <w:lang w:eastAsia="zh-CN"/>
              </w:rPr>
              <w:fldChar w:fldCharType="end"/>
            </w:r>
            <w:r>
              <w:rPr>
                <w:rFonts w:hint="eastAsia"/>
                <w:lang w:eastAsia="zh-CN"/>
              </w:rPr>
              <w:t>：</w:t>
            </w:r>
            <w:r w:rsidR="00D01B9E">
              <w:rPr>
                <w:rFonts w:hint="eastAsia"/>
                <w:lang w:eastAsia="zh-CN"/>
              </w:rPr>
              <w:t>普通股票型基金</w:t>
            </w:r>
            <w:r w:rsidRPr="0040539B">
              <w:rPr>
                <w:rFonts w:hint="eastAsia"/>
                <w:lang w:eastAsia="zh-CN"/>
              </w:rPr>
              <w:t>所选</w:t>
            </w:r>
            <w:r>
              <w:rPr>
                <w:rFonts w:hint="eastAsia"/>
                <w:lang w:eastAsia="zh-CN"/>
              </w:rPr>
              <w:t>第二</w:t>
            </w:r>
            <w:r w:rsidRPr="0040539B">
              <w:rPr>
                <w:rFonts w:hint="eastAsia"/>
                <w:lang w:eastAsia="zh-CN"/>
              </w:rPr>
              <w:t>基准对应的基金数目</w:t>
            </w:r>
            <w:bookmarkEnd w:id="46"/>
          </w:p>
        </w:tc>
      </w:tr>
      <w:tr w:rsidR="00D739B5" w:rsidRPr="009B1FB9" w14:paraId="305FF9A5" w14:textId="77777777" w:rsidTr="00D01B9E">
        <w:tc>
          <w:tcPr>
            <w:tcW w:w="5074" w:type="dxa"/>
            <w:gridSpan w:val="2"/>
            <w:tcBorders>
              <w:top w:val="single" w:sz="4" w:space="0" w:color="auto"/>
              <w:left w:val="nil"/>
              <w:bottom w:val="single" w:sz="4" w:space="0" w:color="auto"/>
              <w:right w:val="nil"/>
            </w:tcBorders>
            <w:hideMark/>
          </w:tcPr>
          <w:p w14:paraId="74DE5992" w14:textId="03AE5D19" w:rsidR="00D739B5" w:rsidRPr="0040539B" w:rsidRDefault="00D01B9E" w:rsidP="00D01B9E">
            <w:pPr>
              <w:pStyle w:val="aff2"/>
              <w:ind w:leftChars="-54" w:left="-130"/>
            </w:pPr>
            <w:r>
              <w:rPr>
                <w:noProof/>
              </w:rPr>
              <w:drawing>
                <wp:inline distT="0" distB="0" distL="0" distR="0" wp14:anchorId="53363304" wp14:editId="70D9D7F9">
                  <wp:extent cx="2880000" cy="1440000"/>
                  <wp:effectExtent l="0" t="0" r="0" b="8255"/>
                  <wp:docPr id="106" name="图表 106">
                    <a:extLst xmlns:a="http://schemas.openxmlformats.org/drawingml/2006/main">
                      <a:ext uri="{FF2B5EF4-FFF2-40B4-BE49-F238E27FC236}">
                        <a16:creationId xmlns:a16="http://schemas.microsoft.com/office/drawing/2014/main" id="{7FD5FEB9-9C99-49A2-9C9B-6840D8C1EC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9"/>
                    </a:graphicData>
                  </a:graphic>
                </wp:inline>
              </w:drawing>
            </w:r>
          </w:p>
        </w:tc>
        <w:tc>
          <w:tcPr>
            <w:tcW w:w="283" w:type="dxa"/>
            <w:gridSpan w:val="2"/>
            <w:tcBorders>
              <w:top w:val="single" w:sz="4" w:space="0" w:color="auto"/>
              <w:bottom w:val="single" w:sz="4" w:space="0" w:color="auto"/>
            </w:tcBorders>
          </w:tcPr>
          <w:p w14:paraId="111F2430" w14:textId="77777777" w:rsidR="00D739B5" w:rsidRPr="0040539B" w:rsidRDefault="00D739B5" w:rsidP="00D01B9E">
            <w:pPr>
              <w:pStyle w:val="ae"/>
              <w:spacing w:after="0"/>
              <w:ind w:leftChars="0" w:left="0"/>
              <w:rPr>
                <w:color w:val="0F243E"/>
                <w:sz w:val="18"/>
                <w:lang w:eastAsia="zh-CN"/>
              </w:rPr>
            </w:pPr>
          </w:p>
        </w:tc>
        <w:tc>
          <w:tcPr>
            <w:tcW w:w="5074" w:type="dxa"/>
            <w:gridSpan w:val="2"/>
            <w:tcBorders>
              <w:top w:val="single" w:sz="4" w:space="0" w:color="auto"/>
              <w:left w:val="nil"/>
              <w:bottom w:val="single" w:sz="4" w:space="0" w:color="auto"/>
              <w:right w:val="nil"/>
            </w:tcBorders>
            <w:hideMark/>
          </w:tcPr>
          <w:p w14:paraId="72BBF983" w14:textId="205C5E32" w:rsidR="00D739B5" w:rsidRPr="0040539B" w:rsidRDefault="00D01B9E" w:rsidP="00D01B9E">
            <w:pPr>
              <w:pStyle w:val="aff2"/>
              <w:ind w:leftChars="-41" w:left="-98"/>
            </w:pPr>
            <w:r>
              <w:rPr>
                <w:noProof/>
              </w:rPr>
              <w:drawing>
                <wp:inline distT="0" distB="0" distL="0" distR="0" wp14:anchorId="12965BD7" wp14:editId="50C1760A">
                  <wp:extent cx="2880000" cy="1440000"/>
                  <wp:effectExtent l="0" t="0" r="0" b="8255"/>
                  <wp:docPr id="107" name="图表 107">
                    <a:extLst xmlns:a="http://schemas.openxmlformats.org/drawingml/2006/main">
                      <a:ext uri="{FF2B5EF4-FFF2-40B4-BE49-F238E27FC236}">
                        <a16:creationId xmlns:a16="http://schemas.microsoft.com/office/drawing/2014/main" id="{2B69E5B6-A68C-4367-939E-B3B7458B88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0"/>
                    </a:graphicData>
                  </a:graphic>
                </wp:inline>
              </w:drawing>
            </w:r>
          </w:p>
        </w:tc>
      </w:tr>
    </w:tbl>
    <w:p w14:paraId="6CF90DE0" w14:textId="77777777" w:rsidR="00D739B5" w:rsidRDefault="00D739B5" w:rsidP="00D739B5">
      <w:pPr>
        <w:rPr>
          <w:lang w:eastAsia="zh-CN"/>
        </w:rPr>
      </w:pPr>
      <w:r>
        <w:rPr>
          <w:lang w:eastAsia="zh-CN"/>
        </w:rPr>
        <w:br w:type="page"/>
      </w:r>
    </w:p>
    <w:p w14:paraId="29962989" w14:textId="77777777" w:rsidR="00D739B5" w:rsidRDefault="00D739B5" w:rsidP="00D739B5">
      <w:pPr>
        <w:rPr>
          <w:lang w:eastAsia="zh-CN"/>
        </w:rPr>
      </w:pPr>
    </w:p>
    <w:tbl>
      <w:tblPr>
        <w:tblW w:w="10431" w:type="dxa"/>
        <w:tblInd w:w="130" w:type="dxa"/>
        <w:tblLayout w:type="fixed"/>
        <w:tblLook w:val="04A0" w:firstRow="1" w:lastRow="0" w:firstColumn="1" w:lastColumn="0" w:noHBand="0" w:noVBand="1"/>
      </w:tblPr>
      <w:tblGrid>
        <w:gridCol w:w="5074"/>
        <w:gridCol w:w="283"/>
        <w:gridCol w:w="5074"/>
      </w:tblGrid>
      <w:tr w:rsidR="00C374B0" w:rsidRPr="00C72F7D" w14:paraId="240E67B5" w14:textId="77777777" w:rsidTr="00D01B9E">
        <w:tc>
          <w:tcPr>
            <w:tcW w:w="5074" w:type="dxa"/>
            <w:tcBorders>
              <w:left w:val="nil"/>
              <w:bottom w:val="single" w:sz="4" w:space="0" w:color="auto"/>
              <w:right w:val="nil"/>
            </w:tcBorders>
            <w:hideMark/>
          </w:tcPr>
          <w:p w14:paraId="00C43AA0" w14:textId="77805E3E" w:rsidR="00C374B0" w:rsidRPr="00C72F7D" w:rsidRDefault="00C374B0" w:rsidP="00C374B0">
            <w:pPr>
              <w:pStyle w:val="af0"/>
              <w:ind w:leftChars="-54" w:left="-130"/>
              <w:rPr>
                <w:lang w:eastAsia="zh-CN"/>
              </w:rPr>
            </w:pPr>
            <w:bookmarkStart w:id="47" w:name="_Toc65772363"/>
            <w:r>
              <w:rPr>
                <w:rFonts w:hint="eastAsia"/>
                <w:lang w:eastAsia="zh-CN"/>
              </w:rPr>
              <w:t>图</w:t>
            </w:r>
            <w:r>
              <w:rPr>
                <w:lang w:eastAsia="zh-CN"/>
              </w:rPr>
              <w:t xml:space="preserve"> </w:t>
            </w:r>
            <w:r>
              <w:rPr>
                <w:lang w:eastAsia="zh-CN"/>
              </w:rPr>
              <w:fldChar w:fldCharType="begin"/>
            </w:r>
            <w:r w:rsidRPr="00716F0C">
              <w:rPr>
                <w:lang w:eastAsia="zh-CN"/>
              </w:rPr>
              <w:instrText xml:space="preserve"> SEQ </w:instrText>
            </w:r>
            <w:r w:rsidRPr="00716F0C">
              <w:rPr>
                <w:lang w:eastAsia="zh-CN"/>
              </w:rPr>
              <w:instrText>图</w:instrText>
            </w:r>
            <w:r w:rsidRPr="00716F0C">
              <w:rPr>
                <w:lang w:eastAsia="zh-CN"/>
              </w:rPr>
              <w:instrText xml:space="preserve"> \* ARABIC </w:instrText>
            </w:r>
            <w:r>
              <w:rPr>
                <w:lang w:eastAsia="zh-CN"/>
              </w:rPr>
              <w:fldChar w:fldCharType="separate"/>
            </w:r>
            <w:r w:rsidR="0010512F">
              <w:rPr>
                <w:noProof/>
                <w:lang w:eastAsia="zh-CN"/>
              </w:rPr>
              <w:t>11</w:t>
            </w:r>
            <w:r>
              <w:rPr>
                <w:lang w:eastAsia="zh-CN"/>
              </w:rPr>
              <w:fldChar w:fldCharType="end"/>
            </w:r>
            <w:r>
              <w:rPr>
                <w:rFonts w:hint="eastAsia"/>
                <w:lang w:eastAsia="zh-CN"/>
              </w:rPr>
              <w:t>：</w:t>
            </w:r>
            <w:r>
              <w:rPr>
                <w:rFonts w:hint="eastAsia"/>
                <w:lang w:eastAsia="zh-CN"/>
              </w:rPr>
              <w:t>Wind</w:t>
            </w:r>
            <w:r w:rsidRPr="0040539B">
              <w:rPr>
                <w:rFonts w:hint="eastAsia"/>
                <w:lang w:eastAsia="zh-CN"/>
              </w:rPr>
              <w:t>基金</w:t>
            </w:r>
            <w:r>
              <w:rPr>
                <w:rFonts w:hint="eastAsia"/>
                <w:lang w:eastAsia="zh-CN"/>
              </w:rPr>
              <w:t>一级分类</w:t>
            </w:r>
            <w:r w:rsidRPr="0040539B">
              <w:rPr>
                <w:rFonts w:hint="eastAsia"/>
                <w:lang w:eastAsia="zh-CN"/>
              </w:rPr>
              <w:t>所选</w:t>
            </w:r>
            <w:r>
              <w:rPr>
                <w:rFonts w:hint="eastAsia"/>
                <w:lang w:eastAsia="zh-CN"/>
              </w:rPr>
              <w:t>第一</w:t>
            </w:r>
            <w:r w:rsidRPr="0040539B">
              <w:rPr>
                <w:rFonts w:hint="eastAsia"/>
                <w:lang w:eastAsia="zh-CN"/>
              </w:rPr>
              <w:t>基准对应的基金数目</w:t>
            </w:r>
            <w:bookmarkEnd w:id="47"/>
          </w:p>
        </w:tc>
        <w:tc>
          <w:tcPr>
            <w:tcW w:w="283" w:type="dxa"/>
            <w:tcBorders>
              <w:bottom w:val="single" w:sz="4" w:space="0" w:color="auto"/>
            </w:tcBorders>
          </w:tcPr>
          <w:p w14:paraId="0309B50A" w14:textId="77777777" w:rsidR="00C374B0" w:rsidRPr="0040539B" w:rsidRDefault="00C374B0" w:rsidP="00C374B0">
            <w:pPr>
              <w:pStyle w:val="af0"/>
              <w:ind w:leftChars="-54" w:left="-130"/>
              <w:rPr>
                <w:lang w:eastAsia="zh-CN"/>
              </w:rPr>
            </w:pPr>
          </w:p>
        </w:tc>
        <w:tc>
          <w:tcPr>
            <w:tcW w:w="5074" w:type="dxa"/>
            <w:tcBorders>
              <w:left w:val="nil"/>
              <w:bottom w:val="single" w:sz="4" w:space="0" w:color="auto"/>
              <w:right w:val="nil"/>
            </w:tcBorders>
            <w:hideMark/>
          </w:tcPr>
          <w:p w14:paraId="2672FADB" w14:textId="0748C837" w:rsidR="00C374B0" w:rsidRPr="00C72F7D" w:rsidRDefault="00C374B0" w:rsidP="00C374B0">
            <w:pPr>
              <w:pStyle w:val="af0"/>
              <w:ind w:leftChars="-54" w:left="-130"/>
              <w:rPr>
                <w:lang w:eastAsia="zh-CN"/>
              </w:rPr>
            </w:pPr>
            <w:bookmarkStart w:id="48" w:name="_Toc65772364"/>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10512F">
              <w:rPr>
                <w:noProof/>
                <w:lang w:eastAsia="zh-CN"/>
              </w:rPr>
              <w:t>12</w:t>
            </w:r>
            <w:r>
              <w:rPr>
                <w:lang w:eastAsia="zh-CN"/>
              </w:rPr>
              <w:fldChar w:fldCharType="end"/>
            </w:r>
            <w:r>
              <w:rPr>
                <w:rFonts w:hint="eastAsia"/>
                <w:lang w:eastAsia="zh-CN"/>
              </w:rPr>
              <w:t>：</w:t>
            </w:r>
            <w:r>
              <w:rPr>
                <w:rFonts w:hint="eastAsia"/>
                <w:lang w:eastAsia="zh-CN"/>
              </w:rPr>
              <w:t>Wind</w:t>
            </w:r>
            <w:r w:rsidRPr="0040539B">
              <w:rPr>
                <w:rFonts w:hint="eastAsia"/>
                <w:lang w:eastAsia="zh-CN"/>
              </w:rPr>
              <w:t>基金</w:t>
            </w:r>
            <w:r>
              <w:rPr>
                <w:rFonts w:hint="eastAsia"/>
                <w:lang w:eastAsia="zh-CN"/>
              </w:rPr>
              <w:t>一级分类</w:t>
            </w:r>
            <w:r w:rsidRPr="0040539B">
              <w:rPr>
                <w:rFonts w:hint="eastAsia"/>
                <w:lang w:eastAsia="zh-CN"/>
              </w:rPr>
              <w:t>所选</w:t>
            </w:r>
            <w:r>
              <w:rPr>
                <w:rFonts w:hint="eastAsia"/>
                <w:lang w:eastAsia="zh-CN"/>
              </w:rPr>
              <w:t>第二</w:t>
            </w:r>
            <w:r w:rsidRPr="0040539B">
              <w:rPr>
                <w:rFonts w:hint="eastAsia"/>
                <w:lang w:eastAsia="zh-CN"/>
              </w:rPr>
              <w:t>基准对应的基金数目</w:t>
            </w:r>
            <w:bookmarkEnd w:id="48"/>
          </w:p>
        </w:tc>
      </w:tr>
      <w:tr w:rsidR="00D739B5" w:rsidRPr="009B1FB9" w14:paraId="60F66D55" w14:textId="77777777" w:rsidTr="00D01B9E">
        <w:tc>
          <w:tcPr>
            <w:tcW w:w="5074" w:type="dxa"/>
            <w:tcBorders>
              <w:top w:val="single" w:sz="4" w:space="0" w:color="auto"/>
              <w:left w:val="nil"/>
              <w:bottom w:val="nil"/>
              <w:right w:val="nil"/>
            </w:tcBorders>
            <w:hideMark/>
          </w:tcPr>
          <w:p w14:paraId="57AD422A" w14:textId="0ABC33D3" w:rsidR="00D739B5" w:rsidRPr="0040539B" w:rsidRDefault="00D01B9E" w:rsidP="00D01B9E">
            <w:pPr>
              <w:pStyle w:val="aff2"/>
              <w:ind w:leftChars="-54" w:left="-130"/>
            </w:pPr>
            <w:r>
              <w:rPr>
                <w:noProof/>
              </w:rPr>
              <w:drawing>
                <wp:inline distT="0" distB="0" distL="0" distR="0" wp14:anchorId="711CDE38" wp14:editId="6BC58154">
                  <wp:extent cx="2880000" cy="1440000"/>
                  <wp:effectExtent l="0" t="0" r="0" b="8255"/>
                  <wp:docPr id="108" name="图表 108">
                    <a:extLst xmlns:a="http://schemas.openxmlformats.org/drawingml/2006/main">
                      <a:ext uri="{FF2B5EF4-FFF2-40B4-BE49-F238E27FC236}">
                        <a16:creationId xmlns:a16="http://schemas.microsoft.com/office/drawing/2014/main" id="{02D5D1DE-6717-4640-912F-78014DA35C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1"/>
                    </a:graphicData>
                  </a:graphic>
                </wp:inline>
              </w:drawing>
            </w:r>
          </w:p>
        </w:tc>
        <w:tc>
          <w:tcPr>
            <w:tcW w:w="283" w:type="dxa"/>
            <w:tcBorders>
              <w:top w:val="single" w:sz="4" w:space="0" w:color="auto"/>
            </w:tcBorders>
          </w:tcPr>
          <w:p w14:paraId="2CD01851" w14:textId="77777777" w:rsidR="00D739B5" w:rsidRPr="0040539B" w:rsidRDefault="00D739B5" w:rsidP="00D01B9E">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4641AF7F" w14:textId="47DDB799" w:rsidR="00D739B5" w:rsidRPr="0040539B" w:rsidRDefault="00D01B9E" w:rsidP="00D01B9E">
            <w:pPr>
              <w:pStyle w:val="aff2"/>
              <w:ind w:leftChars="-41" w:left="-98"/>
            </w:pPr>
            <w:r>
              <w:rPr>
                <w:noProof/>
              </w:rPr>
              <w:drawing>
                <wp:inline distT="0" distB="0" distL="0" distR="0" wp14:anchorId="1FD9517C" wp14:editId="475E5A6D">
                  <wp:extent cx="2880000" cy="1440000"/>
                  <wp:effectExtent l="0" t="0" r="0" b="8255"/>
                  <wp:docPr id="109" name="图表 109">
                    <a:extLst xmlns:a="http://schemas.openxmlformats.org/drawingml/2006/main">
                      <a:ext uri="{FF2B5EF4-FFF2-40B4-BE49-F238E27FC236}">
                        <a16:creationId xmlns:a16="http://schemas.microsoft.com/office/drawing/2014/main" id="{839B54CD-9EAF-4F19-AD59-BF6AC5B9B4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2"/>
                    </a:graphicData>
                  </a:graphic>
                </wp:inline>
              </w:drawing>
            </w:r>
          </w:p>
        </w:tc>
      </w:tr>
      <w:tr w:rsidR="00D739B5" w:rsidRPr="00C66411" w14:paraId="5AC49529" w14:textId="77777777" w:rsidTr="00D01B9E">
        <w:tc>
          <w:tcPr>
            <w:tcW w:w="5074" w:type="dxa"/>
            <w:tcBorders>
              <w:top w:val="single" w:sz="4" w:space="0" w:color="auto"/>
              <w:left w:val="nil"/>
              <w:bottom w:val="nil"/>
              <w:right w:val="nil"/>
            </w:tcBorders>
            <w:hideMark/>
          </w:tcPr>
          <w:p w14:paraId="68CD39AE" w14:textId="77777777" w:rsidR="00D739B5" w:rsidRPr="00C66411" w:rsidRDefault="00D739B5" w:rsidP="00D01B9E">
            <w:pPr>
              <w:pStyle w:val="aff2"/>
              <w:ind w:leftChars="-54" w:left="-130"/>
            </w:pPr>
            <w:r w:rsidRPr="00C66411">
              <w:t>数据来源：</w:t>
            </w:r>
            <w:r>
              <w:rPr>
                <w:rFonts w:hint="eastAsia"/>
              </w:rPr>
              <w:t>Wind</w:t>
            </w:r>
            <w:r w:rsidRPr="00C66411">
              <w:rPr>
                <w:rFonts w:hint="eastAsia"/>
              </w:rPr>
              <w:t>，</w:t>
            </w:r>
            <w:r w:rsidRPr="00C66411">
              <w:t>广发证券发展研究中心</w:t>
            </w:r>
          </w:p>
        </w:tc>
        <w:tc>
          <w:tcPr>
            <w:tcW w:w="283" w:type="dxa"/>
          </w:tcPr>
          <w:p w14:paraId="242AC651" w14:textId="77777777" w:rsidR="00D739B5" w:rsidRPr="00490D55" w:rsidRDefault="00D739B5" w:rsidP="00D01B9E">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1806DFCE" w14:textId="77777777" w:rsidR="00D739B5" w:rsidRPr="00C66411" w:rsidRDefault="00D739B5" w:rsidP="00D01B9E">
            <w:pPr>
              <w:pStyle w:val="aff2"/>
              <w:ind w:leftChars="-41" w:left="-98"/>
            </w:pPr>
            <w:r w:rsidRPr="00C66411">
              <w:t>数据来源：</w:t>
            </w:r>
            <w:r>
              <w:t>W</w:t>
            </w:r>
            <w:r>
              <w:rPr>
                <w:rFonts w:hint="eastAsia"/>
              </w:rPr>
              <w:t>ind</w:t>
            </w:r>
            <w:r w:rsidRPr="00C66411">
              <w:rPr>
                <w:rFonts w:hint="eastAsia"/>
              </w:rPr>
              <w:t>，</w:t>
            </w:r>
            <w:r w:rsidRPr="00C66411">
              <w:t>广发证券发展研究中心</w:t>
            </w:r>
          </w:p>
        </w:tc>
      </w:tr>
    </w:tbl>
    <w:p w14:paraId="429B2FFE" w14:textId="77777777" w:rsidR="00D739B5" w:rsidRPr="0040539B" w:rsidRDefault="00D739B5" w:rsidP="00D739B5">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14:paraId="3E05ED78" w14:textId="3CF5A371" w:rsidR="00EF2613" w:rsidRDefault="00EF2613" w:rsidP="009307D7">
      <w:pPr>
        <w:pStyle w:val="ae"/>
        <w:spacing w:beforeLines="50" w:before="163" w:afterLines="50" w:after="163" w:line="252" w:lineRule="auto"/>
        <w:ind w:left="3017"/>
        <w:jc w:val="both"/>
        <w:rPr>
          <w:lang w:eastAsia="zh-CN"/>
        </w:rPr>
      </w:pPr>
    </w:p>
    <w:tbl>
      <w:tblPr>
        <w:tblW w:w="0" w:type="auto"/>
        <w:tblLook w:val="04A0" w:firstRow="1" w:lastRow="0" w:firstColumn="1" w:lastColumn="0" w:noHBand="0" w:noVBand="1"/>
      </w:tblPr>
      <w:tblGrid>
        <w:gridCol w:w="216"/>
        <w:gridCol w:w="216"/>
        <w:gridCol w:w="2220"/>
        <w:gridCol w:w="216"/>
        <w:gridCol w:w="1541"/>
        <w:gridCol w:w="1451"/>
        <w:gridCol w:w="2084"/>
        <w:gridCol w:w="1451"/>
        <w:gridCol w:w="741"/>
        <w:gridCol w:w="710"/>
      </w:tblGrid>
      <w:tr w:rsidR="00215DD1" w:rsidRPr="00941673" w14:paraId="1D525A86" w14:textId="77777777" w:rsidTr="00215DD1">
        <w:trPr>
          <w:gridBefore w:val="1"/>
          <w:gridAfter w:val="1"/>
          <w:trHeight w:val="227"/>
        </w:trPr>
        <w:tc>
          <w:tcPr>
            <w:tcW w:w="0" w:type="auto"/>
            <w:gridSpan w:val="2"/>
            <w:tcBorders>
              <w:top w:val="nil"/>
              <w:left w:val="nil"/>
              <w:bottom w:val="single" w:sz="4" w:space="0" w:color="auto"/>
              <w:right w:val="nil"/>
            </w:tcBorders>
          </w:tcPr>
          <w:p w14:paraId="6A61E968" w14:textId="77777777" w:rsidR="00215DD1" w:rsidRPr="00941673" w:rsidRDefault="00215DD1" w:rsidP="00D01B9E">
            <w:pPr>
              <w:pStyle w:val="af"/>
              <w:rPr>
                <w:lang w:eastAsia="zh-CN"/>
              </w:rPr>
            </w:pPr>
          </w:p>
        </w:tc>
        <w:tc>
          <w:tcPr>
            <w:tcW w:w="0" w:type="auto"/>
            <w:gridSpan w:val="6"/>
            <w:tcBorders>
              <w:top w:val="nil"/>
              <w:left w:val="nil"/>
              <w:bottom w:val="single" w:sz="4" w:space="0" w:color="auto"/>
              <w:right w:val="nil"/>
            </w:tcBorders>
            <w:shd w:val="clear" w:color="auto" w:fill="auto"/>
            <w:hideMark/>
          </w:tcPr>
          <w:p w14:paraId="6D5CD488" w14:textId="62A26964" w:rsidR="00215DD1" w:rsidRPr="00941673" w:rsidRDefault="00215DD1" w:rsidP="00D01B9E">
            <w:pPr>
              <w:pStyle w:val="af"/>
              <w:rPr>
                <w:lang w:eastAsia="zh-CN"/>
              </w:rPr>
            </w:pPr>
            <w:bookmarkStart w:id="49" w:name="_Toc65772381"/>
            <w:r w:rsidRPr="00941673">
              <w:rPr>
                <w:rFonts w:hint="eastAsia"/>
                <w:lang w:eastAsia="zh-CN"/>
              </w:rPr>
              <w:t>表</w:t>
            </w:r>
            <w:r w:rsidRPr="00941673">
              <w:rPr>
                <w:rFonts w:hint="eastAsia"/>
                <w:lang w:eastAsia="zh-CN"/>
              </w:rPr>
              <w:t xml:space="preserve"> </w:t>
            </w:r>
            <w:r w:rsidRPr="00941673">
              <w:fldChar w:fldCharType="begin"/>
            </w:r>
            <w:r w:rsidRPr="00EF2613">
              <w:rPr>
                <w:lang w:eastAsia="zh-CN"/>
              </w:rPr>
              <w:instrText xml:space="preserve"> </w:instrText>
            </w:r>
            <w:r w:rsidRPr="00EF2613">
              <w:rPr>
                <w:rFonts w:hint="eastAsia"/>
                <w:lang w:eastAsia="zh-CN"/>
              </w:rPr>
              <w:instrText xml:space="preserve">SEQ </w:instrText>
            </w:r>
            <w:r w:rsidRPr="00EF2613">
              <w:rPr>
                <w:rFonts w:hint="eastAsia"/>
                <w:lang w:eastAsia="zh-CN"/>
              </w:rPr>
              <w:instrText>表</w:instrText>
            </w:r>
            <w:r w:rsidRPr="00EF2613">
              <w:rPr>
                <w:rFonts w:hint="eastAsia"/>
                <w:lang w:eastAsia="zh-CN"/>
              </w:rPr>
              <w:instrText xml:space="preserve"> \* ARABIC</w:instrText>
            </w:r>
            <w:r w:rsidRPr="00EF2613">
              <w:rPr>
                <w:lang w:eastAsia="zh-CN"/>
              </w:rPr>
              <w:instrText xml:space="preserve"> </w:instrText>
            </w:r>
            <w:r w:rsidRPr="00941673">
              <w:fldChar w:fldCharType="separate"/>
            </w:r>
            <w:r w:rsidR="0010512F">
              <w:rPr>
                <w:noProof/>
                <w:lang w:eastAsia="zh-CN"/>
              </w:rPr>
              <w:t>5</w:t>
            </w:r>
            <w:r w:rsidRPr="00941673">
              <w:fldChar w:fldCharType="end"/>
            </w:r>
            <w:r w:rsidRPr="00941673">
              <w:rPr>
                <w:rFonts w:hint="eastAsia"/>
                <w:lang w:eastAsia="zh-CN"/>
              </w:rPr>
              <w:t>：</w:t>
            </w:r>
            <w:r>
              <w:rPr>
                <w:rFonts w:hint="eastAsia"/>
                <w:lang w:eastAsia="zh-CN"/>
              </w:rPr>
              <w:t>行业主题基金业绩评价基准选择情况统计</w:t>
            </w:r>
            <w:bookmarkEnd w:id="49"/>
          </w:p>
        </w:tc>
      </w:tr>
      <w:tr w:rsidR="00215DD1" w14:paraId="2DE2FDE0" w14:textId="77777777" w:rsidTr="00390048">
        <w:trPr>
          <w:trHeight w:val="285"/>
        </w:trPr>
        <w:tc>
          <w:tcPr>
            <w:tcW w:w="0" w:type="auto"/>
            <w:gridSpan w:val="2"/>
            <w:tcBorders>
              <w:top w:val="single" w:sz="4" w:space="0" w:color="auto"/>
              <w:left w:val="nil"/>
              <w:right w:val="single" w:sz="4" w:space="0" w:color="auto"/>
            </w:tcBorders>
            <w:vAlign w:val="bottom"/>
          </w:tcPr>
          <w:p w14:paraId="5755E136" w14:textId="77777777" w:rsidR="00215DD1" w:rsidRDefault="00215DD1" w:rsidP="00215DD1">
            <w:pPr>
              <w:widowControl/>
              <w:jc w:val="center"/>
              <w:rPr>
                <w:rFonts w:ascii="楷体_GB2312" w:eastAsia="楷体_GB2312" w:hAnsi="等线"/>
                <w:b/>
                <w:bCs/>
                <w:color w:val="0F243E"/>
                <w:sz w:val="16"/>
                <w:szCs w:val="16"/>
                <w:lang w:eastAsia="zh-CN"/>
              </w:rPr>
            </w:pPr>
          </w:p>
        </w:tc>
        <w:tc>
          <w:tcPr>
            <w:tcW w:w="0" w:type="auto"/>
            <w:gridSpan w:val="2"/>
            <w:tcBorders>
              <w:top w:val="single" w:sz="4" w:space="0" w:color="auto"/>
              <w:left w:val="single" w:sz="4" w:space="0" w:color="auto"/>
              <w:bottom w:val="single" w:sz="4" w:space="0" w:color="auto"/>
              <w:right w:val="nil"/>
            </w:tcBorders>
            <w:shd w:val="clear" w:color="auto" w:fill="auto"/>
            <w:noWrap/>
            <w:vAlign w:val="center"/>
            <w:hideMark/>
          </w:tcPr>
          <w:p w14:paraId="7B678D7C" w14:textId="5234E63F" w:rsidR="00215DD1" w:rsidRDefault="00215DD1" w:rsidP="00215DD1">
            <w:pPr>
              <w:widowControl/>
              <w:jc w:val="center"/>
              <w:rPr>
                <w:rFonts w:ascii="楷体_GB2312" w:eastAsia="楷体_GB2312" w:hAnsi="等线"/>
                <w:b/>
                <w:bCs/>
                <w:color w:val="0F243E"/>
                <w:kern w:val="0"/>
                <w:sz w:val="16"/>
                <w:szCs w:val="16"/>
                <w:lang w:eastAsia="zh-CN"/>
              </w:rPr>
            </w:pPr>
            <w:r>
              <w:rPr>
                <w:rFonts w:ascii="楷体_GB2312" w:eastAsia="楷体_GB2312" w:hAnsi="等线" w:hint="eastAsia"/>
                <w:b/>
                <w:bCs/>
                <w:color w:val="0F243E"/>
                <w:sz w:val="16"/>
                <w:szCs w:val="16"/>
                <w:u w:val="single"/>
              </w:rPr>
              <w:t>第一基准</w:t>
            </w:r>
          </w:p>
        </w:tc>
        <w:tc>
          <w:tcPr>
            <w:tcW w:w="0" w:type="auto"/>
            <w:tcBorders>
              <w:top w:val="single" w:sz="4" w:space="0" w:color="auto"/>
              <w:left w:val="nil"/>
              <w:bottom w:val="single" w:sz="4" w:space="0" w:color="auto"/>
              <w:right w:val="nil"/>
            </w:tcBorders>
            <w:shd w:val="clear" w:color="auto" w:fill="auto"/>
            <w:noWrap/>
            <w:vAlign w:val="center"/>
            <w:hideMark/>
          </w:tcPr>
          <w:p w14:paraId="4EABC0D6" w14:textId="77A7C5CE" w:rsidR="00215DD1" w:rsidRDefault="00215DD1" w:rsidP="00215DD1">
            <w:pPr>
              <w:jc w:val="center"/>
              <w:rPr>
                <w:rFonts w:ascii="楷体_GB2312" w:eastAsia="楷体_GB2312" w:hAnsi="等线"/>
                <w:b/>
                <w:bCs/>
                <w:color w:val="0F243E"/>
                <w:sz w:val="16"/>
                <w:szCs w:val="16"/>
                <w:lang w:eastAsia="zh-CN"/>
              </w:rPr>
            </w:pPr>
            <w:r>
              <w:rPr>
                <w:rFonts w:ascii="楷体_GB2312" w:eastAsia="楷体_GB2312" w:hAnsi="等线" w:hint="eastAsia"/>
                <w:b/>
                <w:bCs/>
                <w:color w:val="0F243E"/>
                <w:sz w:val="16"/>
                <w:szCs w:val="16"/>
                <w:u w:val="single"/>
                <w:lang w:eastAsia="zh-CN"/>
              </w:rPr>
              <w:t>第一基准对应的基金数目</w:t>
            </w:r>
          </w:p>
        </w:tc>
        <w:tc>
          <w:tcPr>
            <w:tcW w:w="0" w:type="auto"/>
            <w:tcBorders>
              <w:top w:val="single" w:sz="4" w:space="0" w:color="auto"/>
              <w:left w:val="nil"/>
              <w:bottom w:val="single" w:sz="4" w:space="0" w:color="auto"/>
              <w:right w:val="nil"/>
            </w:tcBorders>
            <w:shd w:val="clear" w:color="auto" w:fill="auto"/>
            <w:noWrap/>
            <w:vAlign w:val="center"/>
            <w:hideMark/>
          </w:tcPr>
          <w:p w14:paraId="2E11B613" w14:textId="44B39EDE" w:rsidR="00215DD1" w:rsidRDefault="00215DD1" w:rsidP="00215DD1">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u w:val="single"/>
              </w:rPr>
              <w:t>第一基准的平均比例</w:t>
            </w:r>
          </w:p>
        </w:tc>
        <w:tc>
          <w:tcPr>
            <w:tcW w:w="0" w:type="auto"/>
            <w:tcBorders>
              <w:top w:val="single" w:sz="4" w:space="0" w:color="auto"/>
              <w:left w:val="nil"/>
              <w:bottom w:val="single" w:sz="4" w:space="0" w:color="auto"/>
              <w:right w:val="nil"/>
            </w:tcBorders>
            <w:shd w:val="clear" w:color="auto" w:fill="auto"/>
            <w:noWrap/>
            <w:vAlign w:val="center"/>
            <w:hideMark/>
          </w:tcPr>
          <w:p w14:paraId="7882B2B1" w14:textId="40131754" w:rsidR="00215DD1" w:rsidRDefault="00215DD1" w:rsidP="00215DD1">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u w:val="single"/>
              </w:rPr>
              <w:t>第二基准</w:t>
            </w:r>
          </w:p>
        </w:tc>
        <w:tc>
          <w:tcPr>
            <w:tcW w:w="0" w:type="auto"/>
            <w:tcBorders>
              <w:top w:val="single" w:sz="4" w:space="0" w:color="auto"/>
              <w:left w:val="nil"/>
              <w:bottom w:val="single" w:sz="4" w:space="0" w:color="auto"/>
              <w:right w:val="nil"/>
            </w:tcBorders>
            <w:shd w:val="clear" w:color="auto" w:fill="auto"/>
            <w:noWrap/>
            <w:vAlign w:val="center"/>
            <w:hideMark/>
          </w:tcPr>
          <w:p w14:paraId="490E2E8E" w14:textId="77777777" w:rsidR="00215DD1" w:rsidRDefault="00215DD1" w:rsidP="00215DD1">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0" w:type="auto"/>
            <w:gridSpan w:val="2"/>
            <w:tcBorders>
              <w:top w:val="single" w:sz="4" w:space="0" w:color="auto"/>
              <w:left w:val="nil"/>
              <w:bottom w:val="single" w:sz="4" w:space="0" w:color="auto"/>
              <w:right w:val="nil"/>
            </w:tcBorders>
            <w:shd w:val="clear" w:color="auto" w:fill="auto"/>
            <w:noWrap/>
            <w:vAlign w:val="center"/>
            <w:hideMark/>
          </w:tcPr>
          <w:p w14:paraId="401CD9F9" w14:textId="77777777" w:rsidR="00215DD1" w:rsidRDefault="00215DD1" w:rsidP="00215DD1">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215DD1" w14:paraId="776F6BD6" w14:textId="77777777" w:rsidTr="00390048">
        <w:trPr>
          <w:trHeight w:val="278"/>
        </w:trPr>
        <w:tc>
          <w:tcPr>
            <w:tcW w:w="0" w:type="auto"/>
            <w:gridSpan w:val="2"/>
            <w:vMerge w:val="restart"/>
            <w:tcBorders>
              <w:top w:val="single" w:sz="4" w:space="0" w:color="auto"/>
              <w:left w:val="nil"/>
              <w:right w:val="single" w:sz="4" w:space="0" w:color="auto"/>
            </w:tcBorders>
            <w:vAlign w:val="center"/>
          </w:tcPr>
          <w:p w14:paraId="696049C4" w14:textId="46DC972A"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偏股混合型</w:t>
            </w:r>
          </w:p>
        </w:tc>
        <w:tc>
          <w:tcPr>
            <w:tcW w:w="0" w:type="auto"/>
            <w:gridSpan w:val="2"/>
            <w:tcBorders>
              <w:top w:val="single" w:sz="4" w:space="0" w:color="auto"/>
              <w:left w:val="single" w:sz="4" w:space="0" w:color="auto"/>
              <w:bottom w:val="nil"/>
              <w:right w:val="nil"/>
            </w:tcBorders>
            <w:shd w:val="clear" w:color="auto" w:fill="auto"/>
            <w:noWrap/>
            <w:vAlign w:val="center"/>
            <w:hideMark/>
          </w:tcPr>
          <w:p w14:paraId="78323ABC" w14:textId="729D74D1"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0" w:type="auto"/>
            <w:tcBorders>
              <w:top w:val="single" w:sz="4" w:space="0" w:color="auto"/>
              <w:left w:val="nil"/>
              <w:bottom w:val="nil"/>
              <w:right w:val="nil"/>
            </w:tcBorders>
            <w:shd w:val="clear" w:color="auto" w:fill="auto"/>
            <w:noWrap/>
            <w:vAlign w:val="center"/>
            <w:hideMark/>
          </w:tcPr>
          <w:p w14:paraId="3A043FA0" w14:textId="555F6FF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947</w:t>
            </w:r>
          </w:p>
        </w:tc>
        <w:tc>
          <w:tcPr>
            <w:tcW w:w="0" w:type="auto"/>
            <w:tcBorders>
              <w:top w:val="single" w:sz="4" w:space="0" w:color="auto"/>
              <w:left w:val="nil"/>
              <w:bottom w:val="nil"/>
              <w:right w:val="nil"/>
            </w:tcBorders>
            <w:shd w:val="clear" w:color="auto" w:fill="auto"/>
            <w:noWrap/>
            <w:vAlign w:val="center"/>
            <w:hideMark/>
          </w:tcPr>
          <w:p w14:paraId="5009A462" w14:textId="2B1B45D5"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66.26%</w:t>
            </w:r>
          </w:p>
        </w:tc>
        <w:tc>
          <w:tcPr>
            <w:tcW w:w="0" w:type="auto"/>
            <w:tcBorders>
              <w:top w:val="single" w:sz="4" w:space="0" w:color="auto"/>
              <w:left w:val="nil"/>
              <w:bottom w:val="nil"/>
              <w:right w:val="nil"/>
            </w:tcBorders>
            <w:shd w:val="clear" w:color="auto" w:fill="auto"/>
            <w:noWrap/>
            <w:vAlign w:val="center"/>
            <w:hideMark/>
          </w:tcPr>
          <w:p w14:paraId="1CF4137A" w14:textId="1372A538"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0" w:type="auto"/>
            <w:tcBorders>
              <w:top w:val="single" w:sz="4" w:space="0" w:color="auto"/>
              <w:left w:val="nil"/>
              <w:bottom w:val="nil"/>
              <w:right w:val="nil"/>
            </w:tcBorders>
            <w:shd w:val="clear" w:color="auto" w:fill="auto"/>
            <w:noWrap/>
            <w:vAlign w:val="center"/>
            <w:hideMark/>
          </w:tcPr>
          <w:p w14:paraId="5A9BFAEC" w14:textId="04413C91"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239</w:t>
            </w:r>
          </w:p>
        </w:tc>
        <w:tc>
          <w:tcPr>
            <w:tcW w:w="0" w:type="auto"/>
            <w:gridSpan w:val="2"/>
            <w:tcBorders>
              <w:top w:val="single" w:sz="4" w:space="0" w:color="auto"/>
              <w:left w:val="nil"/>
              <w:bottom w:val="nil"/>
              <w:right w:val="nil"/>
            </w:tcBorders>
            <w:shd w:val="clear" w:color="auto" w:fill="auto"/>
            <w:noWrap/>
            <w:vAlign w:val="center"/>
            <w:hideMark/>
          </w:tcPr>
          <w:p w14:paraId="2CF61424" w14:textId="55A3B067"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69.17%</w:t>
            </w:r>
          </w:p>
        </w:tc>
      </w:tr>
      <w:tr w:rsidR="00215DD1" w14:paraId="69ECE92E" w14:textId="77777777" w:rsidTr="00390048">
        <w:trPr>
          <w:trHeight w:val="278"/>
        </w:trPr>
        <w:tc>
          <w:tcPr>
            <w:tcW w:w="0" w:type="auto"/>
            <w:gridSpan w:val="2"/>
            <w:vMerge/>
            <w:tcBorders>
              <w:left w:val="nil"/>
              <w:right w:val="single" w:sz="4" w:space="0" w:color="auto"/>
            </w:tcBorders>
            <w:vAlign w:val="center"/>
          </w:tcPr>
          <w:p w14:paraId="07D5181C"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single" w:sz="4" w:space="0" w:color="auto"/>
              <w:bottom w:val="nil"/>
              <w:right w:val="nil"/>
            </w:tcBorders>
            <w:shd w:val="clear" w:color="auto" w:fill="auto"/>
            <w:noWrap/>
            <w:vAlign w:val="center"/>
            <w:hideMark/>
          </w:tcPr>
          <w:p w14:paraId="0888EAE1" w14:textId="18A97FBB"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hideMark/>
          </w:tcPr>
          <w:p w14:paraId="07A77037" w14:textId="444CA44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278</w:t>
            </w:r>
          </w:p>
        </w:tc>
        <w:tc>
          <w:tcPr>
            <w:tcW w:w="0" w:type="auto"/>
            <w:tcBorders>
              <w:top w:val="nil"/>
              <w:left w:val="nil"/>
              <w:bottom w:val="nil"/>
              <w:right w:val="nil"/>
            </w:tcBorders>
            <w:shd w:val="clear" w:color="auto" w:fill="auto"/>
            <w:noWrap/>
            <w:vAlign w:val="center"/>
            <w:hideMark/>
          </w:tcPr>
          <w:p w14:paraId="3D88A37B" w14:textId="15B2313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66.53%</w:t>
            </w:r>
          </w:p>
        </w:tc>
        <w:tc>
          <w:tcPr>
            <w:tcW w:w="0" w:type="auto"/>
            <w:tcBorders>
              <w:top w:val="nil"/>
              <w:left w:val="nil"/>
              <w:bottom w:val="nil"/>
              <w:right w:val="nil"/>
            </w:tcBorders>
            <w:shd w:val="clear" w:color="auto" w:fill="auto"/>
            <w:noWrap/>
            <w:vAlign w:val="center"/>
            <w:hideMark/>
          </w:tcPr>
          <w:p w14:paraId="3DF473AF" w14:textId="4AF8F2CA"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0" w:type="auto"/>
            <w:tcBorders>
              <w:top w:val="nil"/>
              <w:left w:val="nil"/>
              <w:bottom w:val="nil"/>
              <w:right w:val="nil"/>
            </w:tcBorders>
            <w:shd w:val="clear" w:color="auto" w:fill="auto"/>
            <w:noWrap/>
            <w:vAlign w:val="center"/>
            <w:hideMark/>
          </w:tcPr>
          <w:p w14:paraId="6606DDC8" w14:textId="0E0D062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212</w:t>
            </w:r>
          </w:p>
        </w:tc>
        <w:tc>
          <w:tcPr>
            <w:tcW w:w="0" w:type="auto"/>
            <w:gridSpan w:val="2"/>
            <w:tcBorders>
              <w:top w:val="nil"/>
              <w:left w:val="nil"/>
              <w:bottom w:val="nil"/>
              <w:right w:val="nil"/>
            </w:tcBorders>
            <w:shd w:val="clear" w:color="auto" w:fill="auto"/>
            <w:noWrap/>
            <w:vAlign w:val="center"/>
            <w:hideMark/>
          </w:tcPr>
          <w:p w14:paraId="3077405C" w14:textId="2A3DE0FD"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66.01%</w:t>
            </w:r>
          </w:p>
        </w:tc>
      </w:tr>
      <w:tr w:rsidR="00215DD1" w14:paraId="0763AF9D" w14:textId="77777777" w:rsidTr="00390048">
        <w:trPr>
          <w:trHeight w:val="278"/>
        </w:trPr>
        <w:tc>
          <w:tcPr>
            <w:tcW w:w="0" w:type="auto"/>
            <w:gridSpan w:val="2"/>
            <w:vMerge/>
            <w:tcBorders>
              <w:left w:val="nil"/>
              <w:right w:val="single" w:sz="4" w:space="0" w:color="auto"/>
            </w:tcBorders>
            <w:vAlign w:val="center"/>
          </w:tcPr>
          <w:p w14:paraId="556E0288" w14:textId="77777777" w:rsidR="00215DD1" w:rsidRDefault="00215DD1" w:rsidP="00215DD1">
            <w:pPr>
              <w:rPr>
                <w:rFonts w:ascii="Arial" w:eastAsia="等线" w:hAnsi="Arial" w:cs="Arial"/>
                <w:b/>
                <w:bCs/>
                <w:color w:val="0F243E"/>
                <w:sz w:val="16"/>
                <w:szCs w:val="16"/>
                <w:lang w:eastAsia="zh-CN"/>
              </w:rPr>
            </w:pPr>
          </w:p>
        </w:tc>
        <w:tc>
          <w:tcPr>
            <w:tcW w:w="0" w:type="auto"/>
            <w:gridSpan w:val="2"/>
            <w:tcBorders>
              <w:top w:val="nil"/>
              <w:left w:val="single" w:sz="4" w:space="0" w:color="auto"/>
              <w:bottom w:val="nil"/>
              <w:right w:val="nil"/>
            </w:tcBorders>
            <w:shd w:val="clear" w:color="auto" w:fill="auto"/>
            <w:noWrap/>
            <w:vAlign w:val="center"/>
            <w:hideMark/>
          </w:tcPr>
          <w:p w14:paraId="40BA68CC" w14:textId="17CCD21F"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hideMark/>
          </w:tcPr>
          <w:p w14:paraId="4A5320D7" w14:textId="1A2CE9A4"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71</w:t>
            </w:r>
          </w:p>
        </w:tc>
        <w:tc>
          <w:tcPr>
            <w:tcW w:w="0" w:type="auto"/>
            <w:tcBorders>
              <w:top w:val="nil"/>
              <w:left w:val="nil"/>
              <w:bottom w:val="nil"/>
              <w:right w:val="nil"/>
            </w:tcBorders>
            <w:shd w:val="clear" w:color="auto" w:fill="auto"/>
            <w:noWrap/>
            <w:vAlign w:val="center"/>
            <w:hideMark/>
          </w:tcPr>
          <w:p w14:paraId="721FC3ED" w14:textId="110631BD"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68.81%</w:t>
            </w:r>
          </w:p>
        </w:tc>
        <w:tc>
          <w:tcPr>
            <w:tcW w:w="0" w:type="auto"/>
            <w:tcBorders>
              <w:top w:val="nil"/>
              <w:left w:val="nil"/>
              <w:bottom w:val="nil"/>
              <w:right w:val="nil"/>
            </w:tcBorders>
            <w:shd w:val="clear" w:color="auto" w:fill="auto"/>
            <w:noWrap/>
            <w:vAlign w:val="center"/>
            <w:hideMark/>
          </w:tcPr>
          <w:p w14:paraId="47AC438C" w14:textId="0E963B03"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0" w:type="auto"/>
            <w:tcBorders>
              <w:top w:val="nil"/>
              <w:left w:val="nil"/>
              <w:bottom w:val="nil"/>
              <w:right w:val="nil"/>
            </w:tcBorders>
            <w:shd w:val="clear" w:color="auto" w:fill="auto"/>
            <w:noWrap/>
            <w:vAlign w:val="center"/>
            <w:hideMark/>
          </w:tcPr>
          <w:p w14:paraId="36A833CB" w14:textId="7B2B94D4"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169</w:t>
            </w:r>
          </w:p>
        </w:tc>
        <w:tc>
          <w:tcPr>
            <w:tcW w:w="0" w:type="auto"/>
            <w:gridSpan w:val="2"/>
            <w:tcBorders>
              <w:top w:val="nil"/>
              <w:left w:val="nil"/>
              <w:bottom w:val="nil"/>
              <w:right w:val="nil"/>
            </w:tcBorders>
            <w:shd w:val="clear" w:color="auto" w:fill="auto"/>
            <w:noWrap/>
            <w:vAlign w:val="center"/>
            <w:hideMark/>
          </w:tcPr>
          <w:p w14:paraId="6DD7B5BB" w14:textId="6C73E22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66.64%</w:t>
            </w:r>
          </w:p>
        </w:tc>
      </w:tr>
      <w:tr w:rsidR="00215DD1" w14:paraId="55F0D686" w14:textId="77777777" w:rsidTr="00390048">
        <w:trPr>
          <w:trHeight w:val="278"/>
        </w:trPr>
        <w:tc>
          <w:tcPr>
            <w:tcW w:w="0" w:type="auto"/>
            <w:gridSpan w:val="2"/>
            <w:vMerge/>
            <w:tcBorders>
              <w:left w:val="nil"/>
              <w:right w:val="single" w:sz="4" w:space="0" w:color="auto"/>
            </w:tcBorders>
            <w:vAlign w:val="center"/>
          </w:tcPr>
          <w:p w14:paraId="31B5362B"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single" w:sz="4" w:space="0" w:color="auto"/>
              <w:bottom w:val="nil"/>
              <w:right w:val="nil"/>
            </w:tcBorders>
            <w:shd w:val="clear" w:color="auto" w:fill="auto"/>
            <w:noWrap/>
            <w:vAlign w:val="center"/>
            <w:hideMark/>
          </w:tcPr>
          <w:p w14:paraId="1654C413" w14:textId="450AED9B"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中国战略新兴产业成份指数收益率</w:t>
            </w:r>
          </w:p>
        </w:tc>
        <w:tc>
          <w:tcPr>
            <w:tcW w:w="0" w:type="auto"/>
            <w:tcBorders>
              <w:top w:val="nil"/>
              <w:left w:val="nil"/>
              <w:bottom w:val="nil"/>
              <w:right w:val="nil"/>
            </w:tcBorders>
            <w:shd w:val="clear" w:color="auto" w:fill="auto"/>
            <w:noWrap/>
            <w:vAlign w:val="center"/>
            <w:hideMark/>
          </w:tcPr>
          <w:p w14:paraId="4CF2BC8E" w14:textId="6CDDCF0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67</w:t>
            </w:r>
          </w:p>
        </w:tc>
        <w:tc>
          <w:tcPr>
            <w:tcW w:w="0" w:type="auto"/>
            <w:tcBorders>
              <w:top w:val="nil"/>
              <w:left w:val="nil"/>
              <w:bottom w:val="nil"/>
              <w:right w:val="nil"/>
            </w:tcBorders>
            <w:shd w:val="clear" w:color="auto" w:fill="auto"/>
            <w:noWrap/>
            <w:vAlign w:val="center"/>
            <w:hideMark/>
          </w:tcPr>
          <w:p w14:paraId="17388182" w14:textId="2B386282"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66.03%</w:t>
            </w:r>
          </w:p>
        </w:tc>
        <w:tc>
          <w:tcPr>
            <w:tcW w:w="0" w:type="auto"/>
            <w:tcBorders>
              <w:top w:val="nil"/>
              <w:left w:val="nil"/>
              <w:bottom w:val="nil"/>
              <w:right w:val="nil"/>
            </w:tcBorders>
            <w:shd w:val="clear" w:color="auto" w:fill="auto"/>
            <w:noWrap/>
            <w:vAlign w:val="center"/>
            <w:hideMark/>
          </w:tcPr>
          <w:p w14:paraId="6DCD1D9C" w14:textId="6BD54158"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0" w:type="auto"/>
            <w:tcBorders>
              <w:top w:val="nil"/>
              <w:left w:val="nil"/>
              <w:bottom w:val="nil"/>
              <w:right w:val="nil"/>
            </w:tcBorders>
            <w:shd w:val="clear" w:color="auto" w:fill="auto"/>
            <w:noWrap/>
            <w:vAlign w:val="center"/>
            <w:hideMark/>
          </w:tcPr>
          <w:p w14:paraId="70F5CB27" w14:textId="67036EB1"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115</w:t>
            </w:r>
          </w:p>
        </w:tc>
        <w:tc>
          <w:tcPr>
            <w:tcW w:w="0" w:type="auto"/>
            <w:gridSpan w:val="2"/>
            <w:tcBorders>
              <w:top w:val="nil"/>
              <w:left w:val="nil"/>
              <w:bottom w:val="nil"/>
              <w:right w:val="nil"/>
            </w:tcBorders>
            <w:shd w:val="clear" w:color="auto" w:fill="auto"/>
            <w:noWrap/>
            <w:vAlign w:val="center"/>
            <w:hideMark/>
          </w:tcPr>
          <w:p w14:paraId="207F7D26" w14:textId="4CC991C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70.71%</w:t>
            </w:r>
          </w:p>
        </w:tc>
      </w:tr>
      <w:tr w:rsidR="00215DD1" w14:paraId="115C08BF" w14:textId="77777777" w:rsidTr="00390048">
        <w:trPr>
          <w:trHeight w:val="278"/>
        </w:trPr>
        <w:tc>
          <w:tcPr>
            <w:tcW w:w="0" w:type="auto"/>
            <w:gridSpan w:val="2"/>
            <w:vMerge/>
            <w:tcBorders>
              <w:left w:val="nil"/>
              <w:bottom w:val="nil"/>
              <w:right w:val="single" w:sz="4" w:space="0" w:color="auto"/>
            </w:tcBorders>
            <w:vAlign w:val="center"/>
          </w:tcPr>
          <w:p w14:paraId="644C14DF" w14:textId="77777777" w:rsidR="00215DD1" w:rsidRDefault="00215DD1" w:rsidP="00215DD1">
            <w:pPr>
              <w:rPr>
                <w:rFonts w:ascii="Arial" w:eastAsia="等线" w:hAnsi="Arial" w:cs="Arial"/>
                <w:b/>
                <w:bCs/>
                <w:color w:val="0F243E"/>
                <w:sz w:val="16"/>
                <w:szCs w:val="16"/>
                <w:lang w:eastAsia="zh-CN"/>
              </w:rPr>
            </w:pPr>
          </w:p>
        </w:tc>
        <w:tc>
          <w:tcPr>
            <w:tcW w:w="0" w:type="auto"/>
            <w:gridSpan w:val="2"/>
            <w:tcBorders>
              <w:top w:val="nil"/>
              <w:left w:val="single" w:sz="4" w:space="0" w:color="auto"/>
              <w:bottom w:val="nil"/>
              <w:right w:val="nil"/>
            </w:tcBorders>
            <w:shd w:val="clear" w:color="auto" w:fill="auto"/>
            <w:noWrap/>
            <w:vAlign w:val="center"/>
            <w:hideMark/>
          </w:tcPr>
          <w:p w14:paraId="1362A39B" w14:textId="6CF3B30B"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中证医药卫生指数收益率</w:t>
            </w:r>
          </w:p>
        </w:tc>
        <w:tc>
          <w:tcPr>
            <w:tcW w:w="0" w:type="auto"/>
            <w:tcBorders>
              <w:top w:val="nil"/>
              <w:left w:val="nil"/>
              <w:bottom w:val="nil"/>
              <w:right w:val="nil"/>
            </w:tcBorders>
            <w:shd w:val="clear" w:color="auto" w:fill="auto"/>
            <w:noWrap/>
            <w:vAlign w:val="center"/>
            <w:hideMark/>
          </w:tcPr>
          <w:p w14:paraId="4A2B2B61" w14:textId="1C36758F"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34</w:t>
            </w:r>
          </w:p>
        </w:tc>
        <w:tc>
          <w:tcPr>
            <w:tcW w:w="0" w:type="auto"/>
            <w:tcBorders>
              <w:top w:val="nil"/>
              <w:left w:val="nil"/>
              <w:bottom w:val="nil"/>
              <w:right w:val="nil"/>
            </w:tcBorders>
            <w:shd w:val="clear" w:color="auto" w:fill="auto"/>
            <w:noWrap/>
            <w:vAlign w:val="center"/>
            <w:hideMark/>
          </w:tcPr>
          <w:p w14:paraId="752BF94F" w14:textId="2D5B237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61.94%</w:t>
            </w:r>
          </w:p>
        </w:tc>
        <w:tc>
          <w:tcPr>
            <w:tcW w:w="0" w:type="auto"/>
            <w:tcBorders>
              <w:top w:val="nil"/>
              <w:left w:val="nil"/>
              <w:bottom w:val="nil"/>
              <w:right w:val="nil"/>
            </w:tcBorders>
            <w:shd w:val="clear" w:color="auto" w:fill="auto"/>
            <w:noWrap/>
            <w:vAlign w:val="center"/>
            <w:hideMark/>
          </w:tcPr>
          <w:p w14:paraId="33083A12" w14:textId="0A461C28"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中债综合全价指数收益率</w:t>
            </w:r>
          </w:p>
        </w:tc>
        <w:tc>
          <w:tcPr>
            <w:tcW w:w="0" w:type="auto"/>
            <w:tcBorders>
              <w:top w:val="nil"/>
              <w:left w:val="nil"/>
              <w:bottom w:val="nil"/>
              <w:right w:val="nil"/>
            </w:tcBorders>
            <w:shd w:val="clear" w:color="auto" w:fill="auto"/>
            <w:noWrap/>
            <w:vAlign w:val="center"/>
            <w:hideMark/>
          </w:tcPr>
          <w:p w14:paraId="5DA88D71" w14:textId="15A43EF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99</w:t>
            </w:r>
          </w:p>
        </w:tc>
        <w:tc>
          <w:tcPr>
            <w:tcW w:w="0" w:type="auto"/>
            <w:gridSpan w:val="2"/>
            <w:tcBorders>
              <w:top w:val="nil"/>
              <w:left w:val="nil"/>
              <w:bottom w:val="nil"/>
              <w:right w:val="nil"/>
            </w:tcBorders>
            <w:shd w:val="clear" w:color="auto" w:fill="auto"/>
            <w:noWrap/>
            <w:vAlign w:val="center"/>
            <w:hideMark/>
          </w:tcPr>
          <w:p w14:paraId="26471E24" w14:textId="67CB070D"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69.89%</w:t>
            </w:r>
          </w:p>
        </w:tc>
      </w:tr>
      <w:tr w:rsidR="00215DD1" w14:paraId="0F5DBE9A" w14:textId="77777777" w:rsidTr="00390048">
        <w:trPr>
          <w:trHeight w:val="278"/>
        </w:trPr>
        <w:tc>
          <w:tcPr>
            <w:tcW w:w="0" w:type="auto"/>
            <w:gridSpan w:val="2"/>
            <w:vMerge w:val="restart"/>
            <w:tcBorders>
              <w:top w:val="nil"/>
              <w:left w:val="nil"/>
              <w:right w:val="single" w:sz="4" w:space="0" w:color="auto"/>
            </w:tcBorders>
            <w:vAlign w:val="center"/>
          </w:tcPr>
          <w:p w14:paraId="315450B2" w14:textId="6F7A3EB5"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灵活配置型</w:t>
            </w:r>
          </w:p>
        </w:tc>
        <w:tc>
          <w:tcPr>
            <w:tcW w:w="0" w:type="auto"/>
            <w:gridSpan w:val="2"/>
            <w:tcBorders>
              <w:top w:val="nil"/>
              <w:left w:val="single" w:sz="4" w:space="0" w:color="auto"/>
              <w:bottom w:val="nil"/>
              <w:right w:val="nil"/>
            </w:tcBorders>
            <w:shd w:val="clear" w:color="auto" w:fill="auto"/>
            <w:noWrap/>
            <w:vAlign w:val="center"/>
            <w:hideMark/>
          </w:tcPr>
          <w:p w14:paraId="12C84DAC" w14:textId="71E0EAA2"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hideMark/>
          </w:tcPr>
          <w:p w14:paraId="2958817F" w14:textId="0B32DEA2"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1220</w:t>
            </w:r>
          </w:p>
        </w:tc>
        <w:tc>
          <w:tcPr>
            <w:tcW w:w="0" w:type="auto"/>
            <w:tcBorders>
              <w:top w:val="nil"/>
              <w:left w:val="nil"/>
              <w:bottom w:val="nil"/>
              <w:right w:val="nil"/>
            </w:tcBorders>
            <w:shd w:val="clear" w:color="auto" w:fill="auto"/>
            <w:noWrap/>
            <w:vAlign w:val="center"/>
            <w:hideMark/>
          </w:tcPr>
          <w:p w14:paraId="436CBFF3" w14:textId="7171918E"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57.37%</w:t>
            </w:r>
          </w:p>
        </w:tc>
        <w:tc>
          <w:tcPr>
            <w:tcW w:w="0" w:type="auto"/>
            <w:tcBorders>
              <w:top w:val="nil"/>
              <w:left w:val="nil"/>
              <w:bottom w:val="nil"/>
              <w:right w:val="nil"/>
            </w:tcBorders>
            <w:shd w:val="clear" w:color="auto" w:fill="auto"/>
            <w:noWrap/>
            <w:vAlign w:val="center"/>
            <w:hideMark/>
          </w:tcPr>
          <w:p w14:paraId="3E0CACD0" w14:textId="21B7D0BA"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上证国债指数收益率</w:t>
            </w:r>
          </w:p>
        </w:tc>
        <w:tc>
          <w:tcPr>
            <w:tcW w:w="0" w:type="auto"/>
            <w:tcBorders>
              <w:top w:val="nil"/>
              <w:left w:val="nil"/>
              <w:bottom w:val="nil"/>
              <w:right w:val="nil"/>
            </w:tcBorders>
            <w:shd w:val="clear" w:color="auto" w:fill="auto"/>
            <w:noWrap/>
            <w:vAlign w:val="center"/>
            <w:hideMark/>
          </w:tcPr>
          <w:p w14:paraId="074E71BF" w14:textId="3E8333C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261</w:t>
            </w:r>
          </w:p>
        </w:tc>
        <w:tc>
          <w:tcPr>
            <w:tcW w:w="0" w:type="auto"/>
            <w:gridSpan w:val="2"/>
            <w:tcBorders>
              <w:top w:val="nil"/>
              <w:left w:val="nil"/>
              <w:bottom w:val="nil"/>
              <w:right w:val="nil"/>
            </w:tcBorders>
            <w:shd w:val="clear" w:color="auto" w:fill="auto"/>
            <w:noWrap/>
            <w:vAlign w:val="center"/>
            <w:hideMark/>
          </w:tcPr>
          <w:p w14:paraId="676E591E" w14:textId="64F1661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62.14%</w:t>
            </w:r>
          </w:p>
        </w:tc>
      </w:tr>
      <w:tr w:rsidR="00215DD1" w14:paraId="21869C7B" w14:textId="77777777" w:rsidTr="00390048">
        <w:trPr>
          <w:trHeight w:val="278"/>
        </w:trPr>
        <w:tc>
          <w:tcPr>
            <w:tcW w:w="0" w:type="auto"/>
            <w:gridSpan w:val="2"/>
            <w:vMerge/>
            <w:tcBorders>
              <w:left w:val="nil"/>
              <w:right w:val="single" w:sz="4" w:space="0" w:color="auto"/>
            </w:tcBorders>
            <w:vAlign w:val="center"/>
          </w:tcPr>
          <w:p w14:paraId="7C36177C"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single" w:sz="4" w:space="0" w:color="auto"/>
              <w:bottom w:val="nil"/>
              <w:right w:val="nil"/>
            </w:tcBorders>
            <w:shd w:val="clear" w:color="auto" w:fill="auto"/>
            <w:noWrap/>
            <w:vAlign w:val="center"/>
            <w:hideMark/>
          </w:tcPr>
          <w:p w14:paraId="1A65C03C" w14:textId="5FC4CF65"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hideMark/>
          </w:tcPr>
          <w:p w14:paraId="4C8C90AB" w14:textId="0F3D75D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131</w:t>
            </w:r>
          </w:p>
        </w:tc>
        <w:tc>
          <w:tcPr>
            <w:tcW w:w="0" w:type="auto"/>
            <w:tcBorders>
              <w:top w:val="nil"/>
              <w:left w:val="nil"/>
              <w:bottom w:val="nil"/>
              <w:right w:val="nil"/>
            </w:tcBorders>
            <w:shd w:val="clear" w:color="auto" w:fill="auto"/>
            <w:noWrap/>
            <w:vAlign w:val="center"/>
            <w:hideMark/>
          </w:tcPr>
          <w:p w14:paraId="4796C5EA" w14:textId="4C4244E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59.78%</w:t>
            </w:r>
          </w:p>
        </w:tc>
        <w:tc>
          <w:tcPr>
            <w:tcW w:w="0" w:type="auto"/>
            <w:tcBorders>
              <w:top w:val="nil"/>
              <w:left w:val="nil"/>
              <w:bottom w:val="nil"/>
              <w:right w:val="nil"/>
            </w:tcBorders>
            <w:shd w:val="clear" w:color="auto" w:fill="auto"/>
            <w:noWrap/>
            <w:vAlign w:val="center"/>
            <w:hideMark/>
          </w:tcPr>
          <w:p w14:paraId="7E337B05" w14:textId="7A905203"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中证全债指数收益率</w:t>
            </w:r>
          </w:p>
        </w:tc>
        <w:tc>
          <w:tcPr>
            <w:tcW w:w="0" w:type="auto"/>
            <w:tcBorders>
              <w:top w:val="nil"/>
              <w:left w:val="nil"/>
              <w:bottom w:val="nil"/>
              <w:right w:val="nil"/>
            </w:tcBorders>
            <w:shd w:val="clear" w:color="auto" w:fill="auto"/>
            <w:noWrap/>
            <w:vAlign w:val="center"/>
            <w:hideMark/>
          </w:tcPr>
          <w:p w14:paraId="180366EE" w14:textId="766B6DC5"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251</w:t>
            </w:r>
          </w:p>
        </w:tc>
        <w:tc>
          <w:tcPr>
            <w:tcW w:w="0" w:type="auto"/>
            <w:gridSpan w:val="2"/>
            <w:tcBorders>
              <w:top w:val="nil"/>
              <w:left w:val="nil"/>
              <w:bottom w:val="nil"/>
              <w:right w:val="nil"/>
            </w:tcBorders>
            <w:shd w:val="clear" w:color="auto" w:fill="auto"/>
            <w:noWrap/>
            <w:vAlign w:val="center"/>
            <w:hideMark/>
          </w:tcPr>
          <w:p w14:paraId="55907288" w14:textId="671DB27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56.76%</w:t>
            </w:r>
          </w:p>
        </w:tc>
      </w:tr>
      <w:tr w:rsidR="00215DD1" w14:paraId="0F502493" w14:textId="77777777" w:rsidTr="00390048">
        <w:trPr>
          <w:trHeight w:val="278"/>
        </w:trPr>
        <w:tc>
          <w:tcPr>
            <w:tcW w:w="0" w:type="auto"/>
            <w:gridSpan w:val="2"/>
            <w:vMerge/>
            <w:tcBorders>
              <w:left w:val="nil"/>
              <w:right w:val="single" w:sz="4" w:space="0" w:color="auto"/>
            </w:tcBorders>
            <w:vAlign w:val="center"/>
          </w:tcPr>
          <w:p w14:paraId="45EC844E" w14:textId="77777777" w:rsidR="00215DD1" w:rsidRDefault="00215DD1" w:rsidP="00215DD1">
            <w:pPr>
              <w:rPr>
                <w:rFonts w:ascii="Arial" w:eastAsia="等线" w:hAnsi="Arial" w:cs="Arial"/>
                <w:b/>
                <w:bCs/>
                <w:color w:val="0F243E"/>
                <w:sz w:val="16"/>
                <w:szCs w:val="16"/>
                <w:lang w:eastAsia="zh-CN"/>
              </w:rPr>
            </w:pPr>
          </w:p>
        </w:tc>
        <w:tc>
          <w:tcPr>
            <w:tcW w:w="0" w:type="auto"/>
            <w:gridSpan w:val="2"/>
            <w:tcBorders>
              <w:top w:val="nil"/>
              <w:left w:val="single" w:sz="4" w:space="0" w:color="auto"/>
              <w:bottom w:val="nil"/>
              <w:right w:val="nil"/>
            </w:tcBorders>
            <w:shd w:val="clear" w:color="auto" w:fill="auto"/>
            <w:noWrap/>
            <w:vAlign w:val="center"/>
            <w:hideMark/>
          </w:tcPr>
          <w:p w14:paraId="442DE2B1" w14:textId="606F0007"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中证全债指数收益率</w:t>
            </w:r>
          </w:p>
        </w:tc>
        <w:tc>
          <w:tcPr>
            <w:tcW w:w="0" w:type="auto"/>
            <w:tcBorders>
              <w:top w:val="nil"/>
              <w:left w:val="nil"/>
              <w:bottom w:val="nil"/>
              <w:right w:val="nil"/>
            </w:tcBorders>
            <w:shd w:val="clear" w:color="auto" w:fill="auto"/>
            <w:noWrap/>
            <w:vAlign w:val="center"/>
            <w:hideMark/>
          </w:tcPr>
          <w:p w14:paraId="2F5E6922" w14:textId="2C950B31"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56</w:t>
            </w:r>
          </w:p>
        </w:tc>
        <w:tc>
          <w:tcPr>
            <w:tcW w:w="0" w:type="auto"/>
            <w:tcBorders>
              <w:top w:val="nil"/>
              <w:left w:val="nil"/>
              <w:bottom w:val="nil"/>
              <w:right w:val="nil"/>
            </w:tcBorders>
            <w:shd w:val="clear" w:color="auto" w:fill="auto"/>
            <w:noWrap/>
            <w:vAlign w:val="center"/>
            <w:hideMark/>
          </w:tcPr>
          <w:p w14:paraId="53F4061B" w14:textId="2FFFB41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60.63%</w:t>
            </w:r>
          </w:p>
        </w:tc>
        <w:tc>
          <w:tcPr>
            <w:tcW w:w="0" w:type="auto"/>
            <w:tcBorders>
              <w:top w:val="nil"/>
              <w:left w:val="nil"/>
              <w:bottom w:val="nil"/>
              <w:right w:val="nil"/>
            </w:tcBorders>
            <w:shd w:val="clear" w:color="auto" w:fill="auto"/>
            <w:noWrap/>
            <w:vAlign w:val="center"/>
            <w:hideMark/>
          </w:tcPr>
          <w:p w14:paraId="539B21F5" w14:textId="19530080"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0" w:type="auto"/>
            <w:tcBorders>
              <w:top w:val="nil"/>
              <w:left w:val="nil"/>
              <w:bottom w:val="nil"/>
              <w:right w:val="nil"/>
            </w:tcBorders>
            <w:shd w:val="clear" w:color="auto" w:fill="auto"/>
            <w:noWrap/>
            <w:vAlign w:val="center"/>
            <w:hideMark/>
          </w:tcPr>
          <w:p w14:paraId="0172A048" w14:textId="1DC2786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226</w:t>
            </w:r>
          </w:p>
        </w:tc>
        <w:tc>
          <w:tcPr>
            <w:tcW w:w="0" w:type="auto"/>
            <w:gridSpan w:val="2"/>
            <w:tcBorders>
              <w:top w:val="nil"/>
              <w:left w:val="nil"/>
              <w:bottom w:val="nil"/>
              <w:right w:val="nil"/>
            </w:tcBorders>
            <w:shd w:val="clear" w:color="auto" w:fill="auto"/>
            <w:noWrap/>
            <w:vAlign w:val="center"/>
            <w:hideMark/>
          </w:tcPr>
          <w:p w14:paraId="257B8954" w14:textId="711BC8C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59.63%</w:t>
            </w:r>
          </w:p>
        </w:tc>
      </w:tr>
      <w:tr w:rsidR="00215DD1" w14:paraId="72D8C0D2" w14:textId="77777777" w:rsidTr="00390048">
        <w:trPr>
          <w:trHeight w:val="278"/>
        </w:trPr>
        <w:tc>
          <w:tcPr>
            <w:tcW w:w="0" w:type="auto"/>
            <w:gridSpan w:val="2"/>
            <w:vMerge/>
            <w:tcBorders>
              <w:left w:val="nil"/>
              <w:right w:val="single" w:sz="4" w:space="0" w:color="auto"/>
            </w:tcBorders>
            <w:vAlign w:val="center"/>
          </w:tcPr>
          <w:p w14:paraId="17877730"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single" w:sz="4" w:space="0" w:color="auto"/>
              <w:bottom w:val="nil"/>
              <w:right w:val="nil"/>
            </w:tcBorders>
            <w:shd w:val="clear" w:color="auto" w:fill="auto"/>
            <w:noWrap/>
            <w:vAlign w:val="center"/>
            <w:hideMark/>
          </w:tcPr>
          <w:p w14:paraId="1097DE34" w14:textId="5E62D6EF"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一年期银行定期存款利率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0" w:type="auto"/>
            <w:tcBorders>
              <w:top w:val="nil"/>
              <w:left w:val="nil"/>
              <w:bottom w:val="nil"/>
              <w:right w:val="nil"/>
            </w:tcBorders>
            <w:shd w:val="clear" w:color="auto" w:fill="auto"/>
            <w:noWrap/>
            <w:vAlign w:val="center"/>
            <w:hideMark/>
          </w:tcPr>
          <w:p w14:paraId="2D3434F7" w14:textId="7479BE7A"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49</w:t>
            </w:r>
          </w:p>
        </w:tc>
        <w:tc>
          <w:tcPr>
            <w:tcW w:w="0" w:type="auto"/>
            <w:tcBorders>
              <w:top w:val="nil"/>
              <w:left w:val="nil"/>
              <w:bottom w:val="nil"/>
              <w:right w:val="nil"/>
            </w:tcBorders>
            <w:shd w:val="clear" w:color="auto" w:fill="auto"/>
            <w:noWrap/>
            <w:vAlign w:val="center"/>
            <w:hideMark/>
          </w:tcPr>
          <w:p w14:paraId="46E0AF2D" w14:textId="2EA8D7D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60.00%</w:t>
            </w:r>
          </w:p>
        </w:tc>
        <w:tc>
          <w:tcPr>
            <w:tcW w:w="0" w:type="auto"/>
            <w:tcBorders>
              <w:top w:val="nil"/>
              <w:left w:val="nil"/>
              <w:bottom w:val="nil"/>
              <w:right w:val="nil"/>
            </w:tcBorders>
            <w:shd w:val="clear" w:color="auto" w:fill="auto"/>
            <w:noWrap/>
            <w:vAlign w:val="center"/>
            <w:hideMark/>
          </w:tcPr>
          <w:p w14:paraId="34AD1F76" w14:textId="62D152FE"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hideMark/>
          </w:tcPr>
          <w:p w14:paraId="709CC662" w14:textId="45424C8A"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222</w:t>
            </w:r>
          </w:p>
        </w:tc>
        <w:tc>
          <w:tcPr>
            <w:tcW w:w="0" w:type="auto"/>
            <w:gridSpan w:val="2"/>
            <w:tcBorders>
              <w:top w:val="nil"/>
              <w:left w:val="nil"/>
              <w:bottom w:val="nil"/>
              <w:right w:val="nil"/>
            </w:tcBorders>
            <w:shd w:val="clear" w:color="auto" w:fill="auto"/>
            <w:noWrap/>
            <w:vAlign w:val="center"/>
            <w:hideMark/>
          </w:tcPr>
          <w:p w14:paraId="4973999C" w14:textId="7734FD65"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63.55%</w:t>
            </w:r>
          </w:p>
        </w:tc>
      </w:tr>
      <w:tr w:rsidR="00215DD1" w14:paraId="3D4F683A" w14:textId="77777777" w:rsidTr="00390048">
        <w:trPr>
          <w:trHeight w:val="278"/>
        </w:trPr>
        <w:tc>
          <w:tcPr>
            <w:tcW w:w="0" w:type="auto"/>
            <w:gridSpan w:val="2"/>
            <w:vMerge/>
            <w:tcBorders>
              <w:left w:val="nil"/>
              <w:bottom w:val="nil"/>
              <w:right w:val="single" w:sz="4" w:space="0" w:color="auto"/>
            </w:tcBorders>
            <w:vAlign w:val="center"/>
          </w:tcPr>
          <w:p w14:paraId="2A3708A8"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single" w:sz="4" w:space="0" w:color="auto"/>
              <w:bottom w:val="nil"/>
              <w:right w:val="nil"/>
            </w:tcBorders>
            <w:shd w:val="clear" w:color="auto" w:fill="auto"/>
            <w:noWrap/>
            <w:vAlign w:val="center"/>
            <w:hideMark/>
          </w:tcPr>
          <w:p w14:paraId="006A3F9D" w14:textId="5929CE77"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0" w:type="auto"/>
            <w:tcBorders>
              <w:top w:val="nil"/>
              <w:left w:val="nil"/>
              <w:bottom w:val="nil"/>
              <w:right w:val="nil"/>
            </w:tcBorders>
            <w:shd w:val="clear" w:color="auto" w:fill="auto"/>
            <w:noWrap/>
            <w:vAlign w:val="center"/>
            <w:hideMark/>
          </w:tcPr>
          <w:p w14:paraId="07171F50" w14:textId="1542C7C4"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39</w:t>
            </w:r>
          </w:p>
        </w:tc>
        <w:tc>
          <w:tcPr>
            <w:tcW w:w="0" w:type="auto"/>
            <w:tcBorders>
              <w:top w:val="nil"/>
              <w:left w:val="nil"/>
              <w:bottom w:val="nil"/>
              <w:right w:val="nil"/>
            </w:tcBorders>
            <w:shd w:val="clear" w:color="auto" w:fill="auto"/>
            <w:noWrap/>
            <w:vAlign w:val="center"/>
            <w:hideMark/>
          </w:tcPr>
          <w:p w14:paraId="1D18F929" w14:textId="2E667A0A"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64.17%</w:t>
            </w:r>
          </w:p>
        </w:tc>
        <w:tc>
          <w:tcPr>
            <w:tcW w:w="0" w:type="auto"/>
            <w:tcBorders>
              <w:top w:val="nil"/>
              <w:left w:val="nil"/>
              <w:bottom w:val="nil"/>
              <w:right w:val="nil"/>
            </w:tcBorders>
            <w:shd w:val="clear" w:color="auto" w:fill="auto"/>
            <w:noWrap/>
            <w:vAlign w:val="center"/>
            <w:hideMark/>
          </w:tcPr>
          <w:p w14:paraId="621B689B" w14:textId="2D918CF1"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0" w:type="auto"/>
            <w:tcBorders>
              <w:top w:val="nil"/>
              <w:left w:val="nil"/>
              <w:bottom w:val="nil"/>
              <w:right w:val="nil"/>
            </w:tcBorders>
            <w:shd w:val="clear" w:color="auto" w:fill="auto"/>
            <w:noWrap/>
            <w:vAlign w:val="center"/>
            <w:hideMark/>
          </w:tcPr>
          <w:p w14:paraId="5088E82C" w14:textId="192820C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135</w:t>
            </w:r>
          </w:p>
        </w:tc>
        <w:tc>
          <w:tcPr>
            <w:tcW w:w="0" w:type="auto"/>
            <w:gridSpan w:val="2"/>
            <w:tcBorders>
              <w:top w:val="nil"/>
              <w:left w:val="nil"/>
              <w:bottom w:val="nil"/>
              <w:right w:val="nil"/>
            </w:tcBorders>
            <w:shd w:val="clear" w:color="auto" w:fill="auto"/>
            <w:noWrap/>
            <w:vAlign w:val="center"/>
            <w:hideMark/>
          </w:tcPr>
          <w:p w14:paraId="2F3FCAAF" w14:textId="078A7E9E"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60.19%</w:t>
            </w:r>
          </w:p>
        </w:tc>
      </w:tr>
      <w:tr w:rsidR="00215DD1" w14:paraId="1EA94A21" w14:textId="77777777" w:rsidTr="00390048">
        <w:trPr>
          <w:trHeight w:val="278"/>
        </w:trPr>
        <w:tc>
          <w:tcPr>
            <w:tcW w:w="0" w:type="auto"/>
            <w:gridSpan w:val="2"/>
            <w:vMerge w:val="restart"/>
            <w:tcBorders>
              <w:top w:val="nil"/>
              <w:left w:val="nil"/>
              <w:right w:val="single" w:sz="4" w:space="0" w:color="auto"/>
            </w:tcBorders>
            <w:vAlign w:val="center"/>
          </w:tcPr>
          <w:p w14:paraId="38875C08" w14:textId="43D8B711"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普通股票型</w:t>
            </w:r>
          </w:p>
        </w:tc>
        <w:tc>
          <w:tcPr>
            <w:tcW w:w="0" w:type="auto"/>
            <w:gridSpan w:val="2"/>
            <w:tcBorders>
              <w:top w:val="nil"/>
              <w:left w:val="single" w:sz="4" w:space="0" w:color="auto"/>
              <w:bottom w:val="nil"/>
              <w:right w:val="nil"/>
            </w:tcBorders>
            <w:shd w:val="clear" w:color="auto" w:fill="auto"/>
            <w:noWrap/>
            <w:vAlign w:val="center"/>
          </w:tcPr>
          <w:p w14:paraId="3BE26C88" w14:textId="6BF3E5E2"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tcPr>
          <w:p w14:paraId="786A7E23" w14:textId="06C6FFB9"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163</w:t>
            </w:r>
          </w:p>
        </w:tc>
        <w:tc>
          <w:tcPr>
            <w:tcW w:w="0" w:type="auto"/>
            <w:tcBorders>
              <w:top w:val="nil"/>
              <w:left w:val="nil"/>
              <w:bottom w:val="nil"/>
              <w:right w:val="nil"/>
            </w:tcBorders>
            <w:shd w:val="clear" w:color="auto" w:fill="auto"/>
            <w:noWrap/>
            <w:vAlign w:val="center"/>
          </w:tcPr>
          <w:p w14:paraId="2875F1AA" w14:textId="1B4D0FFC"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74.77%</w:t>
            </w:r>
          </w:p>
        </w:tc>
        <w:tc>
          <w:tcPr>
            <w:tcW w:w="0" w:type="auto"/>
            <w:tcBorders>
              <w:top w:val="nil"/>
              <w:left w:val="nil"/>
              <w:bottom w:val="nil"/>
              <w:right w:val="nil"/>
            </w:tcBorders>
            <w:shd w:val="clear" w:color="auto" w:fill="auto"/>
            <w:noWrap/>
            <w:vAlign w:val="center"/>
          </w:tcPr>
          <w:p w14:paraId="4FC4BE6E" w14:textId="766AFDBA"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中证全债指数收益率</w:t>
            </w:r>
          </w:p>
        </w:tc>
        <w:tc>
          <w:tcPr>
            <w:tcW w:w="0" w:type="auto"/>
            <w:tcBorders>
              <w:top w:val="nil"/>
              <w:left w:val="nil"/>
              <w:bottom w:val="nil"/>
              <w:right w:val="nil"/>
            </w:tcBorders>
            <w:shd w:val="clear" w:color="auto" w:fill="auto"/>
            <w:noWrap/>
            <w:vAlign w:val="center"/>
          </w:tcPr>
          <w:p w14:paraId="49CA5A3A" w14:textId="6728167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56</w:t>
            </w:r>
          </w:p>
        </w:tc>
        <w:tc>
          <w:tcPr>
            <w:tcW w:w="0" w:type="auto"/>
            <w:gridSpan w:val="2"/>
            <w:tcBorders>
              <w:top w:val="nil"/>
              <w:left w:val="nil"/>
              <w:bottom w:val="nil"/>
              <w:right w:val="nil"/>
            </w:tcBorders>
            <w:shd w:val="clear" w:color="auto" w:fill="auto"/>
            <w:noWrap/>
            <w:vAlign w:val="center"/>
          </w:tcPr>
          <w:p w14:paraId="72F43BDC" w14:textId="07F2AD5F"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79.33%</w:t>
            </w:r>
          </w:p>
        </w:tc>
      </w:tr>
      <w:tr w:rsidR="00215DD1" w14:paraId="0B4DFB89" w14:textId="77777777" w:rsidTr="00390048">
        <w:trPr>
          <w:trHeight w:val="278"/>
        </w:trPr>
        <w:tc>
          <w:tcPr>
            <w:tcW w:w="0" w:type="auto"/>
            <w:gridSpan w:val="2"/>
            <w:vMerge/>
            <w:tcBorders>
              <w:left w:val="nil"/>
              <w:right w:val="single" w:sz="4" w:space="0" w:color="auto"/>
            </w:tcBorders>
            <w:vAlign w:val="center"/>
          </w:tcPr>
          <w:p w14:paraId="5F8D9A58"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single" w:sz="4" w:space="0" w:color="auto"/>
              <w:bottom w:val="nil"/>
              <w:right w:val="nil"/>
            </w:tcBorders>
            <w:shd w:val="clear" w:color="auto" w:fill="auto"/>
            <w:noWrap/>
            <w:vAlign w:val="center"/>
          </w:tcPr>
          <w:p w14:paraId="56671150" w14:textId="0194B7D8"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tcPr>
          <w:p w14:paraId="4B1000C1" w14:textId="415D82E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69</w:t>
            </w:r>
          </w:p>
        </w:tc>
        <w:tc>
          <w:tcPr>
            <w:tcW w:w="0" w:type="auto"/>
            <w:tcBorders>
              <w:top w:val="nil"/>
              <w:left w:val="nil"/>
              <w:bottom w:val="nil"/>
              <w:right w:val="nil"/>
            </w:tcBorders>
            <w:shd w:val="clear" w:color="auto" w:fill="auto"/>
            <w:noWrap/>
            <w:vAlign w:val="center"/>
          </w:tcPr>
          <w:p w14:paraId="3FF9CC06" w14:textId="3B73C2E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79.39%</w:t>
            </w:r>
          </w:p>
        </w:tc>
        <w:tc>
          <w:tcPr>
            <w:tcW w:w="0" w:type="auto"/>
            <w:tcBorders>
              <w:top w:val="nil"/>
              <w:left w:val="nil"/>
              <w:bottom w:val="nil"/>
              <w:right w:val="nil"/>
            </w:tcBorders>
            <w:shd w:val="clear" w:color="auto" w:fill="auto"/>
            <w:noWrap/>
            <w:vAlign w:val="center"/>
          </w:tcPr>
          <w:p w14:paraId="6D14C8D6" w14:textId="63097EFF"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上证国债指数收益率</w:t>
            </w:r>
          </w:p>
        </w:tc>
        <w:tc>
          <w:tcPr>
            <w:tcW w:w="0" w:type="auto"/>
            <w:tcBorders>
              <w:top w:val="nil"/>
              <w:left w:val="nil"/>
              <w:bottom w:val="nil"/>
              <w:right w:val="nil"/>
            </w:tcBorders>
            <w:shd w:val="clear" w:color="auto" w:fill="auto"/>
            <w:noWrap/>
            <w:vAlign w:val="center"/>
          </w:tcPr>
          <w:p w14:paraId="51699E98" w14:textId="03F1DCB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48</w:t>
            </w:r>
          </w:p>
        </w:tc>
        <w:tc>
          <w:tcPr>
            <w:tcW w:w="0" w:type="auto"/>
            <w:gridSpan w:val="2"/>
            <w:tcBorders>
              <w:top w:val="nil"/>
              <w:left w:val="nil"/>
              <w:bottom w:val="nil"/>
              <w:right w:val="nil"/>
            </w:tcBorders>
            <w:shd w:val="clear" w:color="auto" w:fill="auto"/>
            <w:noWrap/>
            <w:vAlign w:val="center"/>
          </w:tcPr>
          <w:p w14:paraId="5BF619F0" w14:textId="70AC6191"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83.00%</w:t>
            </w:r>
          </w:p>
        </w:tc>
      </w:tr>
      <w:tr w:rsidR="00215DD1" w14:paraId="65B2F6CD" w14:textId="77777777" w:rsidTr="00390048">
        <w:trPr>
          <w:trHeight w:val="278"/>
        </w:trPr>
        <w:tc>
          <w:tcPr>
            <w:tcW w:w="0" w:type="auto"/>
            <w:gridSpan w:val="2"/>
            <w:vMerge/>
            <w:tcBorders>
              <w:left w:val="nil"/>
              <w:right w:val="single" w:sz="4" w:space="0" w:color="auto"/>
            </w:tcBorders>
            <w:vAlign w:val="center"/>
          </w:tcPr>
          <w:p w14:paraId="49B76719"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single" w:sz="4" w:space="0" w:color="auto"/>
              <w:bottom w:val="nil"/>
              <w:right w:val="nil"/>
            </w:tcBorders>
            <w:shd w:val="clear" w:color="auto" w:fill="auto"/>
            <w:noWrap/>
            <w:vAlign w:val="center"/>
          </w:tcPr>
          <w:p w14:paraId="1BFB09FE" w14:textId="7E59DD5E"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tcPr>
          <w:p w14:paraId="08BB1BEF" w14:textId="588E4C18"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41</w:t>
            </w:r>
          </w:p>
        </w:tc>
        <w:tc>
          <w:tcPr>
            <w:tcW w:w="0" w:type="auto"/>
            <w:tcBorders>
              <w:top w:val="nil"/>
              <w:left w:val="nil"/>
              <w:bottom w:val="nil"/>
              <w:right w:val="nil"/>
            </w:tcBorders>
            <w:shd w:val="clear" w:color="auto" w:fill="auto"/>
            <w:noWrap/>
            <w:vAlign w:val="center"/>
          </w:tcPr>
          <w:p w14:paraId="0D2B5E51" w14:textId="660A12C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87.50%</w:t>
            </w:r>
          </w:p>
        </w:tc>
        <w:tc>
          <w:tcPr>
            <w:tcW w:w="0" w:type="auto"/>
            <w:tcBorders>
              <w:top w:val="nil"/>
              <w:left w:val="nil"/>
              <w:bottom w:val="nil"/>
              <w:right w:val="nil"/>
            </w:tcBorders>
            <w:shd w:val="clear" w:color="auto" w:fill="auto"/>
            <w:noWrap/>
            <w:vAlign w:val="center"/>
          </w:tcPr>
          <w:p w14:paraId="53CE0FA2" w14:textId="2B7E4E61"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中债综合指数收益率</w:t>
            </w:r>
          </w:p>
        </w:tc>
        <w:tc>
          <w:tcPr>
            <w:tcW w:w="0" w:type="auto"/>
            <w:tcBorders>
              <w:top w:val="nil"/>
              <w:left w:val="nil"/>
              <w:bottom w:val="nil"/>
              <w:right w:val="nil"/>
            </w:tcBorders>
            <w:shd w:val="clear" w:color="auto" w:fill="auto"/>
            <w:noWrap/>
            <w:vAlign w:val="center"/>
          </w:tcPr>
          <w:p w14:paraId="233A9B43" w14:textId="2027EDC4"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45</w:t>
            </w:r>
          </w:p>
        </w:tc>
        <w:tc>
          <w:tcPr>
            <w:tcW w:w="0" w:type="auto"/>
            <w:gridSpan w:val="2"/>
            <w:tcBorders>
              <w:top w:val="nil"/>
              <w:left w:val="nil"/>
              <w:bottom w:val="nil"/>
              <w:right w:val="nil"/>
            </w:tcBorders>
            <w:shd w:val="clear" w:color="auto" w:fill="auto"/>
            <w:noWrap/>
            <w:vAlign w:val="center"/>
          </w:tcPr>
          <w:p w14:paraId="1A6311EA" w14:textId="36D935DF"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78.95%</w:t>
            </w:r>
          </w:p>
        </w:tc>
      </w:tr>
      <w:tr w:rsidR="00215DD1" w14:paraId="1FD5D66D" w14:textId="77777777" w:rsidTr="00390048">
        <w:trPr>
          <w:trHeight w:val="278"/>
        </w:trPr>
        <w:tc>
          <w:tcPr>
            <w:tcW w:w="0" w:type="auto"/>
            <w:gridSpan w:val="2"/>
            <w:vMerge/>
            <w:tcBorders>
              <w:left w:val="nil"/>
              <w:right w:val="single" w:sz="4" w:space="0" w:color="auto"/>
            </w:tcBorders>
            <w:vAlign w:val="center"/>
          </w:tcPr>
          <w:p w14:paraId="1DB30A8A"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single" w:sz="4" w:space="0" w:color="auto"/>
              <w:bottom w:val="nil"/>
              <w:right w:val="nil"/>
            </w:tcBorders>
            <w:shd w:val="clear" w:color="auto" w:fill="auto"/>
            <w:noWrap/>
            <w:vAlign w:val="center"/>
          </w:tcPr>
          <w:p w14:paraId="78A81178" w14:textId="2791B808"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中证医药卫生指数收益率</w:t>
            </w:r>
          </w:p>
        </w:tc>
        <w:tc>
          <w:tcPr>
            <w:tcW w:w="0" w:type="auto"/>
            <w:tcBorders>
              <w:top w:val="nil"/>
              <w:left w:val="nil"/>
              <w:bottom w:val="nil"/>
              <w:right w:val="nil"/>
            </w:tcBorders>
            <w:shd w:val="clear" w:color="auto" w:fill="auto"/>
            <w:noWrap/>
            <w:vAlign w:val="center"/>
          </w:tcPr>
          <w:p w14:paraId="62B3116B" w14:textId="1C4DC7C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31</w:t>
            </w:r>
          </w:p>
        </w:tc>
        <w:tc>
          <w:tcPr>
            <w:tcW w:w="0" w:type="auto"/>
            <w:tcBorders>
              <w:top w:val="nil"/>
              <w:left w:val="nil"/>
              <w:bottom w:val="nil"/>
              <w:right w:val="nil"/>
            </w:tcBorders>
            <w:shd w:val="clear" w:color="auto" w:fill="auto"/>
            <w:noWrap/>
            <w:vAlign w:val="center"/>
          </w:tcPr>
          <w:p w14:paraId="0AB01436" w14:textId="6EF4D71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75.28%</w:t>
            </w:r>
          </w:p>
        </w:tc>
        <w:tc>
          <w:tcPr>
            <w:tcW w:w="0" w:type="auto"/>
            <w:tcBorders>
              <w:top w:val="nil"/>
              <w:left w:val="nil"/>
              <w:bottom w:val="nil"/>
              <w:right w:val="nil"/>
            </w:tcBorders>
            <w:shd w:val="clear" w:color="auto" w:fill="auto"/>
            <w:noWrap/>
            <w:vAlign w:val="center"/>
          </w:tcPr>
          <w:p w14:paraId="20040308" w14:textId="41ED1627"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0" w:type="auto"/>
            <w:tcBorders>
              <w:top w:val="nil"/>
              <w:left w:val="nil"/>
              <w:bottom w:val="nil"/>
              <w:right w:val="nil"/>
            </w:tcBorders>
            <w:shd w:val="clear" w:color="auto" w:fill="auto"/>
            <w:noWrap/>
            <w:vAlign w:val="center"/>
          </w:tcPr>
          <w:p w14:paraId="54F51236" w14:textId="45F4724B"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38</w:t>
            </w:r>
          </w:p>
        </w:tc>
        <w:tc>
          <w:tcPr>
            <w:tcW w:w="0" w:type="auto"/>
            <w:gridSpan w:val="2"/>
            <w:tcBorders>
              <w:top w:val="nil"/>
              <w:left w:val="nil"/>
              <w:bottom w:val="nil"/>
              <w:right w:val="nil"/>
            </w:tcBorders>
            <w:shd w:val="clear" w:color="auto" w:fill="auto"/>
            <w:noWrap/>
            <w:vAlign w:val="center"/>
          </w:tcPr>
          <w:p w14:paraId="58C88652" w14:textId="4DD18F9F"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80.65%</w:t>
            </w:r>
          </w:p>
        </w:tc>
      </w:tr>
      <w:tr w:rsidR="00215DD1" w14:paraId="5395E5BD" w14:textId="77777777" w:rsidTr="00390048">
        <w:trPr>
          <w:trHeight w:val="278"/>
        </w:trPr>
        <w:tc>
          <w:tcPr>
            <w:tcW w:w="0" w:type="auto"/>
            <w:gridSpan w:val="2"/>
            <w:vMerge/>
            <w:tcBorders>
              <w:left w:val="nil"/>
              <w:bottom w:val="nil"/>
              <w:right w:val="single" w:sz="4" w:space="0" w:color="auto"/>
            </w:tcBorders>
            <w:vAlign w:val="center"/>
          </w:tcPr>
          <w:p w14:paraId="698FD6E2" w14:textId="77777777" w:rsidR="00215DD1" w:rsidRDefault="00215DD1" w:rsidP="00215DD1">
            <w:pPr>
              <w:rPr>
                <w:rFonts w:ascii="Arial" w:eastAsia="等线" w:hAnsi="Arial" w:cs="Arial"/>
                <w:b/>
                <w:bCs/>
                <w:color w:val="0F243E"/>
                <w:sz w:val="16"/>
                <w:szCs w:val="16"/>
                <w:lang w:eastAsia="zh-CN"/>
              </w:rPr>
            </w:pPr>
          </w:p>
        </w:tc>
        <w:tc>
          <w:tcPr>
            <w:tcW w:w="0" w:type="auto"/>
            <w:gridSpan w:val="2"/>
            <w:tcBorders>
              <w:top w:val="nil"/>
              <w:left w:val="single" w:sz="4" w:space="0" w:color="auto"/>
              <w:bottom w:val="nil"/>
              <w:right w:val="nil"/>
            </w:tcBorders>
            <w:shd w:val="clear" w:color="auto" w:fill="auto"/>
            <w:noWrap/>
            <w:vAlign w:val="center"/>
          </w:tcPr>
          <w:p w14:paraId="4E337A49" w14:textId="3F77AD03"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中证内地消费主题指数收益率</w:t>
            </w:r>
          </w:p>
        </w:tc>
        <w:tc>
          <w:tcPr>
            <w:tcW w:w="0" w:type="auto"/>
            <w:tcBorders>
              <w:top w:val="nil"/>
              <w:left w:val="nil"/>
              <w:bottom w:val="nil"/>
              <w:right w:val="nil"/>
            </w:tcBorders>
            <w:shd w:val="clear" w:color="auto" w:fill="auto"/>
            <w:noWrap/>
            <w:vAlign w:val="center"/>
          </w:tcPr>
          <w:p w14:paraId="27E728B9" w14:textId="6D351392"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27</w:t>
            </w:r>
          </w:p>
        </w:tc>
        <w:tc>
          <w:tcPr>
            <w:tcW w:w="0" w:type="auto"/>
            <w:tcBorders>
              <w:top w:val="nil"/>
              <w:left w:val="nil"/>
              <w:bottom w:val="nil"/>
              <w:right w:val="nil"/>
            </w:tcBorders>
            <w:shd w:val="clear" w:color="auto" w:fill="auto"/>
            <w:noWrap/>
            <w:vAlign w:val="center"/>
          </w:tcPr>
          <w:p w14:paraId="6A1211C1" w14:textId="283CACD2"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75.88%</w:t>
            </w:r>
          </w:p>
        </w:tc>
        <w:tc>
          <w:tcPr>
            <w:tcW w:w="0" w:type="auto"/>
            <w:tcBorders>
              <w:top w:val="nil"/>
              <w:left w:val="nil"/>
              <w:bottom w:val="nil"/>
              <w:right w:val="nil"/>
            </w:tcBorders>
            <w:shd w:val="clear" w:color="auto" w:fill="auto"/>
            <w:noWrap/>
            <w:vAlign w:val="center"/>
          </w:tcPr>
          <w:p w14:paraId="523FFD11" w14:textId="3ABEB39B"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中证综合债券指数收益率</w:t>
            </w:r>
          </w:p>
        </w:tc>
        <w:tc>
          <w:tcPr>
            <w:tcW w:w="0" w:type="auto"/>
            <w:tcBorders>
              <w:top w:val="nil"/>
              <w:left w:val="nil"/>
              <w:bottom w:val="nil"/>
              <w:right w:val="nil"/>
            </w:tcBorders>
            <w:shd w:val="clear" w:color="auto" w:fill="auto"/>
            <w:noWrap/>
            <w:vAlign w:val="center"/>
          </w:tcPr>
          <w:p w14:paraId="7BDC5ADA" w14:textId="7B7FA192"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34</w:t>
            </w:r>
          </w:p>
        </w:tc>
        <w:tc>
          <w:tcPr>
            <w:tcW w:w="0" w:type="auto"/>
            <w:gridSpan w:val="2"/>
            <w:tcBorders>
              <w:top w:val="nil"/>
              <w:left w:val="nil"/>
              <w:bottom w:val="nil"/>
              <w:right w:val="nil"/>
            </w:tcBorders>
            <w:shd w:val="clear" w:color="auto" w:fill="auto"/>
            <w:noWrap/>
            <w:vAlign w:val="center"/>
          </w:tcPr>
          <w:p w14:paraId="4F9649B1" w14:textId="6A6663EF"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81.92%</w:t>
            </w:r>
          </w:p>
        </w:tc>
      </w:tr>
      <w:tr w:rsidR="00215DD1" w14:paraId="1DA1221A" w14:textId="77777777" w:rsidTr="00390048">
        <w:trPr>
          <w:trHeight w:val="278"/>
        </w:trPr>
        <w:tc>
          <w:tcPr>
            <w:tcW w:w="0" w:type="auto"/>
            <w:gridSpan w:val="2"/>
            <w:vMerge w:val="restart"/>
            <w:tcBorders>
              <w:top w:val="nil"/>
              <w:left w:val="nil"/>
              <w:right w:val="single" w:sz="4" w:space="0" w:color="auto"/>
            </w:tcBorders>
            <w:vAlign w:val="center"/>
          </w:tcPr>
          <w:p w14:paraId="389B66B7" w14:textId="40FD0771" w:rsidR="00215DD1" w:rsidRDefault="00215DD1" w:rsidP="00215DD1">
            <w:pPr>
              <w:rPr>
                <w:rFonts w:ascii="Arial" w:eastAsia="等线" w:hAnsi="Arial" w:cs="Arial"/>
                <w:b/>
                <w:bCs/>
                <w:color w:val="0F243E"/>
                <w:sz w:val="16"/>
                <w:szCs w:val="16"/>
              </w:rPr>
            </w:pPr>
            <w:r>
              <w:rPr>
                <w:rFonts w:ascii="Arial" w:eastAsia="等线" w:hAnsi="Arial" w:cs="Arial"/>
                <w:b/>
                <w:bCs/>
                <w:color w:val="0F243E"/>
                <w:sz w:val="16"/>
                <w:szCs w:val="16"/>
              </w:rPr>
              <w:t>偏债混合型</w:t>
            </w:r>
          </w:p>
        </w:tc>
        <w:tc>
          <w:tcPr>
            <w:tcW w:w="0" w:type="auto"/>
            <w:gridSpan w:val="2"/>
            <w:tcBorders>
              <w:top w:val="nil"/>
              <w:left w:val="single" w:sz="4" w:space="0" w:color="auto"/>
              <w:bottom w:val="nil"/>
              <w:right w:val="nil"/>
            </w:tcBorders>
            <w:shd w:val="clear" w:color="auto" w:fill="auto"/>
            <w:noWrap/>
            <w:vAlign w:val="center"/>
          </w:tcPr>
          <w:p w14:paraId="3CC05944" w14:textId="4613547D"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tcPr>
          <w:p w14:paraId="3A2D56ED" w14:textId="6E9D227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631</w:t>
            </w:r>
          </w:p>
        </w:tc>
        <w:tc>
          <w:tcPr>
            <w:tcW w:w="0" w:type="auto"/>
            <w:tcBorders>
              <w:top w:val="nil"/>
              <w:left w:val="nil"/>
              <w:bottom w:val="nil"/>
              <w:right w:val="nil"/>
            </w:tcBorders>
            <w:shd w:val="clear" w:color="auto" w:fill="auto"/>
            <w:noWrap/>
            <w:vAlign w:val="center"/>
          </w:tcPr>
          <w:p w14:paraId="786C980A" w14:textId="1D400E04"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18.99%</w:t>
            </w:r>
          </w:p>
        </w:tc>
        <w:tc>
          <w:tcPr>
            <w:tcW w:w="0" w:type="auto"/>
            <w:tcBorders>
              <w:top w:val="nil"/>
              <w:left w:val="nil"/>
              <w:bottom w:val="nil"/>
              <w:right w:val="nil"/>
            </w:tcBorders>
            <w:shd w:val="clear" w:color="auto" w:fill="auto"/>
            <w:noWrap/>
            <w:vAlign w:val="center"/>
          </w:tcPr>
          <w:p w14:paraId="79119E95" w14:textId="3D6680C0"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中债综合指数收益率</w:t>
            </w:r>
          </w:p>
        </w:tc>
        <w:tc>
          <w:tcPr>
            <w:tcW w:w="0" w:type="auto"/>
            <w:tcBorders>
              <w:top w:val="nil"/>
              <w:left w:val="nil"/>
              <w:bottom w:val="nil"/>
              <w:right w:val="nil"/>
            </w:tcBorders>
            <w:shd w:val="clear" w:color="auto" w:fill="auto"/>
            <w:noWrap/>
            <w:vAlign w:val="center"/>
          </w:tcPr>
          <w:p w14:paraId="33FDAA26" w14:textId="7514B870"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152</w:t>
            </w:r>
          </w:p>
        </w:tc>
        <w:tc>
          <w:tcPr>
            <w:tcW w:w="0" w:type="auto"/>
            <w:gridSpan w:val="2"/>
            <w:tcBorders>
              <w:top w:val="nil"/>
              <w:left w:val="nil"/>
              <w:bottom w:val="nil"/>
              <w:right w:val="nil"/>
            </w:tcBorders>
            <w:shd w:val="clear" w:color="auto" w:fill="auto"/>
            <w:noWrap/>
            <w:vAlign w:val="center"/>
          </w:tcPr>
          <w:p w14:paraId="25753C90" w14:textId="36F4A11E"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16.46%</w:t>
            </w:r>
          </w:p>
        </w:tc>
      </w:tr>
      <w:tr w:rsidR="00215DD1" w14:paraId="797C5912" w14:textId="77777777" w:rsidTr="00390048">
        <w:trPr>
          <w:trHeight w:val="278"/>
        </w:trPr>
        <w:tc>
          <w:tcPr>
            <w:tcW w:w="0" w:type="auto"/>
            <w:gridSpan w:val="2"/>
            <w:vMerge/>
            <w:tcBorders>
              <w:left w:val="nil"/>
              <w:right w:val="single" w:sz="4" w:space="0" w:color="auto"/>
            </w:tcBorders>
            <w:vAlign w:val="center"/>
          </w:tcPr>
          <w:p w14:paraId="49A6055A"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single" w:sz="4" w:space="0" w:color="auto"/>
              <w:bottom w:val="nil"/>
              <w:right w:val="nil"/>
            </w:tcBorders>
            <w:shd w:val="clear" w:color="auto" w:fill="auto"/>
            <w:noWrap/>
            <w:vAlign w:val="center"/>
          </w:tcPr>
          <w:p w14:paraId="01283999" w14:textId="206622AA"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0" w:type="auto"/>
            <w:tcBorders>
              <w:top w:val="nil"/>
              <w:left w:val="nil"/>
              <w:bottom w:val="nil"/>
              <w:right w:val="nil"/>
            </w:tcBorders>
            <w:shd w:val="clear" w:color="auto" w:fill="auto"/>
            <w:noWrap/>
            <w:vAlign w:val="center"/>
          </w:tcPr>
          <w:p w14:paraId="7F364545" w14:textId="094C903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66</w:t>
            </w:r>
          </w:p>
        </w:tc>
        <w:tc>
          <w:tcPr>
            <w:tcW w:w="0" w:type="auto"/>
            <w:tcBorders>
              <w:top w:val="nil"/>
              <w:left w:val="nil"/>
              <w:bottom w:val="nil"/>
              <w:right w:val="nil"/>
            </w:tcBorders>
            <w:shd w:val="clear" w:color="auto" w:fill="auto"/>
            <w:noWrap/>
            <w:vAlign w:val="center"/>
          </w:tcPr>
          <w:p w14:paraId="600C6C17" w14:textId="5945CAF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18.91%</w:t>
            </w:r>
          </w:p>
        </w:tc>
        <w:tc>
          <w:tcPr>
            <w:tcW w:w="0" w:type="auto"/>
            <w:tcBorders>
              <w:top w:val="nil"/>
              <w:left w:val="nil"/>
              <w:bottom w:val="nil"/>
              <w:right w:val="nil"/>
            </w:tcBorders>
            <w:shd w:val="clear" w:color="auto" w:fill="auto"/>
            <w:noWrap/>
            <w:vAlign w:val="center"/>
          </w:tcPr>
          <w:p w14:paraId="579B95AE" w14:textId="6587A9DC"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中证全债指数收益率</w:t>
            </w:r>
          </w:p>
        </w:tc>
        <w:tc>
          <w:tcPr>
            <w:tcW w:w="0" w:type="auto"/>
            <w:tcBorders>
              <w:top w:val="nil"/>
              <w:left w:val="nil"/>
              <w:bottom w:val="nil"/>
              <w:right w:val="nil"/>
            </w:tcBorders>
            <w:shd w:val="clear" w:color="auto" w:fill="auto"/>
            <w:noWrap/>
            <w:vAlign w:val="center"/>
          </w:tcPr>
          <w:p w14:paraId="06CA2090" w14:textId="61D5BC4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118</w:t>
            </w:r>
          </w:p>
        </w:tc>
        <w:tc>
          <w:tcPr>
            <w:tcW w:w="0" w:type="auto"/>
            <w:gridSpan w:val="2"/>
            <w:tcBorders>
              <w:top w:val="nil"/>
              <w:left w:val="nil"/>
              <w:bottom w:val="nil"/>
              <w:right w:val="nil"/>
            </w:tcBorders>
            <w:shd w:val="clear" w:color="auto" w:fill="auto"/>
            <w:noWrap/>
            <w:vAlign w:val="center"/>
          </w:tcPr>
          <w:p w14:paraId="134FDA74" w14:textId="5FA4314D"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20.37%</w:t>
            </w:r>
          </w:p>
        </w:tc>
      </w:tr>
      <w:tr w:rsidR="00215DD1" w14:paraId="613105D7" w14:textId="77777777" w:rsidTr="00390048">
        <w:trPr>
          <w:trHeight w:val="278"/>
        </w:trPr>
        <w:tc>
          <w:tcPr>
            <w:tcW w:w="0" w:type="auto"/>
            <w:gridSpan w:val="2"/>
            <w:vMerge/>
            <w:tcBorders>
              <w:left w:val="nil"/>
              <w:right w:val="single" w:sz="4" w:space="0" w:color="auto"/>
            </w:tcBorders>
            <w:vAlign w:val="center"/>
          </w:tcPr>
          <w:p w14:paraId="32720BF0"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single" w:sz="4" w:space="0" w:color="auto"/>
              <w:right w:val="nil"/>
            </w:tcBorders>
            <w:shd w:val="clear" w:color="auto" w:fill="auto"/>
            <w:noWrap/>
            <w:vAlign w:val="center"/>
          </w:tcPr>
          <w:p w14:paraId="5C40CE87" w14:textId="208C581B"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0" w:type="auto"/>
            <w:tcBorders>
              <w:top w:val="nil"/>
              <w:left w:val="nil"/>
              <w:right w:val="nil"/>
            </w:tcBorders>
            <w:shd w:val="clear" w:color="auto" w:fill="auto"/>
            <w:noWrap/>
            <w:vAlign w:val="center"/>
          </w:tcPr>
          <w:p w14:paraId="3D3FF0CD" w14:textId="431CCEF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9</w:t>
            </w:r>
          </w:p>
        </w:tc>
        <w:tc>
          <w:tcPr>
            <w:tcW w:w="0" w:type="auto"/>
            <w:tcBorders>
              <w:top w:val="nil"/>
              <w:left w:val="nil"/>
              <w:right w:val="nil"/>
            </w:tcBorders>
            <w:shd w:val="clear" w:color="auto" w:fill="auto"/>
            <w:noWrap/>
            <w:vAlign w:val="center"/>
          </w:tcPr>
          <w:p w14:paraId="5905C78E" w14:textId="433C9453"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22.00%</w:t>
            </w:r>
          </w:p>
        </w:tc>
        <w:tc>
          <w:tcPr>
            <w:tcW w:w="0" w:type="auto"/>
            <w:tcBorders>
              <w:top w:val="nil"/>
              <w:left w:val="nil"/>
              <w:right w:val="nil"/>
            </w:tcBorders>
            <w:shd w:val="clear" w:color="auto" w:fill="auto"/>
            <w:noWrap/>
            <w:vAlign w:val="center"/>
          </w:tcPr>
          <w:p w14:paraId="4DC57FAE" w14:textId="06130FA5"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0" w:type="auto"/>
            <w:tcBorders>
              <w:top w:val="nil"/>
              <w:left w:val="nil"/>
              <w:bottom w:val="nil"/>
              <w:right w:val="nil"/>
            </w:tcBorders>
            <w:shd w:val="clear" w:color="auto" w:fill="auto"/>
            <w:noWrap/>
            <w:vAlign w:val="center"/>
          </w:tcPr>
          <w:p w14:paraId="2CC02209" w14:textId="39044472"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63</w:t>
            </w:r>
          </w:p>
        </w:tc>
        <w:tc>
          <w:tcPr>
            <w:tcW w:w="0" w:type="auto"/>
            <w:gridSpan w:val="2"/>
            <w:tcBorders>
              <w:top w:val="nil"/>
              <w:left w:val="nil"/>
              <w:bottom w:val="nil"/>
              <w:right w:val="nil"/>
            </w:tcBorders>
            <w:shd w:val="clear" w:color="auto" w:fill="auto"/>
            <w:noWrap/>
            <w:vAlign w:val="center"/>
          </w:tcPr>
          <w:p w14:paraId="61E6755B" w14:textId="73C28B59"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16.35%</w:t>
            </w:r>
          </w:p>
        </w:tc>
      </w:tr>
      <w:tr w:rsidR="00215DD1" w14:paraId="1CCDF8D9" w14:textId="77777777" w:rsidTr="00390048">
        <w:trPr>
          <w:trHeight w:val="278"/>
        </w:trPr>
        <w:tc>
          <w:tcPr>
            <w:tcW w:w="0" w:type="auto"/>
            <w:gridSpan w:val="2"/>
            <w:vMerge/>
            <w:tcBorders>
              <w:left w:val="nil"/>
              <w:right w:val="single" w:sz="4" w:space="0" w:color="auto"/>
            </w:tcBorders>
            <w:vAlign w:val="center"/>
          </w:tcPr>
          <w:p w14:paraId="30B9E485" w14:textId="77777777" w:rsidR="00215DD1" w:rsidRDefault="00215DD1" w:rsidP="00215DD1">
            <w:pPr>
              <w:rPr>
                <w:rFonts w:ascii="Arial" w:eastAsia="等线" w:hAnsi="Arial" w:cs="Arial"/>
                <w:b/>
                <w:bCs/>
                <w:color w:val="0F243E"/>
                <w:sz w:val="16"/>
                <w:szCs w:val="16"/>
                <w:lang w:eastAsia="zh-CN"/>
              </w:rPr>
            </w:pPr>
          </w:p>
        </w:tc>
        <w:tc>
          <w:tcPr>
            <w:tcW w:w="0" w:type="auto"/>
            <w:gridSpan w:val="2"/>
            <w:tcBorders>
              <w:top w:val="nil"/>
              <w:left w:val="single" w:sz="4" w:space="0" w:color="auto"/>
              <w:bottom w:val="nil"/>
              <w:right w:val="nil"/>
            </w:tcBorders>
            <w:shd w:val="clear" w:color="auto" w:fill="auto"/>
            <w:noWrap/>
            <w:vAlign w:val="center"/>
          </w:tcPr>
          <w:p w14:paraId="66808CDE" w14:textId="244BD81A"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中证股票型基金指数收益率</w:t>
            </w:r>
          </w:p>
        </w:tc>
        <w:tc>
          <w:tcPr>
            <w:tcW w:w="0" w:type="auto"/>
            <w:tcBorders>
              <w:top w:val="nil"/>
              <w:left w:val="nil"/>
              <w:bottom w:val="nil"/>
              <w:right w:val="nil"/>
            </w:tcBorders>
            <w:shd w:val="clear" w:color="auto" w:fill="auto"/>
            <w:noWrap/>
            <w:vAlign w:val="center"/>
          </w:tcPr>
          <w:p w14:paraId="6CA91695" w14:textId="0CAE28E7"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0" w:type="auto"/>
            <w:tcBorders>
              <w:top w:val="nil"/>
              <w:left w:val="nil"/>
              <w:bottom w:val="nil"/>
              <w:right w:val="nil"/>
            </w:tcBorders>
            <w:shd w:val="clear" w:color="auto" w:fill="auto"/>
            <w:noWrap/>
            <w:vAlign w:val="center"/>
          </w:tcPr>
          <w:p w14:paraId="2DD44E96" w14:textId="1063D606"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24.00%</w:t>
            </w:r>
          </w:p>
        </w:tc>
        <w:tc>
          <w:tcPr>
            <w:tcW w:w="0" w:type="auto"/>
            <w:tcBorders>
              <w:top w:val="nil"/>
              <w:left w:val="nil"/>
              <w:bottom w:val="nil"/>
              <w:right w:val="nil"/>
            </w:tcBorders>
            <w:shd w:val="clear" w:color="auto" w:fill="auto"/>
            <w:noWrap/>
            <w:vAlign w:val="center"/>
          </w:tcPr>
          <w:p w14:paraId="44D79F18" w14:textId="61166F2E"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上证国债指数收益率</w:t>
            </w:r>
          </w:p>
        </w:tc>
        <w:tc>
          <w:tcPr>
            <w:tcW w:w="0" w:type="auto"/>
            <w:tcBorders>
              <w:top w:val="nil"/>
              <w:left w:val="nil"/>
              <w:bottom w:val="nil"/>
              <w:right w:val="nil"/>
            </w:tcBorders>
            <w:shd w:val="clear" w:color="auto" w:fill="auto"/>
            <w:noWrap/>
            <w:vAlign w:val="center"/>
          </w:tcPr>
          <w:p w14:paraId="1EFF23F4" w14:textId="0968CF8B"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54</w:t>
            </w:r>
          </w:p>
        </w:tc>
        <w:tc>
          <w:tcPr>
            <w:tcW w:w="0" w:type="auto"/>
            <w:gridSpan w:val="2"/>
            <w:tcBorders>
              <w:top w:val="nil"/>
              <w:left w:val="nil"/>
              <w:bottom w:val="nil"/>
              <w:right w:val="nil"/>
            </w:tcBorders>
            <w:shd w:val="clear" w:color="auto" w:fill="auto"/>
            <w:noWrap/>
            <w:vAlign w:val="center"/>
          </w:tcPr>
          <w:p w14:paraId="3D12FF03" w14:textId="14EEC4DE"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20.91%</w:t>
            </w:r>
          </w:p>
        </w:tc>
      </w:tr>
      <w:tr w:rsidR="00215DD1" w14:paraId="5DDB137C" w14:textId="77777777" w:rsidTr="00390048">
        <w:trPr>
          <w:trHeight w:val="278"/>
        </w:trPr>
        <w:tc>
          <w:tcPr>
            <w:tcW w:w="0" w:type="auto"/>
            <w:gridSpan w:val="2"/>
            <w:vMerge/>
            <w:tcBorders>
              <w:left w:val="nil"/>
              <w:right w:val="single" w:sz="4" w:space="0" w:color="auto"/>
            </w:tcBorders>
            <w:vAlign w:val="center"/>
          </w:tcPr>
          <w:p w14:paraId="3C0236FC" w14:textId="77777777" w:rsidR="00215DD1" w:rsidRDefault="00215DD1" w:rsidP="00215DD1">
            <w:pPr>
              <w:rPr>
                <w:rFonts w:ascii="Arial" w:eastAsia="等线" w:hAnsi="Arial" w:cs="Arial"/>
                <w:b/>
                <w:bCs/>
                <w:color w:val="0F243E"/>
                <w:sz w:val="16"/>
                <w:szCs w:val="16"/>
              </w:rPr>
            </w:pPr>
          </w:p>
        </w:tc>
        <w:tc>
          <w:tcPr>
            <w:tcW w:w="0" w:type="auto"/>
            <w:gridSpan w:val="2"/>
            <w:tcBorders>
              <w:top w:val="nil"/>
              <w:left w:val="single" w:sz="4" w:space="0" w:color="auto"/>
              <w:bottom w:val="single" w:sz="4" w:space="0" w:color="auto"/>
              <w:right w:val="nil"/>
            </w:tcBorders>
            <w:shd w:val="clear" w:color="auto" w:fill="auto"/>
            <w:noWrap/>
            <w:vAlign w:val="center"/>
          </w:tcPr>
          <w:p w14:paraId="3C0432FF" w14:textId="34B43119"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rPr>
              <w:t>固定利率</w:t>
            </w:r>
            <w:r>
              <w:rPr>
                <w:rFonts w:ascii="Arial" w:eastAsia="等线" w:hAnsi="Arial" w:cs="Arial"/>
                <w:b/>
                <w:bCs/>
                <w:color w:val="0F243E"/>
                <w:sz w:val="16"/>
                <w:szCs w:val="16"/>
              </w:rPr>
              <w:t>0.02</w:t>
            </w:r>
          </w:p>
        </w:tc>
        <w:tc>
          <w:tcPr>
            <w:tcW w:w="0" w:type="auto"/>
            <w:tcBorders>
              <w:top w:val="nil"/>
              <w:left w:val="nil"/>
              <w:bottom w:val="single" w:sz="4" w:space="0" w:color="auto"/>
              <w:right w:val="nil"/>
            </w:tcBorders>
            <w:shd w:val="clear" w:color="auto" w:fill="auto"/>
            <w:noWrap/>
            <w:vAlign w:val="center"/>
          </w:tcPr>
          <w:p w14:paraId="08252520" w14:textId="7FCC4972"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0" w:type="auto"/>
            <w:tcBorders>
              <w:top w:val="nil"/>
              <w:left w:val="nil"/>
              <w:bottom w:val="single" w:sz="4" w:space="0" w:color="auto"/>
              <w:right w:val="nil"/>
            </w:tcBorders>
            <w:shd w:val="clear" w:color="auto" w:fill="auto"/>
            <w:noWrap/>
            <w:vAlign w:val="center"/>
          </w:tcPr>
          <w:p w14:paraId="140DF0DA" w14:textId="5B2A918C" w:rsidR="00215DD1" w:rsidRDefault="00215DD1" w:rsidP="00215DD1">
            <w:pPr>
              <w:jc w:val="center"/>
              <w:rPr>
                <w:rFonts w:ascii="Arial" w:eastAsia="等线" w:hAnsi="Arial" w:cs="Arial"/>
                <w:color w:val="0F243E"/>
                <w:sz w:val="16"/>
                <w:szCs w:val="16"/>
              </w:rPr>
            </w:pPr>
            <w:r>
              <w:rPr>
                <w:rFonts w:ascii="Arial" w:eastAsia="等线" w:hAnsi="Arial" w:cs="Arial"/>
                <w:color w:val="0F243E"/>
                <w:sz w:val="16"/>
                <w:szCs w:val="16"/>
              </w:rPr>
              <w:t>100.00%</w:t>
            </w:r>
          </w:p>
        </w:tc>
        <w:tc>
          <w:tcPr>
            <w:tcW w:w="0" w:type="auto"/>
            <w:tcBorders>
              <w:top w:val="nil"/>
              <w:left w:val="nil"/>
              <w:bottom w:val="single" w:sz="4" w:space="0" w:color="auto"/>
              <w:right w:val="nil"/>
            </w:tcBorders>
            <w:shd w:val="clear" w:color="auto" w:fill="auto"/>
            <w:noWrap/>
            <w:vAlign w:val="center"/>
          </w:tcPr>
          <w:p w14:paraId="75DDA5D2" w14:textId="0B1EA0DF" w:rsidR="00215DD1" w:rsidRDefault="00215DD1" w:rsidP="00215DD1">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0" w:type="auto"/>
            <w:tcBorders>
              <w:top w:val="nil"/>
              <w:left w:val="nil"/>
              <w:bottom w:val="single" w:sz="4" w:space="0" w:color="auto"/>
              <w:right w:val="nil"/>
            </w:tcBorders>
            <w:shd w:val="clear" w:color="auto" w:fill="auto"/>
            <w:noWrap/>
            <w:vAlign w:val="center"/>
          </w:tcPr>
          <w:p w14:paraId="532F6632" w14:textId="2703230F"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50</w:t>
            </w:r>
          </w:p>
        </w:tc>
        <w:tc>
          <w:tcPr>
            <w:tcW w:w="0" w:type="auto"/>
            <w:gridSpan w:val="2"/>
            <w:tcBorders>
              <w:top w:val="nil"/>
              <w:left w:val="nil"/>
              <w:bottom w:val="single" w:sz="4" w:space="0" w:color="auto"/>
              <w:right w:val="nil"/>
            </w:tcBorders>
            <w:shd w:val="clear" w:color="auto" w:fill="auto"/>
            <w:noWrap/>
            <w:vAlign w:val="center"/>
          </w:tcPr>
          <w:p w14:paraId="5C705E36" w14:textId="3E64C8F2" w:rsidR="00215DD1" w:rsidRDefault="00215DD1" w:rsidP="00215DD1">
            <w:pPr>
              <w:jc w:val="center"/>
              <w:rPr>
                <w:rFonts w:ascii="Arial" w:eastAsia="等线" w:hAnsi="Arial" w:cs="Arial"/>
                <w:color w:val="0F243E"/>
                <w:sz w:val="16"/>
                <w:szCs w:val="16"/>
                <w:lang w:eastAsia="zh-CN"/>
              </w:rPr>
            </w:pPr>
            <w:r>
              <w:rPr>
                <w:rFonts w:ascii="Arial" w:eastAsia="等线" w:hAnsi="Arial" w:cs="Arial"/>
                <w:color w:val="0F243E"/>
                <w:sz w:val="16"/>
                <w:szCs w:val="16"/>
              </w:rPr>
              <w:t>18.46%</w:t>
            </w:r>
          </w:p>
        </w:tc>
      </w:tr>
      <w:tr w:rsidR="00215DD1" w14:paraId="4409C289" w14:textId="77777777" w:rsidTr="00215DD1">
        <w:trPr>
          <w:trHeight w:val="278"/>
        </w:trPr>
        <w:tc>
          <w:tcPr>
            <w:tcW w:w="0" w:type="auto"/>
            <w:gridSpan w:val="7"/>
            <w:tcBorders>
              <w:top w:val="single" w:sz="4" w:space="0" w:color="auto"/>
              <w:left w:val="nil"/>
              <w:right w:val="nil"/>
            </w:tcBorders>
            <w:vAlign w:val="center"/>
          </w:tcPr>
          <w:p w14:paraId="0B4CA50A" w14:textId="33E618F3" w:rsidR="00215DD1" w:rsidRPr="00215DD1" w:rsidRDefault="00215DD1" w:rsidP="00215DD1">
            <w:pPr>
              <w:pStyle w:val="aff2"/>
              <w:ind w:leftChars="-54" w:left="-130"/>
            </w:pPr>
            <w:r w:rsidRPr="00C66411">
              <w:t>数据来源：</w:t>
            </w:r>
            <w:r>
              <w:rPr>
                <w:rFonts w:hint="eastAsia"/>
              </w:rPr>
              <w:t>Wind</w:t>
            </w:r>
            <w:r w:rsidRPr="00C66411">
              <w:rPr>
                <w:rFonts w:hint="eastAsia"/>
              </w:rPr>
              <w:t>，</w:t>
            </w:r>
            <w:r w:rsidRPr="00C66411">
              <w:t>广发证券发展研究中心</w:t>
            </w:r>
          </w:p>
        </w:tc>
        <w:tc>
          <w:tcPr>
            <w:tcW w:w="0" w:type="auto"/>
            <w:tcBorders>
              <w:top w:val="single" w:sz="4" w:space="0" w:color="auto"/>
              <w:left w:val="nil"/>
              <w:bottom w:val="nil"/>
              <w:right w:val="nil"/>
            </w:tcBorders>
            <w:shd w:val="clear" w:color="auto" w:fill="auto"/>
            <w:noWrap/>
            <w:vAlign w:val="center"/>
          </w:tcPr>
          <w:p w14:paraId="16642DED" w14:textId="77777777" w:rsidR="00215DD1" w:rsidRDefault="00215DD1" w:rsidP="00215DD1">
            <w:pPr>
              <w:jc w:val="center"/>
              <w:rPr>
                <w:rFonts w:ascii="Arial" w:eastAsia="等线" w:hAnsi="Arial" w:cs="Arial"/>
                <w:color w:val="0F243E"/>
                <w:sz w:val="16"/>
                <w:szCs w:val="16"/>
                <w:lang w:eastAsia="zh-CN"/>
              </w:rPr>
            </w:pPr>
          </w:p>
        </w:tc>
        <w:tc>
          <w:tcPr>
            <w:tcW w:w="0" w:type="auto"/>
            <w:gridSpan w:val="2"/>
            <w:tcBorders>
              <w:top w:val="single" w:sz="4" w:space="0" w:color="auto"/>
              <w:left w:val="nil"/>
              <w:bottom w:val="nil"/>
              <w:right w:val="nil"/>
            </w:tcBorders>
            <w:shd w:val="clear" w:color="auto" w:fill="auto"/>
            <w:noWrap/>
            <w:vAlign w:val="center"/>
          </w:tcPr>
          <w:p w14:paraId="1C42A6E8" w14:textId="77777777" w:rsidR="00215DD1" w:rsidRDefault="00215DD1" w:rsidP="00215DD1">
            <w:pPr>
              <w:jc w:val="center"/>
              <w:rPr>
                <w:rFonts w:ascii="Arial" w:eastAsia="等线" w:hAnsi="Arial" w:cs="Arial"/>
                <w:color w:val="0F243E"/>
                <w:sz w:val="16"/>
                <w:szCs w:val="16"/>
                <w:lang w:eastAsia="zh-CN"/>
              </w:rPr>
            </w:pPr>
          </w:p>
        </w:tc>
      </w:tr>
    </w:tbl>
    <w:p w14:paraId="368C0762" w14:textId="77777777" w:rsidR="00215DD1" w:rsidRPr="00EF2613" w:rsidRDefault="00215DD1" w:rsidP="009307D7">
      <w:pPr>
        <w:pStyle w:val="ae"/>
        <w:spacing w:beforeLines="50" w:before="163" w:afterLines="50" w:after="163" w:line="252" w:lineRule="auto"/>
        <w:ind w:left="3017"/>
        <w:jc w:val="both"/>
        <w:rPr>
          <w:lang w:eastAsia="zh-CN"/>
        </w:rPr>
      </w:pPr>
    </w:p>
    <w:p w14:paraId="4FD2F87D" w14:textId="0510D4C8" w:rsidR="009307D7" w:rsidRDefault="009307D7" w:rsidP="002A05DF">
      <w:pPr>
        <w:pStyle w:val="ae"/>
        <w:spacing w:beforeLines="50" w:before="163" w:afterLines="50" w:after="163" w:line="252" w:lineRule="auto"/>
        <w:ind w:left="3017"/>
        <w:jc w:val="both"/>
        <w:rPr>
          <w:lang w:eastAsia="zh-CN"/>
        </w:rPr>
      </w:pPr>
      <w:r>
        <w:rPr>
          <w:lang w:eastAsia="zh-CN"/>
        </w:rPr>
        <w:br w:type="page"/>
      </w:r>
    </w:p>
    <w:tbl>
      <w:tblPr>
        <w:tblW w:w="10431" w:type="dxa"/>
        <w:tblInd w:w="130" w:type="dxa"/>
        <w:tblLayout w:type="fixed"/>
        <w:tblLook w:val="04A0" w:firstRow="1" w:lastRow="0" w:firstColumn="1" w:lastColumn="0" w:noHBand="0" w:noVBand="1"/>
      </w:tblPr>
      <w:tblGrid>
        <w:gridCol w:w="5074"/>
        <w:gridCol w:w="283"/>
        <w:gridCol w:w="5074"/>
      </w:tblGrid>
      <w:tr w:rsidR="0040539B" w:rsidRPr="00C72F7D" w14:paraId="0268818A" w14:textId="77777777" w:rsidTr="0040539B">
        <w:tc>
          <w:tcPr>
            <w:tcW w:w="5074" w:type="dxa"/>
            <w:tcBorders>
              <w:top w:val="nil"/>
              <w:left w:val="nil"/>
              <w:bottom w:val="single" w:sz="4" w:space="0" w:color="auto"/>
              <w:right w:val="nil"/>
            </w:tcBorders>
            <w:hideMark/>
          </w:tcPr>
          <w:p w14:paraId="0FAB3002" w14:textId="11FCD979" w:rsidR="0040539B" w:rsidRPr="00C72F7D" w:rsidRDefault="0040539B" w:rsidP="0040539B">
            <w:pPr>
              <w:pStyle w:val="af0"/>
              <w:ind w:leftChars="-54" w:left="-130"/>
              <w:rPr>
                <w:lang w:eastAsia="zh-CN"/>
              </w:rPr>
            </w:pPr>
            <w:bookmarkStart w:id="50" w:name="_Toc65772365"/>
            <w:r>
              <w:rPr>
                <w:rFonts w:hint="eastAsia"/>
                <w:lang w:eastAsia="zh-CN"/>
              </w:rPr>
              <w:lastRenderedPageBreak/>
              <w:t>图</w:t>
            </w:r>
            <w:r>
              <w:rPr>
                <w:lang w:eastAsia="zh-CN"/>
              </w:rPr>
              <w:t xml:space="preserve"> </w:t>
            </w:r>
            <w:r>
              <w:fldChar w:fldCharType="begin"/>
            </w:r>
            <w:r w:rsidRPr="00D739B5">
              <w:rPr>
                <w:lang w:eastAsia="zh-CN"/>
              </w:rPr>
              <w:instrText xml:space="preserve"> SEQ </w:instrText>
            </w:r>
            <w:r w:rsidRPr="00D739B5">
              <w:rPr>
                <w:lang w:eastAsia="zh-CN"/>
              </w:rPr>
              <w:instrText>图</w:instrText>
            </w:r>
            <w:r w:rsidRPr="00D739B5">
              <w:rPr>
                <w:lang w:eastAsia="zh-CN"/>
              </w:rPr>
              <w:instrText xml:space="preserve"> \* ARABIC </w:instrText>
            </w:r>
            <w:r>
              <w:fldChar w:fldCharType="separate"/>
            </w:r>
            <w:r w:rsidR="0010512F">
              <w:rPr>
                <w:noProof/>
                <w:lang w:eastAsia="zh-CN"/>
              </w:rPr>
              <w:t>13</w:t>
            </w:r>
            <w:r>
              <w:fldChar w:fldCharType="end"/>
            </w:r>
            <w:r>
              <w:rPr>
                <w:rFonts w:hint="eastAsia"/>
                <w:lang w:eastAsia="zh-CN"/>
              </w:rPr>
              <w:t>：</w:t>
            </w:r>
            <w:r w:rsidR="005038B6">
              <w:rPr>
                <w:rFonts w:hint="eastAsia"/>
                <w:lang w:eastAsia="zh-CN"/>
              </w:rPr>
              <w:t>酒类行业主题</w:t>
            </w:r>
            <w:r w:rsidRPr="0040539B">
              <w:rPr>
                <w:rFonts w:hint="eastAsia"/>
                <w:lang w:eastAsia="zh-CN"/>
              </w:rPr>
              <w:t>基金所选</w:t>
            </w:r>
            <w:r w:rsidR="005038B6">
              <w:rPr>
                <w:rFonts w:hint="eastAsia"/>
                <w:lang w:eastAsia="zh-CN"/>
              </w:rPr>
              <w:t>第一</w:t>
            </w:r>
            <w:r w:rsidRPr="0040539B">
              <w:rPr>
                <w:rFonts w:hint="eastAsia"/>
                <w:lang w:eastAsia="zh-CN"/>
              </w:rPr>
              <w:t>基准对应的基金数目</w:t>
            </w:r>
            <w:bookmarkEnd w:id="50"/>
          </w:p>
        </w:tc>
        <w:tc>
          <w:tcPr>
            <w:tcW w:w="283" w:type="dxa"/>
          </w:tcPr>
          <w:p w14:paraId="355D772C" w14:textId="77777777" w:rsidR="0040539B" w:rsidRPr="00490D55" w:rsidRDefault="0040539B" w:rsidP="0040539B">
            <w:pPr>
              <w:pStyle w:val="ae"/>
              <w:spacing w:after="0"/>
              <w:ind w:leftChars="0" w:left="0"/>
              <w:rPr>
                <w:b/>
                <w:color w:val="0F243E"/>
                <w:lang w:eastAsia="zh-CN"/>
              </w:rPr>
            </w:pPr>
          </w:p>
        </w:tc>
        <w:tc>
          <w:tcPr>
            <w:tcW w:w="5074" w:type="dxa"/>
            <w:tcBorders>
              <w:top w:val="nil"/>
              <w:left w:val="nil"/>
              <w:bottom w:val="single" w:sz="4" w:space="0" w:color="auto"/>
              <w:right w:val="nil"/>
            </w:tcBorders>
            <w:hideMark/>
          </w:tcPr>
          <w:p w14:paraId="5DB1A089" w14:textId="46BEB2AE" w:rsidR="0040539B" w:rsidRPr="00C72F7D" w:rsidRDefault="0040539B" w:rsidP="0040539B">
            <w:pPr>
              <w:pStyle w:val="af0"/>
              <w:ind w:leftChars="-41" w:left="-98"/>
              <w:rPr>
                <w:lang w:eastAsia="zh-CN"/>
              </w:rPr>
            </w:pPr>
            <w:bookmarkStart w:id="51" w:name="_Toc65772366"/>
            <w:r>
              <w:rPr>
                <w:rFonts w:hint="eastAsia"/>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sidR="0010512F">
              <w:rPr>
                <w:noProof/>
                <w:lang w:eastAsia="zh-CN"/>
              </w:rPr>
              <w:t>14</w:t>
            </w:r>
            <w:r>
              <w:fldChar w:fldCharType="end"/>
            </w:r>
            <w:r>
              <w:rPr>
                <w:rFonts w:hint="eastAsia"/>
                <w:lang w:eastAsia="zh-CN"/>
              </w:rPr>
              <w:t>：</w:t>
            </w:r>
            <w:r w:rsidR="005038B6">
              <w:rPr>
                <w:rFonts w:hint="eastAsia"/>
                <w:lang w:eastAsia="zh-CN"/>
              </w:rPr>
              <w:t>酒类行业主题</w:t>
            </w:r>
            <w:r w:rsidR="005038B6" w:rsidRPr="0040539B">
              <w:rPr>
                <w:rFonts w:hint="eastAsia"/>
                <w:lang w:eastAsia="zh-CN"/>
              </w:rPr>
              <w:t>基金所选</w:t>
            </w:r>
            <w:r w:rsidR="005038B6">
              <w:rPr>
                <w:rFonts w:hint="eastAsia"/>
                <w:lang w:eastAsia="zh-CN"/>
              </w:rPr>
              <w:t>第二基准</w:t>
            </w:r>
            <w:r w:rsidRPr="0040539B">
              <w:rPr>
                <w:rFonts w:hint="eastAsia"/>
                <w:lang w:eastAsia="zh-CN"/>
              </w:rPr>
              <w:t>应的基金数目</w:t>
            </w:r>
            <w:bookmarkEnd w:id="51"/>
          </w:p>
        </w:tc>
      </w:tr>
      <w:tr w:rsidR="0040539B" w:rsidRPr="009B1FB9" w14:paraId="422063DB" w14:textId="77777777" w:rsidTr="005038B6">
        <w:trPr>
          <w:trHeight w:hRule="exact" w:val="3005"/>
        </w:trPr>
        <w:tc>
          <w:tcPr>
            <w:tcW w:w="5074" w:type="dxa"/>
            <w:tcBorders>
              <w:top w:val="single" w:sz="4" w:space="0" w:color="auto"/>
              <w:left w:val="nil"/>
              <w:bottom w:val="single" w:sz="4" w:space="0" w:color="auto"/>
              <w:right w:val="nil"/>
            </w:tcBorders>
            <w:vAlign w:val="center"/>
          </w:tcPr>
          <w:p w14:paraId="7E3E2F78" w14:textId="3B6C0FCE" w:rsidR="0040539B" w:rsidRPr="009B1FB9" w:rsidRDefault="005038B6" w:rsidP="0040539B">
            <w:pPr>
              <w:pStyle w:val="ae"/>
              <w:spacing w:after="0"/>
              <w:ind w:leftChars="0" w:left="0"/>
              <w:jc w:val="center"/>
              <w:rPr>
                <w:rFonts w:cs="Arial"/>
                <w:lang w:eastAsia="zh-CN"/>
              </w:rPr>
            </w:pPr>
            <w:r>
              <w:rPr>
                <w:noProof/>
              </w:rPr>
              <w:drawing>
                <wp:inline distT="0" distB="0" distL="0" distR="0" wp14:anchorId="3BA73890" wp14:editId="2E9813E2">
                  <wp:extent cx="3084830" cy="1851025"/>
                  <wp:effectExtent l="0" t="0" r="1270" b="0"/>
                  <wp:docPr id="4" name="图表 4">
                    <a:extLst xmlns:a="http://schemas.openxmlformats.org/drawingml/2006/main">
                      <a:ext uri="{FF2B5EF4-FFF2-40B4-BE49-F238E27FC236}">
                        <a16:creationId xmlns:a16="http://schemas.microsoft.com/office/drawing/2014/main" id="{5707B1A3-A09D-4B95-B1A8-7C6026AB45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3"/>
                    </a:graphicData>
                  </a:graphic>
                </wp:inline>
              </w:drawing>
            </w:r>
          </w:p>
        </w:tc>
        <w:tc>
          <w:tcPr>
            <w:tcW w:w="283" w:type="dxa"/>
          </w:tcPr>
          <w:p w14:paraId="32B01279" w14:textId="77777777" w:rsidR="0040539B" w:rsidRPr="009B1FB9" w:rsidRDefault="0040539B" w:rsidP="0040539B">
            <w:pPr>
              <w:pStyle w:val="ae"/>
              <w:spacing w:after="0"/>
              <w:ind w:leftChars="0" w:left="0"/>
              <w:rPr>
                <w:rFonts w:cs="Arial"/>
                <w:lang w:eastAsia="zh-CN"/>
              </w:rPr>
            </w:pPr>
          </w:p>
        </w:tc>
        <w:tc>
          <w:tcPr>
            <w:tcW w:w="5074" w:type="dxa"/>
            <w:tcBorders>
              <w:top w:val="single" w:sz="4" w:space="0" w:color="auto"/>
              <w:left w:val="nil"/>
              <w:bottom w:val="single" w:sz="4" w:space="0" w:color="auto"/>
              <w:right w:val="nil"/>
            </w:tcBorders>
          </w:tcPr>
          <w:p w14:paraId="27C16A86" w14:textId="3603F2A1" w:rsidR="0040539B" w:rsidRPr="009B1FB9" w:rsidRDefault="005038B6" w:rsidP="0040539B">
            <w:pPr>
              <w:pStyle w:val="ae"/>
              <w:spacing w:after="0"/>
              <w:ind w:leftChars="0" w:left="0"/>
              <w:jc w:val="both"/>
              <w:rPr>
                <w:rFonts w:cs="Arial"/>
                <w:lang w:eastAsia="zh-CN"/>
              </w:rPr>
            </w:pPr>
            <w:r>
              <w:rPr>
                <w:noProof/>
              </w:rPr>
              <w:drawing>
                <wp:inline distT="0" distB="0" distL="0" distR="0" wp14:anchorId="507FE4A0" wp14:editId="5930C659">
                  <wp:extent cx="3084830" cy="1851025"/>
                  <wp:effectExtent l="0" t="0" r="1270" b="0"/>
                  <wp:docPr id="8" name="图表 8">
                    <a:extLst xmlns:a="http://schemas.openxmlformats.org/drawingml/2006/main">
                      <a:ext uri="{FF2B5EF4-FFF2-40B4-BE49-F238E27FC236}">
                        <a16:creationId xmlns:a16="http://schemas.microsoft.com/office/drawing/2014/main" id="{78DB3468-D6B2-4755-915C-DC794CA477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4"/>
                    </a:graphicData>
                  </a:graphic>
                </wp:inline>
              </w:drawing>
            </w:r>
          </w:p>
        </w:tc>
      </w:tr>
      <w:tr w:rsidR="0040539B" w:rsidRPr="00C72F7D" w14:paraId="14793C95" w14:textId="77777777" w:rsidTr="0040539B">
        <w:tc>
          <w:tcPr>
            <w:tcW w:w="5074" w:type="dxa"/>
            <w:tcBorders>
              <w:left w:val="nil"/>
              <w:bottom w:val="nil"/>
              <w:right w:val="nil"/>
            </w:tcBorders>
            <w:hideMark/>
          </w:tcPr>
          <w:p w14:paraId="20D67CB9" w14:textId="2F932983" w:rsidR="0040539B" w:rsidRPr="00C72F7D" w:rsidRDefault="0040539B" w:rsidP="0040539B">
            <w:pPr>
              <w:pStyle w:val="af0"/>
              <w:ind w:leftChars="-54" w:left="-130"/>
              <w:rPr>
                <w:lang w:eastAsia="zh-CN"/>
              </w:rPr>
            </w:pPr>
            <w:bookmarkStart w:id="52" w:name="_Toc65772367"/>
            <w:r>
              <w:rPr>
                <w:rFonts w:hint="eastAsia"/>
                <w:lang w:eastAsia="zh-CN"/>
              </w:rPr>
              <w:t>图</w:t>
            </w:r>
            <w:r>
              <w:rPr>
                <w:lang w:eastAsia="zh-CN"/>
              </w:rPr>
              <w:t xml:space="preserve"> </w:t>
            </w:r>
            <w:r>
              <w:rPr>
                <w:lang w:eastAsia="zh-CN"/>
              </w:rPr>
              <w:fldChar w:fldCharType="begin"/>
            </w:r>
            <w:r w:rsidRPr="00716F0C">
              <w:rPr>
                <w:lang w:eastAsia="zh-CN"/>
              </w:rPr>
              <w:instrText xml:space="preserve"> SEQ </w:instrText>
            </w:r>
            <w:r w:rsidRPr="00716F0C">
              <w:rPr>
                <w:lang w:eastAsia="zh-CN"/>
              </w:rPr>
              <w:instrText>图</w:instrText>
            </w:r>
            <w:r w:rsidRPr="00716F0C">
              <w:rPr>
                <w:lang w:eastAsia="zh-CN"/>
              </w:rPr>
              <w:instrText xml:space="preserve"> \* ARABIC </w:instrText>
            </w:r>
            <w:r>
              <w:rPr>
                <w:lang w:eastAsia="zh-CN"/>
              </w:rPr>
              <w:fldChar w:fldCharType="separate"/>
            </w:r>
            <w:r w:rsidR="0010512F">
              <w:rPr>
                <w:noProof/>
                <w:lang w:eastAsia="zh-CN"/>
              </w:rPr>
              <w:t>15</w:t>
            </w:r>
            <w:r>
              <w:rPr>
                <w:lang w:eastAsia="zh-CN"/>
              </w:rPr>
              <w:fldChar w:fldCharType="end"/>
            </w:r>
            <w:r>
              <w:rPr>
                <w:rFonts w:hint="eastAsia"/>
                <w:lang w:eastAsia="zh-CN"/>
              </w:rPr>
              <w:t>：</w:t>
            </w:r>
            <w:r w:rsidR="005038B6">
              <w:rPr>
                <w:rFonts w:hint="eastAsia"/>
                <w:lang w:eastAsia="zh-CN"/>
              </w:rPr>
              <w:t>电子元器件行业主题</w:t>
            </w:r>
            <w:r w:rsidR="005038B6" w:rsidRPr="0040539B">
              <w:rPr>
                <w:rFonts w:hint="eastAsia"/>
                <w:lang w:eastAsia="zh-CN"/>
              </w:rPr>
              <w:t>基金所选</w:t>
            </w:r>
            <w:r w:rsidR="005038B6">
              <w:rPr>
                <w:rFonts w:hint="eastAsia"/>
                <w:lang w:eastAsia="zh-CN"/>
              </w:rPr>
              <w:t>第一</w:t>
            </w:r>
            <w:r w:rsidR="005038B6" w:rsidRPr="0040539B">
              <w:rPr>
                <w:rFonts w:hint="eastAsia"/>
                <w:lang w:eastAsia="zh-CN"/>
              </w:rPr>
              <w:t>基准对应的基金数目</w:t>
            </w:r>
            <w:bookmarkEnd w:id="52"/>
          </w:p>
        </w:tc>
        <w:tc>
          <w:tcPr>
            <w:tcW w:w="283" w:type="dxa"/>
          </w:tcPr>
          <w:p w14:paraId="5F7B857E" w14:textId="77777777" w:rsidR="0040539B" w:rsidRPr="0040539B" w:rsidRDefault="0040539B" w:rsidP="0040539B">
            <w:pPr>
              <w:pStyle w:val="af0"/>
              <w:ind w:leftChars="-54" w:left="-130"/>
              <w:rPr>
                <w:lang w:eastAsia="zh-CN"/>
              </w:rPr>
            </w:pPr>
          </w:p>
        </w:tc>
        <w:tc>
          <w:tcPr>
            <w:tcW w:w="5074" w:type="dxa"/>
            <w:tcBorders>
              <w:left w:val="nil"/>
              <w:bottom w:val="nil"/>
              <w:right w:val="nil"/>
            </w:tcBorders>
            <w:hideMark/>
          </w:tcPr>
          <w:p w14:paraId="20BD2D22" w14:textId="7288B965" w:rsidR="0040539B" w:rsidRPr="00C72F7D" w:rsidRDefault="0040539B" w:rsidP="0040539B">
            <w:pPr>
              <w:pStyle w:val="af0"/>
              <w:ind w:leftChars="-54" w:left="-130"/>
              <w:rPr>
                <w:lang w:eastAsia="zh-CN"/>
              </w:rPr>
            </w:pPr>
            <w:bookmarkStart w:id="53" w:name="_Toc65772368"/>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10512F">
              <w:rPr>
                <w:noProof/>
                <w:lang w:eastAsia="zh-CN"/>
              </w:rPr>
              <w:t>16</w:t>
            </w:r>
            <w:r>
              <w:rPr>
                <w:lang w:eastAsia="zh-CN"/>
              </w:rPr>
              <w:fldChar w:fldCharType="end"/>
            </w:r>
            <w:r>
              <w:rPr>
                <w:rFonts w:hint="eastAsia"/>
                <w:lang w:eastAsia="zh-CN"/>
              </w:rPr>
              <w:t>：</w:t>
            </w:r>
            <w:r w:rsidR="005038B6">
              <w:rPr>
                <w:rFonts w:hint="eastAsia"/>
                <w:lang w:eastAsia="zh-CN"/>
              </w:rPr>
              <w:t>电子元器件行业主题</w:t>
            </w:r>
            <w:r w:rsidR="005038B6" w:rsidRPr="0040539B">
              <w:rPr>
                <w:rFonts w:hint="eastAsia"/>
                <w:lang w:eastAsia="zh-CN"/>
              </w:rPr>
              <w:t>基金所选</w:t>
            </w:r>
            <w:r w:rsidR="005038B6">
              <w:rPr>
                <w:rFonts w:hint="eastAsia"/>
                <w:lang w:eastAsia="zh-CN"/>
              </w:rPr>
              <w:t>第二</w:t>
            </w:r>
            <w:r w:rsidR="005038B6" w:rsidRPr="0040539B">
              <w:rPr>
                <w:rFonts w:hint="eastAsia"/>
                <w:lang w:eastAsia="zh-CN"/>
              </w:rPr>
              <w:t>基准对应的基金数目</w:t>
            </w:r>
            <w:bookmarkEnd w:id="53"/>
          </w:p>
        </w:tc>
      </w:tr>
      <w:tr w:rsidR="0040539B" w:rsidRPr="009B1FB9" w14:paraId="2EB75BC0" w14:textId="77777777" w:rsidTr="005038B6">
        <w:trPr>
          <w:trHeight w:val="3005"/>
        </w:trPr>
        <w:tc>
          <w:tcPr>
            <w:tcW w:w="5074" w:type="dxa"/>
            <w:tcBorders>
              <w:top w:val="single" w:sz="4" w:space="0" w:color="auto"/>
              <w:left w:val="nil"/>
              <w:bottom w:val="single" w:sz="4" w:space="0" w:color="auto"/>
              <w:right w:val="nil"/>
            </w:tcBorders>
            <w:hideMark/>
          </w:tcPr>
          <w:p w14:paraId="0A15E1B2" w14:textId="6075C513" w:rsidR="0040539B" w:rsidRPr="0040539B" w:rsidRDefault="005038B6" w:rsidP="0040539B">
            <w:pPr>
              <w:pStyle w:val="aff2"/>
              <w:ind w:leftChars="-54" w:left="-130"/>
            </w:pPr>
            <w:r>
              <w:rPr>
                <w:noProof/>
              </w:rPr>
              <w:drawing>
                <wp:inline distT="0" distB="0" distL="0" distR="0" wp14:anchorId="21165B45" wp14:editId="5DEE167C">
                  <wp:extent cx="3084830" cy="1851025"/>
                  <wp:effectExtent l="0" t="0" r="1270" b="0"/>
                  <wp:docPr id="14" name="图表 14">
                    <a:extLst xmlns:a="http://schemas.openxmlformats.org/drawingml/2006/main">
                      <a:ext uri="{FF2B5EF4-FFF2-40B4-BE49-F238E27FC236}">
                        <a16:creationId xmlns:a16="http://schemas.microsoft.com/office/drawing/2014/main" id="{1C7BEFC8-5858-4A28-9E5E-0AAD5EFA7A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5"/>
                    </a:graphicData>
                  </a:graphic>
                </wp:inline>
              </w:drawing>
            </w:r>
          </w:p>
        </w:tc>
        <w:tc>
          <w:tcPr>
            <w:tcW w:w="283" w:type="dxa"/>
            <w:tcBorders>
              <w:bottom w:val="single" w:sz="4" w:space="0" w:color="auto"/>
            </w:tcBorders>
          </w:tcPr>
          <w:p w14:paraId="04801AAC" w14:textId="77777777" w:rsidR="0040539B" w:rsidRPr="0040539B" w:rsidRDefault="0040539B" w:rsidP="0040539B">
            <w:pPr>
              <w:pStyle w:val="ae"/>
              <w:spacing w:after="0"/>
              <w:ind w:leftChars="0" w:left="0"/>
              <w:rPr>
                <w:color w:val="0F243E"/>
                <w:sz w:val="18"/>
                <w:lang w:eastAsia="zh-CN"/>
              </w:rPr>
            </w:pPr>
          </w:p>
        </w:tc>
        <w:tc>
          <w:tcPr>
            <w:tcW w:w="5074" w:type="dxa"/>
            <w:tcBorders>
              <w:top w:val="single" w:sz="4" w:space="0" w:color="auto"/>
              <w:left w:val="nil"/>
              <w:bottom w:val="single" w:sz="4" w:space="0" w:color="auto"/>
              <w:right w:val="nil"/>
            </w:tcBorders>
            <w:hideMark/>
          </w:tcPr>
          <w:p w14:paraId="418BE405" w14:textId="714EFF82" w:rsidR="0040539B" w:rsidRPr="0040539B" w:rsidRDefault="005038B6" w:rsidP="0040539B">
            <w:pPr>
              <w:pStyle w:val="aff2"/>
              <w:ind w:leftChars="-41" w:left="-98"/>
            </w:pPr>
            <w:r>
              <w:rPr>
                <w:noProof/>
              </w:rPr>
              <w:drawing>
                <wp:inline distT="0" distB="0" distL="0" distR="0" wp14:anchorId="7EAD1D60" wp14:editId="16785663">
                  <wp:extent cx="3084830" cy="1851025"/>
                  <wp:effectExtent l="0" t="0" r="1270" b="0"/>
                  <wp:docPr id="19" name="图表 19">
                    <a:extLst xmlns:a="http://schemas.openxmlformats.org/drawingml/2006/main">
                      <a:ext uri="{FF2B5EF4-FFF2-40B4-BE49-F238E27FC236}">
                        <a16:creationId xmlns:a16="http://schemas.microsoft.com/office/drawing/2014/main" id="{E5205157-5ACC-4EB5-B688-813DC84B4A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6"/>
                    </a:graphicData>
                  </a:graphic>
                </wp:inline>
              </w:drawing>
            </w:r>
          </w:p>
        </w:tc>
      </w:tr>
      <w:tr w:rsidR="0040539B" w:rsidRPr="00C72F7D" w14:paraId="7AF64CF1" w14:textId="77777777" w:rsidTr="005038B6">
        <w:tc>
          <w:tcPr>
            <w:tcW w:w="5074" w:type="dxa"/>
            <w:tcBorders>
              <w:left w:val="nil"/>
              <w:bottom w:val="single" w:sz="4" w:space="0" w:color="auto"/>
              <w:right w:val="nil"/>
            </w:tcBorders>
            <w:hideMark/>
          </w:tcPr>
          <w:p w14:paraId="40C12943" w14:textId="3AA3894E" w:rsidR="0040539B" w:rsidRPr="00C72F7D" w:rsidRDefault="0040539B" w:rsidP="0040539B">
            <w:pPr>
              <w:pStyle w:val="af0"/>
              <w:ind w:leftChars="-54" w:left="-130"/>
              <w:rPr>
                <w:lang w:eastAsia="zh-CN"/>
              </w:rPr>
            </w:pPr>
            <w:bookmarkStart w:id="54" w:name="_Toc65772369"/>
            <w:r>
              <w:rPr>
                <w:rFonts w:hint="eastAsia"/>
                <w:lang w:eastAsia="zh-CN"/>
              </w:rPr>
              <w:t>图</w:t>
            </w:r>
            <w:r>
              <w:rPr>
                <w:lang w:eastAsia="zh-CN"/>
              </w:rPr>
              <w:t xml:space="preserve"> </w:t>
            </w:r>
            <w:r>
              <w:rPr>
                <w:lang w:eastAsia="zh-CN"/>
              </w:rPr>
              <w:fldChar w:fldCharType="begin"/>
            </w:r>
            <w:r w:rsidRPr="005F15F9">
              <w:rPr>
                <w:lang w:eastAsia="zh-CN"/>
              </w:rPr>
              <w:instrText xml:space="preserve"> SEQ </w:instrText>
            </w:r>
            <w:r w:rsidRPr="005F15F9">
              <w:rPr>
                <w:lang w:eastAsia="zh-CN"/>
              </w:rPr>
              <w:instrText>图</w:instrText>
            </w:r>
            <w:r w:rsidRPr="005F15F9">
              <w:rPr>
                <w:lang w:eastAsia="zh-CN"/>
              </w:rPr>
              <w:instrText xml:space="preserve"> \* ARABIC </w:instrText>
            </w:r>
            <w:r>
              <w:rPr>
                <w:lang w:eastAsia="zh-CN"/>
              </w:rPr>
              <w:fldChar w:fldCharType="separate"/>
            </w:r>
            <w:r w:rsidR="0010512F">
              <w:rPr>
                <w:noProof/>
                <w:lang w:eastAsia="zh-CN"/>
              </w:rPr>
              <w:t>17</w:t>
            </w:r>
            <w:r>
              <w:rPr>
                <w:lang w:eastAsia="zh-CN"/>
              </w:rPr>
              <w:fldChar w:fldCharType="end"/>
            </w:r>
            <w:r>
              <w:rPr>
                <w:rFonts w:hint="eastAsia"/>
                <w:lang w:eastAsia="zh-CN"/>
              </w:rPr>
              <w:t>：</w:t>
            </w:r>
            <w:r w:rsidR="005038B6">
              <w:rPr>
                <w:rFonts w:hint="eastAsia"/>
                <w:lang w:eastAsia="zh-CN"/>
              </w:rPr>
              <w:t>电工电网行业主题</w:t>
            </w:r>
            <w:r w:rsidR="005038B6" w:rsidRPr="0040539B">
              <w:rPr>
                <w:rFonts w:hint="eastAsia"/>
                <w:lang w:eastAsia="zh-CN"/>
              </w:rPr>
              <w:t>基金所选</w:t>
            </w:r>
            <w:r w:rsidR="005038B6">
              <w:rPr>
                <w:rFonts w:hint="eastAsia"/>
                <w:lang w:eastAsia="zh-CN"/>
              </w:rPr>
              <w:t>第一</w:t>
            </w:r>
            <w:r w:rsidR="005038B6" w:rsidRPr="0040539B">
              <w:rPr>
                <w:rFonts w:hint="eastAsia"/>
                <w:lang w:eastAsia="zh-CN"/>
              </w:rPr>
              <w:t>基准对应的基金数目</w:t>
            </w:r>
            <w:bookmarkEnd w:id="54"/>
          </w:p>
        </w:tc>
        <w:tc>
          <w:tcPr>
            <w:tcW w:w="283" w:type="dxa"/>
            <w:tcBorders>
              <w:bottom w:val="single" w:sz="4" w:space="0" w:color="auto"/>
            </w:tcBorders>
          </w:tcPr>
          <w:p w14:paraId="4D58C728" w14:textId="77777777" w:rsidR="0040539B" w:rsidRPr="0040539B" w:rsidRDefault="0040539B" w:rsidP="0040539B">
            <w:pPr>
              <w:pStyle w:val="af0"/>
              <w:ind w:leftChars="-54" w:left="-130"/>
              <w:rPr>
                <w:lang w:eastAsia="zh-CN"/>
              </w:rPr>
            </w:pPr>
          </w:p>
        </w:tc>
        <w:tc>
          <w:tcPr>
            <w:tcW w:w="5074" w:type="dxa"/>
            <w:tcBorders>
              <w:left w:val="nil"/>
              <w:bottom w:val="single" w:sz="4" w:space="0" w:color="auto"/>
              <w:right w:val="nil"/>
            </w:tcBorders>
            <w:hideMark/>
          </w:tcPr>
          <w:p w14:paraId="61DD1EDF" w14:textId="38DC36B5" w:rsidR="0040539B" w:rsidRPr="00C72F7D" w:rsidRDefault="0040539B" w:rsidP="0040539B">
            <w:pPr>
              <w:pStyle w:val="af0"/>
              <w:ind w:leftChars="-54" w:left="-130"/>
              <w:rPr>
                <w:lang w:eastAsia="zh-CN"/>
              </w:rPr>
            </w:pPr>
            <w:bookmarkStart w:id="55" w:name="_Toc65772370"/>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10512F">
              <w:rPr>
                <w:noProof/>
                <w:lang w:eastAsia="zh-CN"/>
              </w:rPr>
              <w:t>18</w:t>
            </w:r>
            <w:r>
              <w:rPr>
                <w:lang w:eastAsia="zh-CN"/>
              </w:rPr>
              <w:fldChar w:fldCharType="end"/>
            </w:r>
            <w:r>
              <w:rPr>
                <w:rFonts w:hint="eastAsia"/>
                <w:lang w:eastAsia="zh-CN"/>
              </w:rPr>
              <w:t>：</w:t>
            </w:r>
            <w:r w:rsidR="005038B6">
              <w:rPr>
                <w:rFonts w:hint="eastAsia"/>
                <w:lang w:eastAsia="zh-CN"/>
              </w:rPr>
              <w:t>电工电网行业主题</w:t>
            </w:r>
            <w:r w:rsidR="005038B6" w:rsidRPr="0040539B">
              <w:rPr>
                <w:rFonts w:hint="eastAsia"/>
                <w:lang w:eastAsia="zh-CN"/>
              </w:rPr>
              <w:t>基金所选</w:t>
            </w:r>
            <w:r w:rsidR="005038B6">
              <w:rPr>
                <w:rFonts w:hint="eastAsia"/>
                <w:lang w:eastAsia="zh-CN"/>
              </w:rPr>
              <w:t>第二</w:t>
            </w:r>
            <w:r w:rsidR="005038B6" w:rsidRPr="0040539B">
              <w:rPr>
                <w:rFonts w:hint="eastAsia"/>
                <w:lang w:eastAsia="zh-CN"/>
              </w:rPr>
              <w:t>基准对应的基金数目</w:t>
            </w:r>
            <w:bookmarkEnd w:id="55"/>
          </w:p>
        </w:tc>
      </w:tr>
      <w:tr w:rsidR="0040539B" w:rsidRPr="009B1FB9" w14:paraId="7CF03374" w14:textId="77777777" w:rsidTr="005038B6">
        <w:tc>
          <w:tcPr>
            <w:tcW w:w="5074" w:type="dxa"/>
            <w:tcBorders>
              <w:top w:val="single" w:sz="4" w:space="0" w:color="auto"/>
              <w:left w:val="nil"/>
              <w:bottom w:val="single" w:sz="4" w:space="0" w:color="auto"/>
              <w:right w:val="nil"/>
            </w:tcBorders>
            <w:hideMark/>
          </w:tcPr>
          <w:p w14:paraId="55F2A406" w14:textId="51594652" w:rsidR="0040539B" w:rsidRPr="0040539B" w:rsidRDefault="005038B6" w:rsidP="0040539B">
            <w:pPr>
              <w:pStyle w:val="aff2"/>
              <w:ind w:leftChars="-54" w:left="-130"/>
            </w:pPr>
            <w:r>
              <w:rPr>
                <w:noProof/>
              </w:rPr>
              <w:drawing>
                <wp:inline distT="0" distB="0" distL="0" distR="0" wp14:anchorId="68EBA7F4" wp14:editId="2E1EA1E1">
                  <wp:extent cx="3084830" cy="1851025"/>
                  <wp:effectExtent l="0" t="0" r="1270" b="0"/>
                  <wp:docPr id="24" name="图表 24">
                    <a:extLst xmlns:a="http://schemas.openxmlformats.org/drawingml/2006/main">
                      <a:ext uri="{FF2B5EF4-FFF2-40B4-BE49-F238E27FC236}">
                        <a16:creationId xmlns:a16="http://schemas.microsoft.com/office/drawing/2014/main" id="{0DA148C5-A604-46E6-A5A3-84DEB3824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7"/>
                    </a:graphicData>
                  </a:graphic>
                </wp:inline>
              </w:drawing>
            </w:r>
          </w:p>
        </w:tc>
        <w:tc>
          <w:tcPr>
            <w:tcW w:w="283" w:type="dxa"/>
            <w:tcBorders>
              <w:top w:val="single" w:sz="4" w:space="0" w:color="auto"/>
              <w:bottom w:val="single" w:sz="4" w:space="0" w:color="auto"/>
            </w:tcBorders>
          </w:tcPr>
          <w:p w14:paraId="588B585D" w14:textId="77777777" w:rsidR="0040539B" w:rsidRPr="0040539B" w:rsidRDefault="0040539B" w:rsidP="0040539B">
            <w:pPr>
              <w:pStyle w:val="ae"/>
              <w:spacing w:after="0"/>
              <w:ind w:leftChars="0" w:left="0"/>
              <w:rPr>
                <w:color w:val="0F243E"/>
                <w:sz w:val="18"/>
                <w:lang w:eastAsia="zh-CN"/>
              </w:rPr>
            </w:pPr>
          </w:p>
        </w:tc>
        <w:tc>
          <w:tcPr>
            <w:tcW w:w="5074" w:type="dxa"/>
            <w:tcBorders>
              <w:top w:val="single" w:sz="4" w:space="0" w:color="auto"/>
              <w:left w:val="nil"/>
              <w:bottom w:val="single" w:sz="4" w:space="0" w:color="auto"/>
              <w:right w:val="nil"/>
            </w:tcBorders>
            <w:hideMark/>
          </w:tcPr>
          <w:p w14:paraId="74C9CDFC" w14:textId="4960FB61" w:rsidR="0040539B" w:rsidRPr="0040539B" w:rsidRDefault="005038B6" w:rsidP="0040539B">
            <w:pPr>
              <w:pStyle w:val="aff2"/>
              <w:ind w:leftChars="-41" w:left="-98"/>
            </w:pPr>
            <w:r>
              <w:rPr>
                <w:noProof/>
              </w:rPr>
              <w:drawing>
                <wp:inline distT="0" distB="0" distL="0" distR="0" wp14:anchorId="2898966D" wp14:editId="0DCC7771">
                  <wp:extent cx="3084830" cy="1851025"/>
                  <wp:effectExtent l="0" t="0" r="1270" b="0"/>
                  <wp:docPr id="66" name="图表 66">
                    <a:extLst xmlns:a="http://schemas.openxmlformats.org/drawingml/2006/main">
                      <a:ext uri="{FF2B5EF4-FFF2-40B4-BE49-F238E27FC236}">
                        <a16:creationId xmlns:a16="http://schemas.microsoft.com/office/drawing/2014/main" id="{66012790-197C-4039-950A-904F324C81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8"/>
                    </a:graphicData>
                  </a:graphic>
                </wp:inline>
              </w:drawing>
            </w:r>
          </w:p>
        </w:tc>
      </w:tr>
    </w:tbl>
    <w:p w14:paraId="44163913" w14:textId="5FC84661" w:rsidR="005F15F9" w:rsidRDefault="005F15F9">
      <w:r>
        <w:br w:type="page"/>
      </w:r>
    </w:p>
    <w:p w14:paraId="2140ED41" w14:textId="77777777" w:rsidR="0040539B" w:rsidRDefault="0040539B"/>
    <w:tbl>
      <w:tblPr>
        <w:tblW w:w="10431" w:type="dxa"/>
        <w:tblInd w:w="130" w:type="dxa"/>
        <w:tblLayout w:type="fixed"/>
        <w:tblLook w:val="04A0" w:firstRow="1" w:lastRow="0" w:firstColumn="1" w:lastColumn="0" w:noHBand="0" w:noVBand="1"/>
      </w:tblPr>
      <w:tblGrid>
        <w:gridCol w:w="5074"/>
        <w:gridCol w:w="283"/>
        <w:gridCol w:w="5074"/>
      </w:tblGrid>
      <w:tr w:rsidR="0040539B" w:rsidRPr="00C72F7D" w14:paraId="070ECEAA" w14:textId="77777777" w:rsidTr="0040539B">
        <w:tc>
          <w:tcPr>
            <w:tcW w:w="5074" w:type="dxa"/>
            <w:tcBorders>
              <w:left w:val="nil"/>
              <w:bottom w:val="single" w:sz="4" w:space="0" w:color="auto"/>
              <w:right w:val="nil"/>
            </w:tcBorders>
            <w:hideMark/>
          </w:tcPr>
          <w:p w14:paraId="2FB34DF5" w14:textId="55692C5E" w:rsidR="0040539B" w:rsidRPr="00C72F7D" w:rsidRDefault="0040539B" w:rsidP="0040539B">
            <w:pPr>
              <w:pStyle w:val="af0"/>
              <w:ind w:leftChars="-54" w:left="-130"/>
              <w:rPr>
                <w:lang w:eastAsia="zh-CN"/>
              </w:rPr>
            </w:pPr>
            <w:bookmarkStart w:id="56" w:name="_Toc65772371"/>
            <w:r>
              <w:rPr>
                <w:rFonts w:hint="eastAsia"/>
                <w:lang w:eastAsia="zh-CN"/>
              </w:rPr>
              <w:t>图</w:t>
            </w:r>
            <w:r>
              <w:rPr>
                <w:lang w:eastAsia="zh-CN"/>
              </w:rPr>
              <w:t xml:space="preserve"> </w:t>
            </w:r>
            <w:r>
              <w:rPr>
                <w:lang w:eastAsia="zh-CN"/>
              </w:rPr>
              <w:fldChar w:fldCharType="begin"/>
            </w:r>
            <w:r w:rsidRPr="005038B6">
              <w:rPr>
                <w:lang w:eastAsia="zh-CN"/>
              </w:rPr>
              <w:instrText xml:space="preserve"> SEQ </w:instrText>
            </w:r>
            <w:r w:rsidRPr="005038B6">
              <w:rPr>
                <w:lang w:eastAsia="zh-CN"/>
              </w:rPr>
              <w:instrText>图</w:instrText>
            </w:r>
            <w:r w:rsidRPr="005038B6">
              <w:rPr>
                <w:lang w:eastAsia="zh-CN"/>
              </w:rPr>
              <w:instrText xml:space="preserve"> \* ARABIC </w:instrText>
            </w:r>
            <w:r>
              <w:rPr>
                <w:lang w:eastAsia="zh-CN"/>
              </w:rPr>
              <w:fldChar w:fldCharType="separate"/>
            </w:r>
            <w:r w:rsidR="0010512F">
              <w:rPr>
                <w:noProof/>
                <w:lang w:eastAsia="zh-CN"/>
              </w:rPr>
              <w:t>19</w:t>
            </w:r>
            <w:r>
              <w:rPr>
                <w:lang w:eastAsia="zh-CN"/>
              </w:rPr>
              <w:fldChar w:fldCharType="end"/>
            </w:r>
            <w:r>
              <w:rPr>
                <w:rFonts w:hint="eastAsia"/>
                <w:lang w:eastAsia="zh-CN"/>
              </w:rPr>
              <w:t>：</w:t>
            </w:r>
            <w:r w:rsidR="005038B6">
              <w:rPr>
                <w:rFonts w:hint="eastAsia"/>
                <w:lang w:eastAsia="zh-CN"/>
              </w:rPr>
              <w:t>半导体行业主题</w:t>
            </w:r>
            <w:r w:rsidR="005038B6" w:rsidRPr="0040539B">
              <w:rPr>
                <w:rFonts w:hint="eastAsia"/>
                <w:lang w:eastAsia="zh-CN"/>
              </w:rPr>
              <w:t>基金所选</w:t>
            </w:r>
            <w:r w:rsidR="005038B6">
              <w:rPr>
                <w:rFonts w:hint="eastAsia"/>
                <w:lang w:eastAsia="zh-CN"/>
              </w:rPr>
              <w:t>第一</w:t>
            </w:r>
            <w:r w:rsidR="005038B6" w:rsidRPr="0040539B">
              <w:rPr>
                <w:rFonts w:hint="eastAsia"/>
                <w:lang w:eastAsia="zh-CN"/>
              </w:rPr>
              <w:t>基准对应的基金数目</w:t>
            </w:r>
            <w:bookmarkEnd w:id="56"/>
          </w:p>
        </w:tc>
        <w:tc>
          <w:tcPr>
            <w:tcW w:w="283" w:type="dxa"/>
            <w:tcBorders>
              <w:bottom w:val="single" w:sz="4" w:space="0" w:color="auto"/>
            </w:tcBorders>
          </w:tcPr>
          <w:p w14:paraId="0CC275D7" w14:textId="77777777" w:rsidR="0040539B" w:rsidRPr="0040539B" w:rsidRDefault="0040539B" w:rsidP="0040539B">
            <w:pPr>
              <w:pStyle w:val="af0"/>
              <w:ind w:leftChars="-54" w:left="-130"/>
              <w:rPr>
                <w:lang w:eastAsia="zh-CN"/>
              </w:rPr>
            </w:pPr>
          </w:p>
        </w:tc>
        <w:tc>
          <w:tcPr>
            <w:tcW w:w="5074" w:type="dxa"/>
            <w:tcBorders>
              <w:left w:val="nil"/>
              <w:bottom w:val="single" w:sz="4" w:space="0" w:color="auto"/>
              <w:right w:val="nil"/>
            </w:tcBorders>
            <w:hideMark/>
          </w:tcPr>
          <w:p w14:paraId="1B2F77AC" w14:textId="444660D5" w:rsidR="0040539B" w:rsidRPr="00C72F7D" w:rsidRDefault="0040539B" w:rsidP="0040539B">
            <w:pPr>
              <w:pStyle w:val="af0"/>
              <w:ind w:leftChars="-54" w:left="-130"/>
              <w:rPr>
                <w:lang w:eastAsia="zh-CN"/>
              </w:rPr>
            </w:pPr>
            <w:bookmarkStart w:id="57" w:name="_Toc65772372"/>
            <w:r>
              <w:rPr>
                <w:rFonts w:hint="eastAsia"/>
                <w:lang w:eastAsia="zh-CN"/>
              </w:rPr>
              <w:t>图</w:t>
            </w:r>
            <w:r>
              <w:rPr>
                <w:lang w:eastAsia="zh-CN"/>
              </w:rPr>
              <w:t xml:space="preserve"> </w:t>
            </w:r>
            <w:r>
              <w:rPr>
                <w:lang w:eastAsia="zh-CN"/>
              </w:rPr>
              <w:fldChar w:fldCharType="begin"/>
            </w:r>
            <w:r w:rsidRPr="005F15F9">
              <w:rPr>
                <w:lang w:eastAsia="zh-CN"/>
              </w:rPr>
              <w:instrText xml:space="preserve"> SEQ </w:instrText>
            </w:r>
            <w:r w:rsidRPr="005F15F9">
              <w:rPr>
                <w:lang w:eastAsia="zh-CN"/>
              </w:rPr>
              <w:instrText>图</w:instrText>
            </w:r>
            <w:r w:rsidRPr="005F15F9">
              <w:rPr>
                <w:lang w:eastAsia="zh-CN"/>
              </w:rPr>
              <w:instrText xml:space="preserve"> \* ARABIC </w:instrText>
            </w:r>
            <w:r>
              <w:rPr>
                <w:lang w:eastAsia="zh-CN"/>
              </w:rPr>
              <w:fldChar w:fldCharType="separate"/>
            </w:r>
            <w:r w:rsidR="0010512F">
              <w:rPr>
                <w:noProof/>
                <w:lang w:eastAsia="zh-CN"/>
              </w:rPr>
              <w:t>20</w:t>
            </w:r>
            <w:r>
              <w:rPr>
                <w:lang w:eastAsia="zh-CN"/>
              </w:rPr>
              <w:fldChar w:fldCharType="end"/>
            </w:r>
            <w:r>
              <w:rPr>
                <w:rFonts w:hint="eastAsia"/>
                <w:lang w:eastAsia="zh-CN"/>
              </w:rPr>
              <w:t>：</w:t>
            </w:r>
            <w:r w:rsidR="005F15F9">
              <w:rPr>
                <w:rFonts w:hint="eastAsia"/>
                <w:lang w:eastAsia="zh-CN"/>
              </w:rPr>
              <w:t>半导体行业主题</w:t>
            </w:r>
            <w:r w:rsidR="005F15F9" w:rsidRPr="0040539B">
              <w:rPr>
                <w:rFonts w:hint="eastAsia"/>
                <w:lang w:eastAsia="zh-CN"/>
              </w:rPr>
              <w:t>基金所选</w:t>
            </w:r>
            <w:r w:rsidR="005F15F9">
              <w:rPr>
                <w:rFonts w:hint="eastAsia"/>
                <w:lang w:eastAsia="zh-CN"/>
              </w:rPr>
              <w:t>第二</w:t>
            </w:r>
            <w:r w:rsidR="005F15F9" w:rsidRPr="0040539B">
              <w:rPr>
                <w:rFonts w:hint="eastAsia"/>
                <w:lang w:eastAsia="zh-CN"/>
              </w:rPr>
              <w:t>基准对应的基金数目</w:t>
            </w:r>
            <w:bookmarkEnd w:id="57"/>
          </w:p>
        </w:tc>
      </w:tr>
      <w:tr w:rsidR="0040539B" w:rsidRPr="009B1FB9" w14:paraId="59659519" w14:textId="77777777" w:rsidTr="005F15F9">
        <w:tc>
          <w:tcPr>
            <w:tcW w:w="5074" w:type="dxa"/>
            <w:tcBorders>
              <w:top w:val="single" w:sz="4" w:space="0" w:color="auto"/>
              <w:left w:val="nil"/>
              <w:bottom w:val="nil"/>
              <w:right w:val="nil"/>
            </w:tcBorders>
            <w:hideMark/>
          </w:tcPr>
          <w:p w14:paraId="5E1B06AE" w14:textId="363B6840" w:rsidR="0040539B" w:rsidRPr="0040539B" w:rsidRDefault="005038B6" w:rsidP="0040539B">
            <w:pPr>
              <w:pStyle w:val="aff2"/>
              <w:ind w:leftChars="-54" w:left="-130"/>
            </w:pPr>
            <w:r>
              <w:rPr>
                <w:noProof/>
              </w:rPr>
              <w:drawing>
                <wp:inline distT="0" distB="0" distL="0" distR="0" wp14:anchorId="201B22B0" wp14:editId="07C50FC5">
                  <wp:extent cx="3084830" cy="1851025"/>
                  <wp:effectExtent l="0" t="0" r="1270" b="0"/>
                  <wp:docPr id="83" name="图表 83">
                    <a:extLst xmlns:a="http://schemas.openxmlformats.org/drawingml/2006/main">
                      <a:ext uri="{FF2B5EF4-FFF2-40B4-BE49-F238E27FC236}">
                        <a16:creationId xmlns:a16="http://schemas.microsoft.com/office/drawing/2014/main" id="{D95D4FF6-6011-434C-9FA6-B47EBEF6C6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9"/>
                    </a:graphicData>
                  </a:graphic>
                </wp:inline>
              </w:drawing>
            </w:r>
          </w:p>
        </w:tc>
        <w:tc>
          <w:tcPr>
            <w:tcW w:w="283" w:type="dxa"/>
            <w:tcBorders>
              <w:top w:val="single" w:sz="4" w:space="0" w:color="auto"/>
            </w:tcBorders>
          </w:tcPr>
          <w:p w14:paraId="4DDC2085" w14:textId="77777777" w:rsidR="0040539B" w:rsidRPr="0040539B" w:rsidRDefault="0040539B" w:rsidP="0040539B">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10D869F5" w14:textId="63A8FBC5" w:rsidR="0040539B" w:rsidRPr="0040539B" w:rsidRDefault="005F15F9" w:rsidP="0040539B">
            <w:pPr>
              <w:pStyle w:val="aff2"/>
              <w:ind w:leftChars="-41" w:left="-98"/>
            </w:pPr>
            <w:r>
              <w:rPr>
                <w:noProof/>
              </w:rPr>
              <w:drawing>
                <wp:inline distT="0" distB="0" distL="0" distR="0" wp14:anchorId="64CFADCC" wp14:editId="1B7A50C5">
                  <wp:extent cx="3084830" cy="1851025"/>
                  <wp:effectExtent l="0" t="0" r="1270" b="0"/>
                  <wp:docPr id="86" name="图表 86">
                    <a:extLst xmlns:a="http://schemas.openxmlformats.org/drawingml/2006/main">
                      <a:ext uri="{FF2B5EF4-FFF2-40B4-BE49-F238E27FC236}">
                        <a16:creationId xmlns:a16="http://schemas.microsoft.com/office/drawing/2014/main" id="{EBC01055-FF64-48B1-8598-17B09D96B7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0"/>
                    </a:graphicData>
                  </a:graphic>
                </wp:inline>
              </w:drawing>
            </w:r>
          </w:p>
        </w:tc>
      </w:tr>
      <w:tr w:rsidR="0040539B" w:rsidRPr="00C66411" w14:paraId="1EF807CB" w14:textId="77777777" w:rsidTr="0040539B">
        <w:tc>
          <w:tcPr>
            <w:tcW w:w="5074" w:type="dxa"/>
            <w:tcBorders>
              <w:top w:val="single" w:sz="4" w:space="0" w:color="auto"/>
              <w:left w:val="nil"/>
              <w:bottom w:val="nil"/>
              <w:right w:val="nil"/>
            </w:tcBorders>
            <w:hideMark/>
          </w:tcPr>
          <w:p w14:paraId="2915C9A8" w14:textId="77777777" w:rsidR="0040539B" w:rsidRPr="00C66411" w:rsidRDefault="0040539B" w:rsidP="0040539B">
            <w:pPr>
              <w:pStyle w:val="aff2"/>
              <w:ind w:leftChars="-54" w:left="-130"/>
            </w:pPr>
            <w:r w:rsidRPr="00C66411">
              <w:t>数据来源：</w:t>
            </w:r>
            <w:r>
              <w:rPr>
                <w:rFonts w:hint="eastAsia"/>
              </w:rPr>
              <w:t>Wind</w:t>
            </w:r>
            <w:r w:rsidRPr="00C66411">
              <w:rPr>
                <w:rFonts w:hint="eastAsia"/>
              </w:rPr>
              <w:t>，</w:t>
            </w:r>
            <w:r w:rsidRPr="00C66411">
              <w:t>广发证券发展研究中心</w:t>
            </w:r>
          </w:p>
        </w:tc>
        <w:tc>
          <w:tcPr>
            <w:tcW w:w="283" w:type="dxa"/>
          </w:tcPr>
          <w:p w14:paraId="43E6093F" w14:textId="77777777" w:rsidR="0040539B" w:rsidRPr="00490D55" w:rsidRDefault="0040539B" w:rsidP="0040539B">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6AFDA035" w14:textId="77777777" w:rsidR="0040539B" w:rsidRPr="00C66411" w:rsidRDefault="0040539B" w:rsidP="0040539B">
            <w:pPr>
              <w:pStyle w:val="aff2"/>
              <w:ind w:leftChars="-41" w:left="-98"/>
            </w:pPr>
            <w:r w:rsidRPr="00C66411">
              <w:t>数据来源：</w:t>
            </w:r>
            <w:r>
              <w:t>W</w:t>
            </w:r>
            <w:r>
              <w:rPr>
                <w:rFonts w:hint="eastAsia"/>
              </w:rPr>
              <w:t>ind</w:t>
            </w:r>
            <w:r w:rsidRPr="00C66411">
              <w:rPr>
                <w:rFonts w:hint="eastAsia"/>
              </w:rPr>
              <w:t>，</w:t>
            </w:r>
            <w:r w:rsidRPr="00C66411">
              <w:t>广发证券发展研究中心</w:t>
            </w:r>
          </w:p>
        </w:tc>
      </w:tr>
    </w:tbl>
    <w:p w14:paraId="656C7E6E" w14:textId="77777777" w:rsidR="0040539B" w:rsidRPr="0040539B" w:rsidRDefault="0040539B"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tbl>
      <w:tblPr>
        <w:tblW w:w="10431" w:type="dxa"/>
        <w:tblInd w:w="130" w:type="dxa"/>
        <w:tblLayout w:type="fixed"/>
        <w:tblLook w:val="04A0" w:firstRow="1" w:lastRow="0" w:firstColumn="1" w:lastColumn="0" w:noHBand="0" w:noVBand="1"/>
      </w:tblPr>
      <w:tblGrid>
        <w:gridCol w:w="5074"/>
        <w:gridCol w:w="283"/>
        <w:gridCol w:w="5074"/>
      </w:tblGrid>
      <w:tr w:rsidR="005F15F9" w:rsidRPr="00C72F7D" w14:paraId="64B406AC" w14:textId="77777777" w:rsidTr="00D01B9E">
        <w:tc>
          <w:tcPr>
            <w:tcW w:w="5074" w:type="dxa"/>
            <w:tcBorders>
              <w:left w:val="nil"/>
              <w:bottom w:val="single" w:sz="4" w:space="0" w:color="auto"/>
              <w:right w:val="nil"/>
            </w:tcBorders>
            <w:hideMark/>
          </w:tcPr>
          <w:p w14:paraId="406FE311" w14:textId="09ED4455" w:rsidR="005F15F9" w:rsidRPr="00C72F7D" w:rsidRDefault="005F15F9" w:rsidP="00D01B9E">
            <w:pPr>
              <w:pStyle w:val="af0"/>
              <w:ind w:leftChars="-54" w:left="-130"/>
              <w:rPr>
                <w:lang w:eastAsia="zh-CN"/>
              </w:rPr>
            </w:pPr>
            <w:bookmarkStart w:id="58" w:name="_Toc65772373"/>
            <w:r>
              <w:rPr>
                <w:rFonts w:hint="eastAsia"/>
                <w:lang w:eastAsia="zh-CN"/>
              </w:rPr>
              <w:t>图</w:t>
            </w:r>
            <w:r>
              <w:rPr>
                <w:lang w:eastAsia="zh-CN"/>
              </w:rPr>
              <w:t xml:space="preserve"> </w:t>
            </w:r>
            <w:r>
              <w:rPr>
                <w:lang w:eastAsia="zh-CN"/>
              </w:rPr>
              <w:fldChar w:fldCharType="begin"/>
            </w:r>
            <w:r w:rsidRPr="005F15F9">
              <w:rPr>
                <w:lang w:eastAsia="zh-CN"/>
              </w:rPr>
              <w:instrText xml:space="preserve"> SEQ </w:instrText>
            </w:r>
            <w:r w:rsidRPr="005F15F9">
              <w:rPr>
                <w:lang w:eastAsia="zh-CN"/>
              </w:rPr>
              <w:instrText>图</w:instrText>
            </w:r>
            <w:r w:rsidRPr="005F15F9">
              <w:rPr>
                <w:lang w:eastAsia="zh-CN"/>
              </w:rPr>
              <w:instrText xml:space="preserve"> \* ARABIC </w:instrText>
            </w:r>
            <w:r>
              <w:rPr>
                <w:lang w:eastAsia="zh-CN"/>
              </w:rPr>
              <w:fldChar w:fldCharType="separate"/>
            </w:r>
            <w:r w:rsidR="0010512F">
              <w:rPr>
                <w:noProof/>
                <w:lang w:eastAsia="zh-CN"/>
              </w:rPr>
              <w:t>21</w:t>
            </w:r>
            <w:r>
              <w:rPr>
                <w:lang w:eastAsia="zh-CN"/>
              </w:rPr>
              <w:fldChar w:fldCharType="end"/>
            </w:r>
            <w:r>
              <w:rPr>
                <w:rFonts w:hint="eastAsia"/>
                <w:lang w:eastAsia="zh-CN"/>
              </w:rPr>
              <w:t>：生物科技行业主题</w:t>
            </w:r>
            <w:r w:rsidRPr="0040539B">
              <w:rPr>
                <w:rFonts w:hint="eastAsia"/>
                <w:lang w:eastAsia="zh-CN"/>
              </w:rPr>
              <w:t>基金所选</w:t>
            </w:r>
            <w:r>
              <w:rPr>
                <w:rFonts w:hint="eastAsia"/>
                <w:lang w:eastAsia="zh-CN"/>
              </w:rPr>
              <w:t>第一</w:t>
            </w:r>
            <w:r w:rsidRPr="0040539B">
              <w:rPr>
                <w:rFonts w:hint="eastAsia"/>
                <w:lang w:eastAsia="zh-CN"/>
              </w:rPr>
              <w:t>基准对应的基金数目</w:t>
            </w:r>
            <w:bookmarkEnd w:id="58"/>
          </w:p>
        </w:tc>
        <w:tc>
          <w:tcPr>
            <w:tcW w:w="283" w:type="dxa"/>
            <w:tcBorders>
              <w:bottom w:val="single" w:sz="4" w:space="0" w:color="auto"/>
            </w:tcBorders>
          </w:tcPr>
          <w:p w14:paraId="1F66E15D" w14:textId="77777777" w:rsidR="005F15F9" w:rsidRPr="0040539B" w:rsidRDefault="005F15F9" w:rsidP="00D01B9E">
            <w:pPr>
              <w:pStyle w:val="af0"/>
              <w:ind w:leftChars="-54" w:left="-130"/>
              <w:rPr>
                <w:lang w:eastAsia="zh-CN"/>
              </w:rPr>
            </w:pPr>
          </w:p>
        </w:tc>
        <w:tc>
          <w:tcPr>
            <w:tcW w:w="5074" w:type="dxa"/>
            <w:tcBorders>
              <w:left w:val="nil"/>
              <w:bottom w:val="single" w:sz="4" w:space="0" w:color="auto"/>
              <w:right w:val="nil"/>
            </w:tcBorders>
            <w:hideMark/>
          </w:tcPr>
          <w:p w14:paraId="48E06CA0" w14:textId="216EBF8A" w:rsidR="005F15F9" w:rsidRPr="00C72F7D" w:rsidRDefault="005F15F9" w:rsidP="00D01B9E">
            <w:pPr>
              <w:pStyle w:val="af0"/>
              <w:ind w:leftChars="-54" w:left="-130"/>
              <w:rPr>
                <w:lang w:eastAsia="zh-CN"/>
              </w:rPr>
            </w:pPr>
            <w:bookmarkStart w:id="59" w:name="_Toc65772374"/>
            <w:r>
              <w:rPr>
                <w:rFonts w:hint="eastAsia"/>
                <w:lang w:eastAsia="zh-CN"/>
              </w:rPr>
              <w:t>图</w:t>
            </w:r>
            <w:r>
              <w:rPr>
                <w:lang w:eastAsia="zh-CN"/>
              </w:rPr>
              <w:t xml:space="preserve"> </w:t>
            </w:r>
            <w:r>
              <w:rPr>
                <w:lang w:eastAsia="zh-CN"/>
              </w:rPr>
              <w:fldChar w:fldCharType="begin"/>
            </w:r>
            <w:r>
              <w:rPr>
                <w:lang w:eastAsia="zh-CN"/>
              </w:rPr>
              <w:instrText xml:space="preserve"> SEQ </w:instrText>
            </w:r>
            <w:r>
              <w:rPr>
                <w:lang w:eastAsia="zh-CN"/>
              </w:rPr>
              <w:instrText>图</w:instrText>
            </w:r>
            <w:r>
              <w:rPr>
                <w:lang w:eastAsia="zh-CN"/>
              </w:rPr>
              <w:instrText xml:space="preserve"> \* ARABIC </w:instrText>
            </w:r>
            <w:r>
              <w:rPr>
                <w:lang w:eastAsia="zh-CN"/>
              </w:rPr>
              <w:fldChar w:fldCharType="separate"/>
            </w:r>
            <w:r w:rsidR="0010512F">
              <w:rPr>
                <w:noProof/>
                <w:lang w:eastAsia="zh-CN"/>
              </w:rPr>
              <w:t>22</w:t>
            </w:r>
            <w:r>
              <w:rPr>
                <w:lang w:eastAsia="zh-CN"/>
              </w:rPr>
              <w:fldChar w:fldCharType="end"/>
            </w:r>
            <w:r>
              <w:rPr>
                <w:rFonts w:hint="eastAsia"/>
                <w:lang w:eastAsia="zh-CN"/>
              </w:rPr>
              <w:t>：电工电网行业主题</w:t>
            </w:r>
            <w:r w:rsidRPr="0040539B">
              <w:rPr>
                <w:rFonts w:hint="eastAsia"/>
                <w:lang w:eastAsia="zh-CN"/>
              </w:rPr>
              <w:t>基金所选</w:t>
            </w:r>
            <w:r>
              <w:rPr>
                <w:rFonts w:hint="eastAsia"/>
                <w:lang w:eastAsia="zh-CN"/>
              </w:rPr>
              <w:t>第二</w:t>
            </w:r>
            <w:r w:rsidRPr="0040539B">
              <w:rPr>
                <w:rFonts w:hint="eastAsia"/>
                <w:lang w:eastAsia="zh-CN"/>
              </w:rPr>
              <w:t>基准对应的基金数目</w:t>
            </w:r>
            <w:bookmarkEnd w:id="59"/>
          </w:p>
        </w:tc>
      </w:tr>
      <w:tr w:rsidR="005F15F9" w:rsidRPr="009B1FB9" w14:paraId="36396698" w14:textId="77777777" w:rsidTr="005F15F9">
        <w:tc>
          <w:tcPr>
            <w:tcW w:w="5074" w:type="dxa"/>
            <w:tcBorders>
              <w:top w:val="single" w:sz="4" w:space="0" w:color="auto"/>
              <w:left w:val="nil"/>
              <w:bottom w:val="single" w:sz="4" w:space="0" w:color="auto"/>
              <w:right w:val="nil"/>
            </w:tcBorders>
            <w:hideMark/>
          </w:tcPr>
          <w:p w14:paraId="6970D870" w14:textId="58CEE865" w:rsidR="005F15F9" w:rsidRPr="0040539B" w:rsidRDefault="005F15F9" w:rsidP="00D01B9E">
            <w:pPr>
              <w:pStyle w:val="aff2"/>
              <w:ind w:leftChars="-54" w:left="-130"/>
            </w:pPr>
            <w:r>
              <w:rPr>
                <w:noProof/>
              </w:rPr>
              <w:drawing>
                <wp:inline distT="0" distB="0" distL="0" distR="0" wp14:anchorId="14B64116" wp14:editId="78C4F1B6">
                  <wp:extent cx="3084830" cy="1851025"/>
                  <wp:effectExtent l="0" t="0" r="1270" b="0"/>
                  <wp:docPr id="100" name="图表 100">
                    <a:extLst xmlns:a="http://schemas.openxmlformats.org/drawingml/2006/main">
                      <a:ext uri="{FF2B5EF4-FFF2-40B4-BE49-F238E27FC236}">
                        <a16:creationId xmlns:a16="http://schemas.microsoft.com/office/drawing/2014/main" id="{84388D9C-75FE-4B7B-AA43-4EF520B6C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1"/>
                    </a:graphicData>
                  </a:graphic>
                </wp:inline>
              </w:drawing>
            </w:r>
          </w:p>
        </w:tc>
        <w:tc>
          <w:tcPr>
            <w:tcW w:w="283" w:type="dxa"/>
            <w:tcBorders>
              <w:top w:val="single" w:sz="4" w:space="0" w:color="auto"/>
              <w:bottom w:val="single" w:sz="4" w:space="0" w:color="auto"/>
            </w:tcBorders>
          </w:tcPr>
          <w:p w14:paraId="292C265E" w14:textId="77777777" w:rsidR="005F15F9" w:rsidRPr="0040539B" w:rsidRDefault="005F15F9" w:rsidP="00D01B9E">
            <w:pPr>
              <w:pStyle w:val="ae"/>
              <w:spacing w:after="0"/>
              <w:ind w:leftChars="0" w:left="0"/>
              <w:rPr>
                <w:color w:val="0F243E"/>
                <w:sz w:val="18"/>
                <w:lang w:eastAsia="zh-CN"/>
              </w:rPr>
            </w:pPr>
          </w:p>
        </w:tc>
        <w:tc>
          <w:tcPr>
            <w:tcW w:w="5074" w:type="dxa"/>
            <w:tcBorders>
              <w:top w:val="single" w:sz="4" w:space="0" w:color="auto"/>
              <w:left w:val="nil"/>
              <w:bottom w:val="single" w:sz="4" w:space="0" w:color="auto"/>
              <w:right w:val="nil"/>
            </w:tcBorders>
            <w:hideMark/>
          </w:tcPr>
          <w:p w14:paraId="1DC8AA49" w14:textId="13991E5E" w:rsidR="005F15F9" w:rsidRPr="0040539B" w:rsidRDefault="005F15F9" w:rsidP="00D01B9E">
            <w:pPr>
              <w:pStyle w:val="aff2"/>
              <w:ind w:leftChars="-41" w:left="-98"/>
            </w:pPr>
            <w:r>
              <w:rPr>
                <w:noProof/>
              </w:rPr>
              <w:drawing>
                <wp:inline distT="0" distB="0" distL="0" distR="0" wp14:anchorId="742EBB63" wp14:editId="32F1621A">
                  <wp:extent cx="3084830" cy="1851025"/>
                  <wp:effectExtent l="0" t="0" r="1270" b="0"/>
                  <wp:docPr id="101" name="图表 101">
                    <a:extLst xmlns:a="http://schemas.openxmlformats.org/drawingml/2006/main">
                      <a:ext uri="{FF2B5EF4-FFF2-40B4-BE49-F238E27FC236}">
                        <a16:creationId xmlns:a16="http://schemas.microsoft.com/office/drawing/2014/main" id="{65BD5548-B945-4432-8A06-7286A017D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2"/>
                    </a:graphicData>
                  </a:graphic>
                </wp:inline>
              </w:drawing>
            </w:r>
          </w:p>
        </w:tc>
      </w:tr>
    </w:tbl>
    <w:p w14:paraId="5321B846" w14:textId="77777777" w:rsidR="005F15F9" w:rsidRDefault="005F15F9" w:rsidP="005F15F9"/>
    <w:tbl>
      <w:tblPr>
        <w:tblW w:w="10431" w:type="dxa"/>
        <w:tblInd w:w="130" w:type="dxa"/>
        <w:tblLayout w:type="fixed"/>
        <w:tblLook w:val="04A0" w:firstRow="1" w:lastRow="0" w:firstColumn="1" w:lastColumn="0" w:noHBand="0" w:noVBand="1"/>
      </w:tblPr>
      <w:tblGrid>
        <w:gridCol w:w="5074"/>
        <w:gridCol w:w="283"/>
        <w:gridCol w:w="5074"/>
      </w:tblGrid>
      <w:tr w:rsidR="005F15F9" w:rsidRPr="00C72F7D" w14:paraId="0CEABD55" w14:textId="77777777" w:rsidTr="00D01B9E">
        <w:tc>
          <w:tcPr>
            <w:tcW w:w="5074" w:type="dxa"/>
            <w:tcBorders>
              <w:left w:val="nil"/>
              <w:bottom w:val="single" w:sz="4" w:space="0" w:color="auto"/>
              <w:right w:val="nil"/>
            </w:tcBorders>
            <w:hideMark/>
          </w:tcPr>
          <w:p w14:paraId="4FA73437" w14:textId="6CA0A271" w:rsidR="005F15F9" w:rsidRPr="00C72F7D" w:rsidRDefault="005F15F9" w:rsidP="00D01B9E">
            <w:pPr>
              <w:pStyle w:val="af0"/>
              <w:ind w:leftChars="-54" w:left="-130"/>
              <w:rPr>
                <w:lang w:eastAsia="zh-CN"/>
              </w:rPr>
            </w:pPr>
            <w:bookmarkStart w:id="60" w:name="_Toc65772375"/>
            <w:r>
              <w:rPr>
                <w:rFonts w:hint="eastAsia"/>
                <w:lang w:eastAsia="zh-CN"/>
              </w:rPr>
              <w:t>图</w:t>
            </w:r>
            <w:r>
              <w:rPr>
                <w:lang w:eastAsia="zh-CN"/>
              </w:rPr>
              <w:t xml:space="preserve"> </w:t>
            </w:r>
            <w:r>
              <w:rPr>
                <w:lang w:eastAsia="zh-CN"/>
              </w:rPr>
              <w:fldChar w:fldCharType="begin"/>
            </w:r>
            <w:r w:rsidRPr="005038B6">
              <w:rPr>
                <w:lang w:eastAsia="zh-CN"/>
              </w:rPr>
              <w:instrText xml:space="preserve"> SEQ </w:instrText>
            </w:r>
            <w:r w:rsidRPr="005038B6">
              <w:rPr>
                <w:lang w:eastAsia="zh-CN"/>
              </w:rPr>
              <w:instrText>图</w:instrText>
            </w:r>
            <w:r w:rsidRPr="005038B6">
              <w:rPr>
                <w:lang w:eastAsia="zh-CN"/>
              </w:rPr>
              <w:instrText xml:space="preserve"> \* ARABIC </w:instrText>
            </w:r>
            <w:r>
              <w:rPr>
                <w:lang w:eastAsia="zh-CN"/>
              </w:rPr>
              <w:fldChar w:fldCharType="separate"/>
            </w:r>
            <w:r w:rsidR="0010512F">
              <w:rPr>
                <w:noProof/>
                <w:lang w:eastAsia="zh-CN"/>
              </w:rPr>
              <w:t>23</w:t>
            </w:r>
            <w:r>
              <w:rPr>
                <w:lang w:eastAsia="zh-CN"/>
              </w:rPr>
              <w:fldChar w:fldCharType="end"/>
            </w:r>
            <w:r>
              <w:rPr>
                <w:rFonts w:hint="eastAsia"/>
                <w:lang w:eastAsia="zh-CN"/>
              </w:rPr>
              <w:t>：银行行业主题</w:t>
            </w:r>
            <w:r w:rsidRPr="0040539B">
              <w:rPr>
                <w:rFonts w:hint="eastAsia"/>
                <w:lang w:eastAsia="zh-CN"/>
              </w:rPr>
              <w:t>基金所选</w:t>
            </w:r>
            <w:r>
              <w:rPr>
                <w:rFonts w:hint="eastAsia"/>
                <w:lang w:eastAsia="zh-CN"/>
              </w:rPr>
              <w:t>第一</w:t>
            </w:r>
            <w:r w:rsidRPr="0040539B">
              <w:rPr>
                <w:rFonts w:hint="eastAsia"/>
                <w:lang w:eastAsia="zh-CN"/>
              </w:rPr>
              <w:t>基准对应的基金数目</w:t>
            </w:r>
            <w:bookmarkEnd w:id="60"/>
          </w:p>
        </w:tc>
        <w:tc>
          <w:tcPr>
            <w:tcW w:w="283" w:type="dxa"/>
            <w:tcBorders>
              <w:bottom w:val="single" w:sz="4" w:space="0" w:color="auto"/>
            </w:tcBorders>
          </w:tcPr>
          <w:p w14:paraId="5C8AF334" w14:textId="77777777" w:rsidR="005F15F9" w:rsidRPr="0040539B" w:rsidRDefault="005F15F9" w:rsidP="00D01B9E">
            <w:pPr>
              <w:pStyle w:val="af0"/>
              <w:ind w:leftChars="-54" w:left="-130"/>
              <w:rPr>
                <w:lang w:eastAsia="zh-CN"/>
              </w:rPr>
            </w:pPr>
          </w:p>
        </w:tc>
        <w:tc>
          <w:tcPr>
            <w:tcW w:w="5074" w:type="dxa"/>
            <w:tcBorders>
              <w:left w:val="nil"/>
              <w:bottom w:val="single" w:sz="4" w:space="0" w:color="auto"/>
              <w:right w:val="nil"/>
            </w:tcBorders>
            <w:hideMark/>
          </w:tcPr>
          <w:p w14:paraId="59A0E7D5" w14:textId="1B179910" w:rsidR="005F15F9" w:rsidRPr="00C72F7D" w:rsidRDefault="005F15F9" w:rsidP="00D01B9E">
            <w:pPr>
              <w:pStyle w:val="af0"/>
              <w:ind w:leftChars="-54" w:left="-130"/>
              <w:rPr>
                <w:lang w:eastAsia="zh-CN"/>
              </w:rPr>
            </w:pPr>
            <w:bookmarkStart w:id="61" w:name="_Toc65772376"/>
            <w:r>
              <w:rPr>
                <w:rFonts w:hint="eastAsia"/>
                <w:lang w:eastAsia="zh-CN"/>
              </w:rPr>
              <w:t>图</w:t>
            </w:r>
            <w:r>
              <w:rPr>
                <w:lang w:eastAsia="zh-CN"/>
              </w:rPr>
              <w:t xml:space="preserve"> </w:t>
            </w:r>
            <w:r>
              <w:rPr>
                <w:lang w:eastAsia="zh-CN"/>
              </w:rPr>
              <w:fldChar w:fldCharType="begin"/>
            </w:r>
            <w:r w:rsidRPr="005F15F9">
              <w:rPr>
                <w:lang w:eastAsia="zh-CN"/>
              </w:rPr>
              <w:instrText xml:space="preserve"> SEQ </w:instrText>
            </w:r>
            <w:r w:rsidRPr="005F15F9">
              <w:rPr>
                <w:lang w:eastAsia="zh-CN"/>
              </w:rPr>
              <w:instrText>图</w:instrText>
            </w:r>
            <w:r w:rsidRPr="005F15F9">
              <w:rPr>
                <w:lang w:eastAsia="zh-CN"/>
              </w:rPr>
              <w:instrText xml:space="preserve"> \* ARABIC </w:instrText>
            </w:r>
            <w:r>
              <w:rPr>
                <w:lang w:eastAsia="zh-CN"/>
              </w:rPr>
              <w:fldChar w:fldCharType="separate"/>
            </w:r>
            <w:r w:rsidR="0010512F">
              <w:rPr>
                <w:noProof/>
                <w:lang w:eastAsia="zh-CN"/>
              </w:rPr>
              <w:t>24</w:t>
            </w:r>
            <w:r>
              <w:rPr>
                <w:lang w:eastAsia="zh-CN"/>
              </w:rPr>
              <w:fldChar w:fldCharType="end"/>
            </w:r>
            <w:r>
              <w:rPr>
                <w:rFonts w:hint="eastAsia"/>
                <w:lang w:eastAsia="zh-CN"/>
              </w:rPr>
              <w:t>：银行行业主题</w:t>
            </w:r>
            <w:r w:rsidRPr="0040539B">
              <w:rPr>
                <w:rFonts w:hint="eastAsia"/>
                <w:lang w:eastAsia="zh-CN"/>
              </w:rPr>
              <w:t>基金所选</w:t>
            </w:r>
            <w:r>
              <w:rPr>
                <w:rFonts w:hint="eastAsia"/>
                <w:lang w:eastAsia="zh-CN"/>
              </w:rPr>
              <w:t>第二</w:t>
            </w:r>
            <w:r w:rsidRPr="0040539B">
              <w:rPr>
                <w:rFonts w:hint="eastAsia"/>
                <w:lang w:eastAsia="zh-CN"/>
              </w:rPr>
              <w:t>基准对应的基金数目</w:t>
            </w:r>
            <w:bookmarkEnd w:id="61"/>
          </w:p>
        </w:tc>
      </w:tr>
      <w:tr w:rsidR="005F15F9" w:rsidRPr="009B1FB9" w14:paraId="03C7EDFF" w14:textId="77777777" w:rsidTr="005F15F9">
        <w:tc>
          <w:tcPr>
            <w:tcW w:w="5074" w:type="dxa"/>
            <w:tcBorders>
              <w:top w:val="single" w:sz="4" w:space="0" w:color="auto"/>
              <w:left w:val="nil"/>
              <w:bottom w:val="nil"/>
              <w:right w:val="nil"/>
            </w:tcBorders>
            <w:hideMark/>
          </w:tcPr>
          <w:p w14:paraId="246E2F63" w14:textId="52A4211E" w:rsidR="005F15F9" w:rsidRPr="0040539B" w:rsidRDefault="005F15F9" w:rsidP="00D01B9E">
            <w:pPr>
              <w:pStyle w:val="aff2"/>
              <w:ind w:leftChars="-54" w:left="-130"/>
            </w:pPr>
            <w:r>
              <w:rPr>
                <w:noProof/>
              </w:rPr>
              <w:drawing>
                <wp:inline distT="0" distB="0" distL="0" distR="0" wp14:anchorId="7D976AB7" wp14:editId="59A26725">
                  <wp:extent cx="3084830" cy="1851025"/>
                  <wp:effectExtent l="0" t="0" r="1270" b="0"/>
                  <wp:docPr id="102" name="图表 102">
                    <a:extLst xmlns:a="http://schemas.openxmlformats.org/drawingml/2006/main">
                      <a:ext uri="{FF2B5EF4-FFF2-40B4-BE49-F238E27FC236}">
                        <a16:creationId xmlns:a16="http://schemas.microsoft.com/office/drawing/2014/main" id="{FC86EA96-C03F-4A33-BB8D-BD0418A9FB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3"/>
                    </a:graphicData>
                  </a:graphic>
                </wp:inline>
              </w:drawing>
            </w:r>
          </w:p>
        </w:tc>
        <w:tc>
          <w:tcPr>
            <w:tcW w:w="283" w:type="dxa"/>
            <w:tcBorders>
              <w:top w:val="single" w:sz="4" w:space="0" w:color="auto"/>
            </w:tcBorders>
          </w:tcPr>
          <w:p w14:paraId="321CA3B6" w14:textId="77777777" w:rsidR="005F15F9" w:rsidRPr="0040539B" w:rsidRDefault="005F15F9" w:rsidP="00D01B9E">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0FC1402E" w14:textId="58BFD81C" w:rsidR="005F15F9" w:rsidRPr="0040539B" w:rsidRDefault="005F15F9" w:rsidP="00D01B9E">
            <w:pPr>
              <w:pStyle w:val="aff2"/>
              <w:ind w:leftChars="-41" w:left="-98"/>
            </w:pPr>
            <w:r>
              <w:rPr>
                <w:noProof/>
              </w:rPr>
              <w:drawing>
                <wp:inline distT="0" distB="0" distL="0" distR="0" wp14:anchorId="52D29F22" wp14:editId="2A0AE616">
                  <wp:extent cx="3084830" cy="1851025"/>
                  <wp:effectExtent l="0" t="0" r="1270" b="0"/>
                  <wp:docPr id="103" name="图表 103">
                    <a:extLst xmlns:a="http://schemas.openxmlformats.org/drawingml/2006/main">
                      <a:ext uri="{FF2B5EF4-FFF2-40B4-BE49-F238E27FC236}">
                        <a16:creationId xmlns:a16="http://schemas.microsoft.com/office/drawing/2014/main" id="{172B9DDE-E57A-4656-B7AB-E37031066A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4"/>
                    </a:graphicData>
                  </a:graphic>
                </wp:inline>
              </w:drawing>
            </w:r>
          </w:p>
        </w:tc>
      </w:tr>
      <w:tr w:rsidR="005F15F9" w:rsidRPr="00C66411" w14:paraId="454BEE57" w14:textId="77777777" w:rsidTr="00D01B9E">
        <w:tc>
          <w:tcPr>
            <w:tcW w:w="5074" w:type="dxa"/>
            <w:tcBorders>
              <w:top w:val="single" w:sz="4" w:space="0" w:color="auto"/>
              <w:left w:val="nil"/>
              <w:bottom w:val="nil"/>
              <w:right w:val="nil"/>
            </w:tcBorders>
            <w:hideMark/>
          </w:tcPr>
          <w:p w14:paraId="2801F57A" w14:textId="77777777" w:rsidR="005F15F9" w:rsidRPr="00C66411" w:rsidRDefault="005F15F9" w:rsidP="00D01B9E">
            <w:pPr>
              <w:pStyle w:val="aff2"/>
              <w:ind w:leftChars="-54" w:left="-130"/>
            </w:pPr>
            <w:r w:rsidRPr="00C66411">
              <w:t>数据来源：</w:t>
            </w:r>
            <w:r>
              <w:rPr>
                <w:rFonts w:hint="eastAsia"/>
              </w:rPr>
              <w:t>Wind</w:t>
            </w:r>
            <w:r w:rsidRPr="00C66411">
              <w:rPr>
                <w:rFonts w:hint="eastAsia"/>
              </w:rPr>
              <w:t>，</w:t>
            </w:r>
            <w:r w:rsidRPr="00C66411">
              <w:t>广发证券发展研究中心</w:t>
            </w:r>
          </w:p>
        </w:tc>
        <w:tc>
          <w:tcPr>
            <w:tcW w:w="283" w:type="dxa"/>
          </w:tcPr>
          <w:p w14:paraId="6E3318BE" w14:textId="77777777" w:rsidR="005F15F9" w:rsidRPr="00490D55" w:rsidRDefault="005F15F9" w:rsidP="00D01B9E">
            <w:pPr>
              <w:pStyle w:val="ae"/>
              <w:spacing w:after="0"/>
              <w:ind w:leftChars="0" w:left="0"/>
              <w:rPr>
                <w:color w:val="0F243E"/>
                <w:sz w:val="18"/>
                <w:lang w:eastAsia="zh-CN"/>
              </w:rPr>
            </w:pPr>
          </w:p>
        </w:tc>
        <w:tc>
          <w:tcPr>
            <w:tcW w:w="5074" w:type="dxa"/>
            <w:tcBorders>
              <w:top w:val="single" w:sz="4" w:space="0" w:color="auto"/>
              <w:left w:val="nil"/>
              <w:bottom w:val="nil"/>
              <w:right w:val="nil"/>
            </w:tcBorders>
            <w:hideMark/>
          </w:tcPr>
          <w:p w14:paraId="39491F8B" w14:textId="77777777" w:rsidR="005F15F9" w:rsidRPr="00C66411" w:rsidRDefault="005F15F9" w:rsidP="00D01B9E">
            <w:pPr>
              <w:pStyle w:val="aff2"/>
              <w:ind w:leftChars="-41" w:left="-98"/>
            </w:pPr>
            <w:r w:rsidRPr="00C66411">
              <w:t>数据来源：</w:t>
            </w:r>
            <w:r>
              <w:t>W</w:t>
            </w:r>
            <w:r>
              <w:rPr>
                <w:rFonts w:hint="eastAsia"/>
              </w:rPr>
              <w:t>ind</w:t>
            </w:r>
            <w:r w:rsidRPr="00C66411">
              <w:rPr>
                <w:rFonts w:hint="eastAsia"/>
              </w:rPr>
              <w:t>，</w:t>
            </w:r>
            <w:r w:rsidRPr="00C66411">
              <w:t>广发证券发展研究中心</w:t>
            </w:r>
          </w:p>
        </w:tc>
      </w:tr>
    </w:tbl>
    <w:p w14:paraId="2CAA2B23" w14:textId="08498C29" w:rsidR="00694637" w:rsidRPr="005F15F9" w:rsidRDefault="00694637"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14:paraId="0892BA4B" w14:textId="79D0D153" w:rsidR="0013476E" w:rsidRDefault="0013476E"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14:paraId="5AFB471A" w14:textId="74E3844A" w:rsidR="00390048" w:rsidRDefault="00390048" w:rsidP="00D214D7">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14:paraId="5756EE89" w14:textId="77777777" w:rsidR="00390048" w:rsidRDefault="00390048" w:rsidP="00D214D7">
      <w:pPr>
        <w:autoSpaceDE w:val="0"/>
        <w:autoSpaceDN w:val="0"/>
        <w:adjustRightInd w:val="0"/>
        <w:spacing w:after="100"/>
        <w:ind w:leftChars="1257" w:left="3017" w:firstLineChars="1" w:firstLine="2"/>
        <w:jc w:val="both"/>
        <w:rPr>
          <w:rFonts w:ascii="Arial" w:eastAsia="楷体_GB2312" w:hAnsi="Arial" w:hint="eastAsia"/>
          <w:kern w:val="0"/>
          <w:sz w:val="21"/>
          <w:szCs w:val="21"/>
          <w:lang w:eastAsia="zh-CN"/>
        </w:rPr>
      </w:pPr>
    </w:p>
    <w:tbl>
      <w:tblPr>
        <w:tblW w:w="10949" w:type="dxa"/>
        <w:tblInd w:w="108" w:type="dxa"/>
        <w:tblLayout w:type="fixed"/>
        <w:tblLook w:val="04A0" w:firstRow="1" w:lastRow="0" w:firstColumn="1" w:lastColumn="0" w:noHBand="0" w:noVBand="1"/>
      </w:tblPr>
      <w:tblGrid>
        <w:gridCol w:w="142"/>
        <w:gridCol w:w="2693"/>
        <w:gridCol w:w="1135"/>
        <w:gridCol w:w="1476"/>
        <w:gridCol w:w="2918"/>
        <w:gridCol w:w="1109"/>
        <w:gridCol w:w="1026"/>
        <w:gridCol w:w="450"/>
      </w:tblGrid>
      <w:tr w:rsidR="00694637" w:rsidRPr="00941673" w14:paraId="17A909C2" w14:textId="77777777" w:rsidTr="00F92342">
        <w:trPr>
          <w:gridBefore w:val="1"/>
          <w:gridAfter w:val="1"/>
          <w:wBefore w:w="142" w:type="dxa"/>
          <w:wAfter w:w="450" w:type="dxa"/>
          <w:trHeight w:val="227"/>
        </w:trPr>
        <w:tc>
          <w:tcPr>
            <w:tcW w:w="10357" w:type="dxa"/>
            <w:gridSpan w:val="6"/>
            <w:tcBorders>
              <w:top w:val="nil"/>
              <w:left w:val="nil"/>
              <w:bottom w:val="single" w:sz="4" w:space="0" w:color="auto"/>
              <w:right w:val="nil"/>
            </w:tcBorders>
            <w:shd w:val="clear" w:color="auto" w:fill="auto"/>
            <w:hideMark/>
          </w:tcPr>
          <w:p w14:paraId="01DD08D8" w14:textId="23F9E0C3" w:rsidR="00694637" w:rsidRPr="00941673" w:rsidRDefault="00694637" w:rsidP="0040539B">
            <w:pPr>
              <w:pStyle w:val="af"/>
              <w:rPr>
                <w:lang w:eastAsia="zh-CN"/>
              </w:rPr>
            </w:pPr>
            <w:bookmarkStart w:id="62" w:name="_Toc508371579"/>
            <w:bookmarkStart w:id="63" w:name="_Toc514402530"/>
            <w:bookmarkStart w:id="64" w:name="_Toc516512871"/>
            <w:bookmarkStart w:id="65" w:name="_Toc518314367"/>
            <w:bookmarkStart w:id="66" w:name="_Toc528757879"/>
            <w:bookmarkStart w:id="67" w:name="_Toc528778819"/>
            <w:bookmarkStart w:id="68" w:name="_Toc34809104"/>
            <w:bookmarkStart w:id="69" w:name="_Toc65772382"/>
            <w:r w:rsidRPr="00941673">
              <w:rPr>
                <w:rFonts w:hint="eastAsia"/>
                <w:lang w:eastAsia="zh-CN"/>
              </w:rPr>
              <w:lastRenderedPageBreak/>
              <w:t>表</w:t>
            </w:r>
            <w:r w:rsidRPr="00941673">
              <w:rPr>
                <w:rFonts w:hint="eastAsia"/>
                <w:lang w:eastAsia="zh-CN"/>
              </w:rPr>
              <w:t xml:space="preserve"> </w:t>
            </w:r>
            <w:r w:rsidRPr="00941673">
              <w:fldChar w:fldCharType="begin"/>
            </w:r>
            <w:r w:rsidRPr="00EF2613">
              <w:rPr>
                <w:lang w:eastAsia="zh-CN"/>
              </w:rPr>
              <w:instrText xml:space="preserve"> </w:instrText>
            </w:r>
            <w:r w:rsidRPr="00EF2613">
              <w:rPr>
                <w:rFonts w:hint="eastAsia"/>
                <w:lang w:eastAsia="zh-CN"/>
              </w:rPr>
              <w:instrText xml:space="preserve">SEQ </w:instrText>
            </w:r>
            <w:r w:rsidRPr="00EF2613">
              <w:rPr>
                <w:rFonts w:hint="eastAsia"/>
                <w:lang w:eastAsia="zh-CN"/>
              </w:rPr>
              <w:instrText>表</w:instrText>
            </w:r>
            <w:r w:rsidRPr="00EF2613">
              <w:rPr>
                <w:rFonts w:hint="eastAsia"/>
                <w:lang w:eastAsia="zh-CN"/>
              </w:rPr>
              <w:instrText xml:space="preserve"> \* ARABIC</w:instrText>
            </w:r>
            <w:r w:rsidRPr="00EF2613">
              <w:rPr>
                <w:lang w:eastAsia="zh-CN"/>
              </w:rPr>
              <w:instrText xml:space="preserve"> </w:instrText>
            </w:r>
            <w:r w:rsidRPr="00941673">
              <w:fldChar w:fldCharType="separate"/>
            </w:r>
            <w:r w:rsidR="0010512F">
              <w:rPr>
                <w:noProof/>
                <w:lang w:eastAsia="zh-CN"/>
              </w:rPr>
              <w:t>6</w:t>
            </w:r>
            <w:r w:rsidRPr="00941673">
              <w:fldChar w:fldCharType="end"/>
            </w:r>
            <w:r w:rsidRPr="00941673">
              <w:rPr>
                <w:rFonts w:hint="eastAsia"/>
                <w:lang w:eastAsia="zh-CN"/>
              </w:rPr>
              <w:t>：</w:t>
            </w:r>
            <w:bookmarkEnd w:id="62"/>
            <w:bookmarkEnd w:id="63"/>
            <w:bookmarkEnd w:id="64"/>
            <w:bookmarkEnd w:id="65"/>
            <w:bookmarkEnd w:id="66"/>
            <w:bookmarkEnd w:id="67"/>
            <w:bookmarkEnd w:id="68"/>
            <w:r>
              <w:rPr>
                <w:rFonts w:hint="eastAsia"/>
                <w:lang w:eastAsia="zh-CN"/>
              </w:rPr>
              <w:t>行业主题基金业绩评价基准选择情况统计</w:t>
            </w:r>
            <w:bookmarkEnd w:id="69"/>
          </w:p>
        </w:tc>
      </w:tr>
      <w:tr w:rsidR="00F92342" w14:paraId="69097E55"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743FE000" w14:textId="77777777" w:rsidR="00F92342" w:rsidRDefault="00F92342">
            <w:pPr>
              <w:widowControl/>
              <w:jc w:val="center"/>
              <w:rPr>
                <w:rFonts w:ascii="楷体_GB2312" w:eastAsia="楷体_GB2312" w:hAnsi="等线"/>
                <w:b/>
                <w:bCs/>
                <w:color w:val="0F243E"/>
                <w:kern w:val="0"/>
                <w:sz w:val="16"/>
                <w:szCs w:val="16"/>
                <w:lang w:eastAsia="zh-CN"/>
              </w:rPr>
            </w:pPr>
            <w:r>
              <w:rPr>
                <w:rFonts w:ascii="楷体_GB2312" w:eastAsia="楷体_GB2312" w:hAnsi="等线" w:hint="eastAsia"/>
                <w:b/>
                <w:bCs/>
                <w:color w:val="0F243E"/>
                <w:sz w:val="16"/>
                <w:szCs w:val="16"/>
              </w:rPr>
              <w:t>酒类行业股指基准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518158A2"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6A3229C6"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918" w:type="dxa"/>
            <w:tcBorders>
              <w:top w:val="single" w:sz="4" w:space="0" w:color="auto"/>
              <w:left w:val="nil"/>
              <w:bottom w:val="single" w:sz="4" w:space="0" w:color="auto"/>
              <w:right w:val="nil"/>
            </w:tcBorders>
            <w:shd w:val="clear" w:color="auto" w:fill="auto"/>
            <w:noWrap/>
            <w:vAlign w:val="center"/>
            <w:hideMark/>
          </w:tcPr>
          <w:p w14:paraId="2179727D"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酒类行业债指基准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4B29EBEB"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224C6D4A"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5569E445"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2C40638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single" w:sz="4" w:space="0" w:color="auto"/>
              <w:left w:val="nil"/>
              <w:bottom w:val="nil"/>
              <w:right w:val="nil"/>
            </w:tcBorders>
            <w:shd w:val="clear" w:color="auto" w:fill="auto"/>
            <w:noWrap/>
            <w:vAlign w:val="center"/>
            <w:hideMark/>
          </w:tcPr>
          <w:p w14:paraId="3D3764B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240</w:t>
            </w:r>
          </w:p>
        </w:tc>
        <w:tc>
          <w:tcPr>
            <w:tcW w:w="1476" w:type="dxa"/>
            <w:tcBorders>
              <w:top w:val="single" w:sz="4" w:space="0" w:color="auto"/>
              <w:left w:val="nil"/>
              <w:bottom w:val="nil"/>
              <w:right w:val="nil"/>
            </w:tcBorders>
            <w:shd w:val="clear" w:color="auto" w:fill="auto"/>
            <w:noWrap/>
            <w:vAlign w:val="center"/>
            <w:hideMark/>
          </w:tcPr>
          <w:p w14:paraId="1120D56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62.93%</w:t>
            </w:r>
          </w:p>
        </w:tc>
        <w:tc>
          <w:tcPr>
            <w:tcW w:w="2918" w:type="dxa"/>
            <w:tcBorders>
              <w:top w:val="single" w:sz="4" w:space="0" w:color="auto"/>
              <w:left w:val="nil"/>
              <w:bottom w:val="nil"/>
              <w:right w:val="nil"/>
            </w:tcBorders>
            <w:shd w:val="clear" w:color="auto" w:fill="auto"/>
            <w:noWrap/>
            <w:vAlign w:val="center"/>
            <w:hideMark/>
          </w:tcPr>
          <w:p w14:paraId="33A74DA6"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single" w:sz="4" w:space="0" w:color="auto"/>
              <w:left w:val="nil"/>
              <w:bottom w:val="nil"/>
              <w:right w:val="nil"/>
            </w:tcBorders>
            <w:shd w:val="clear" w:color="auto" w:fill="auto"/>
            <w:noWrap/>
            <w:vAlign w:val="center"/>
            <w:hideMark/>
          </w:tcPr>
          <w:p w14:paraId="345A977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w:t>
            </w:r>
          </w:p>
        </w:tc>
        <w:tc>
          <w:tcPr>
            <w:tcW w:w="1476" w:type="dxa"/>
            <w:gridSpan w:val="2"/>
            <w:tcBorders>
              <w:top w:val="single" w:sz="4" w:space="0" w:color="auto"/>
              <w:left w:val="nil"/>
              <w:bottom w:val="nil"/>
              <w:right w:val="nil"/>
            </w:tcBorders>
            <w:shd w:val="clear" w:color="auto" w:fill="auto"/>
            <w:noWrap/>
            <w:vAlign w:val="center"/>
            <w:hideMark/>
          </w:tcPr>
          <w:p w14:paraId="1272B3D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32.50%</w:t>
            </w:r>
          </w:p>
        </w:tc>
      </w:tr>
      <w:tr w:rsidR="00F92342" w14:paraId="344B0A77"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A67088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3DBE03B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38</w:t>
            </w:r>
          </w:p>
        </w:tc>
        <w:tc>
          <w:tcPr>
            <w:tcW w:w="1476" w:type="dxa"/>
            <w:tcBorders>
              <w:top w:val="nil"/>
              <w:left w:val="nil"/>
              <w:bottom w:val="nil"/>
              <w:right w:val="nil"/>
            </w:tcBorders>
            <w:shd w:val="clear" w:color="auto" w:fill="auto"/>
            <w:noWrap/>
            <w:vAlign w:val="center"/>
            <w:hideMark/>
          </w:tcPr>
          <w:p w14:paraId="3DA289C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64.61%</w:t>
            </w:r>
          </w:p>
        </w:tc>
        <w:tc>
          <w:tcPr>
            <w:tcW w:w="2918" w:type="dxa"/>
            <w:tcBorders>
              <w:top w:val="nil"/>
              <w:left w:val="nil"/>
              <w:bottom w:val="nil"/>
              <w:right w:val="nil"/>
            </w:tcBorders>
            <w:shd w:val="clear" w:color="auto" w:fill="auto"/>
            <w:noWrap/>
            <w:vAlign w:val="center"/>
            <w:hideMark/>
          </w:tcPr>
          <w:p w14:paraId="1F8C9DDE"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709109D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44</w:t>
            </w:r>
          </w:p>
        </w:tc>
        <w:tc>
          <w:tcPr>
            <w:tcW w:w="1476" w:type="dxa"/>
            <w:gridSpan w:val="2"/>
            <w:tcBorders>
              <w:top w:val="nil"/>
              <w:left w:val="nil"/>
              <w:bottom w:val="nil"/>
              <w:right w:val="nil"/>
            </w:tcBorders>
            <w:shd w:val="clear" w:color="auto" w:fill="auto"/>
            <w:noWrap/>
            <w:vAlign w:val="center"/>
            <w:hideMark/>
          </w:tcPr>
          <w:p w14:paraId="07326B4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33.30%</w:t>
            </w:r>
          </w:p>
        </w:tc>
      </w:tr>
      <w:tr w:rsidR="00F92342" w14:paraId="17AEE24C"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DDD587D"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中证内地消费主题指数收益率</w:t>
            </w:r>
          </w:p>
        </w:tc>
        <w:tc>
          <w:tcPr>
            <w:tcW w:w="1135" w:type="dxa"/>
            <w:tcBorders>
              <w:top w:val="nil"/>
              <w:left w:val="nil"/>
              <w:bottom w:val="nil"/>
              <w:right w:val="nil"/>
            </w:tcBorders>
            <w:shd w:val="clear" w:color="auto" w:fill="auto"/>
            <w:noWrap/>
            <w:vAlign w:val="center"/>
            <w:hideMark/>
          </w:tcPr>
          <w:p w14:paraId="6F98846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w:t>
            </w:r>
          </w:p>
        </w:tc>
        <w:tc>
          <w:tcPr>
            <w:tcW w:w="1476" w:type="dxa"/>
            <w:tcBorders>
              <w:top w:val="nil"/>
              <w:left w:val="nil"/>
              <w:bottom w:val="nil"/>
              <w:right w:val="nil"/>
            </w:tcBorders>
            <w:shd w:val="clear" w:color="auto" w:fill="auto"/>
            <w:noWrap/>
            <w:vAlign w:val="center"/>
            <w:hideMark/>
          </w:tcPr>
          <w:p w14:paraId="491C71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69.23%</w:t>
            </w:r>
          </w:p>
        </w:tc>
        <w:tc>
          <w:tcPr>
            <w:tcW w:w="2918" w:type="dxa"/>
            <w:tcBorders>
              <w:top w:val="nil"/>
              <w:left w:val="nil"/>
              <w:bottom w:val="nil"/>
              <w:right w:val="nil"/>
            </w:tcBorders>
            <w:shd w:val="clear" w:color="auto" w:fill="auto"/>
            <w:noWrap/>
            <w:vAlign w:val="center"/>
            <w:hideMark/>
          </w:tcPr>
          <w:p w14:paraId="632EE506"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nil"/>
              <w:left w:val="nil"/>
              <w:bottom w:val="nil"/>
              <w:right w:val="nil"/>
            </w:tcBorders>
            <w:shd w:val="clear" w:color="auto" w:fill="auto"/>
            <w:noWrap/>
            <w:vAlign w:val="center"/>
            <w:hideMark/>
          </w:tcPr>
          <w:p w14:paraId="191505E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43</w:t>
            </w:r>
          </w:p>
        </w:tc>
        <w:tc>
          <w:tcPr>
            <w:tcW w:w="1476" w:type="dxa"/>
            <w:gridSpan w:val="2"/>
            <w:tcBorders>
              <w:top w:val="nil"/>
              <w:left w:val="nil"/>
              <w:bottom w:val="nil"/>
              <w:right w:val="nil"/>
            </w:tcBorders>
            <w:shd w:val="clear" w:color="auto" w:fill="auto"/>
            <w:noWrap/>
            <w:vAlign w:val="center"/>
            <w:hideMark/>
          </w:tcPr>
          <w:p w14:paraId="56911A6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29.19%</w:t>
            </w:r>
          </w:p>
        </w:tc>
      </w:tr>
      <w:tr w:rsidR="00F92342" w14:paraId="2CF8B4B4"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B2C4145"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100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5BD0CEB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19</w:t>
            </w:r>
          </w:p>
        </w:tc>
        <w:tc>
          <w:tcPr>
            <w:tcW w:w="1476" w:type="dxa"/>
            <w:tcBorders>
              <w:top w:val="nil"/>
              <w:left w:val="nil"/>
              <w:bottom w:val="nil"/>
              <w:right w:val="nil"/>
            </w:tcBorders>
            <w:shd w:val="clear" w:color="auto" w:fill="auto"/>
            <w:noWrap/>
            <w:vAlign w:val="center"/>
            <w:hideMark/>
          </w:tcPr>
          <w:p w14:paraId="7497AD8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81.21%</w:t>
            </w:r>
          </w:p>
        </w:tc>
        <w:tc>
          <w:tcPr>
            <w:tcW w:w="2918" w:type="dxa"/>
            <w:tcBorders>
              <w:top w:val="nil"/>
              <w:left w:val="nil"/>
              <w:bottom w:val="nil"/>
              <w:right w:val="nil"/>
            </w:tcBorders>
            <w:shd w:val="clear" w:color="auto" w:fill="auto"/>
            <w:noWrap/>
            <w:vAlign w:val="center"/>
            <w:hideMark/>
          </w:tcPr>
          <w:p w14:paraId="79E90CD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1109" w:type="dxa"/>
            <w:tcBorders>
              <w:top w:val="nil"/>
              <w:left w:val="nil"/>
              <w:bottom w:val="nil"/>
              <w:right w:val="nil"/>
            </w:tcBorders>
            <w:shd w:val="clear" w:color="auto" w:fill="auto"/>
            <w:noWrap/>
            <w:vAlign w:val="center"/>
            <w:hideMark/>
          </w:tcPr>
          <w:p w14:paraId="7C9DF35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w:t>
            </w:r>
          </w:p>
        </w:tc>
        <w:tc>
          <w:tcPr>
            <w:tcW w:w="1476" w:type="dxa"/>
            <w:gridSpan w:val="2"/>
            <w:tcBorders>
              <w:top w:val="nil"/>
              <w:left w:val="nil"/>
              <w:bottom w:val="nil"/>
              <w:right w:val="nil"/>
            </w:tcBorders>
            <w:shd w:val="clear" w:color="auto" w:fill="auto"/>
            <w:noWrap/>
            <w:vAlign w:val="center"/>
            <w:hideMark/>
          </w:tcPr>
          <w:p w14:paraId="528E023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30.32%</w:t>
            </w:r>
          </w:p>
        </w:tc>
      </w:tr>
      <w:tr w:rsidR="00F92342" w14:paraId="646D8CCA"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C392F5C"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中证主要消费指数收益率</w:t>
            </w:r>
          </w:p>
        </w:tc>
        <w:tc>
          <w:tcPr>
            <w:tcW w:w="1135" w:type="dxa"/>
            <w:tcBorders>
              <w:top w:val="nil"/>
              <w:left w:val="nil"/>
              <w:bottom w:val="nil"/>
              <w:right w:val="nil"/>
            </w:tcBorders>
            <w:shd w:val="clear" w:color="auto" w:fill="auto"/>
            <w:noWrap/>
            <w:vAlign w:val="center"/>
            <w:hideMark/>
          </w:tcPr>
          <w:p w14:paraId="18DAD1B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tcBorders>
              <w:top w:val="nil"/>
              <w:left w:val="nil"/>
              <w:bottom w:val="nil"/>
              <w:right w:val="nil"/>
            </w:tcBorders>
            <w:shd w:val="clear" w:color="auto" w:fill="auto"/>
            <w:noWrap/>
            <w:vAlign w:val="center"/>
            <w:hideMark/>
          </w:tcPr>
          <w:p w14:paraId="1DAB0AA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60.00%</w:t>
            </w:r>
          </w:p>
        </w:tc>
        <w:tc>
          <w:tcPr>
            <w:tcW w:w="2918" w:type="dxa"/>
            <w:tcBorders>
              <w:top w:val="nil"/>
              <w:left w:val="nil"/>
              <w:bottom w:val="nil"/>
              <w:right w:val="nil"/>
            </w:tcBorders>
            <w:shd w:val="clear" w:color="auto" w:fill="auto"/>
            <w:noWrap/>
            <w:vAlign w:val="center"/>
            <w:hideMark/>
          </w:tcPr>
          <w:p w14:paraId="45C5827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452ACD1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w:t>
            </w:r>
          </w:p>
        </w:tc>
        <w:tc>
          <w:tcPr>
            <w:tcW w:w="1476" w:type="dxa"/>
            <w:gridSpan w:val="2"/>
            <w:tcBorders>
              <w:top w:val="nil"/>
              <w:left w:val="nil"/>
              <w:bottom w:val="nil"/>
              <w:right w:val="nil"/>
            </w:tcBorders>
            <w:shd w:val="clear" w:color="auto" w:fill="auto"/>
            <w:noWrap/>
            <w:vAlign w:val="center"/>
            <w:hideMark/>
          </w:tcPr>
          <w:p w14:paraId="160BF97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0279E524"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9BEFD52"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中证服务业指数收益率</w:t>
            </w:r>
          </w:p>
        </w:tc>
        <w:tc>
          <w:tcPr>
            <w:tcW w:w="1135" w:type="dxa"/>
            <w:tcBorders>
              <w:top w:val="nil"/>
              <w:left w:val="nil"/>
              <w:bottom w:val="nil"/>
              <w:right w:val="nil"/>
            </w:tcBorders>
            <w:shd w:val="clear" w:color="auto" w:fill="auto"/>
            <w:noWrap/>
            <w:vAlign w:val="center"/>
            <w:hideMark/>
          </w:tcPr>
          <w:p w14:paraId="0F0907C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w:t>
            </w:r>
          </w:p>
        </w:tc>
        <w:tc>
          <w:tcPr>
            <w:tcW w:w="1476" w:type="dxa"/>
            <w:tcBorders>
              <w:top w:val="nil"/>
              <w:left w:val="nil"/>
              <w:bottom w:val="nil"/>
              <w:right w:val="nil"/>
            </w:tcBorders>
            <w:shd w:val="clear" w:color="auto" w:fill="auto"/>
            <w:noWrap/>
            <w:vAlign w:val="center"/>
            <w:hideMark/>
          </w:tcPr>
          <w:p w14:paraId="687B769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66.67%</w:t>
            </w:r>
          </w:p>
        </w:tc>
        <w:tc>
          <w:tcPr>
            <w:tcW w:w="2918" w:type="dxa"/>
            <w:tcBorders>
              <w:top w:val="nil"/>
              <w:left w:val="nil"/>
              <w:bottom w:val="nil"/>
              <w:right w:val="nil"/>
            </w:tcBorders>
            <w:shd w:val="clear" w:color="auto" w:fill="auto"/>
            <w:noWrap/>
            <w:vAlign w:val="center"/>
            <w:hideMark/>
          </w:tcPr>
          <w:p w14:paraId="6380716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中债综合全价指数收益率</w:t>
            </w:r>
          </w:p>
        </w:tc>
        <w:tc>
          <w:tcPr>
            <w:tcW w:w="1109" w:type="dxa"/>
            <w:tcBorders>
              <w:top w:val="nil"/>
              <w:left w:val="nil"/>
              <w:bottom w:val="nil"/>
              <w:right w:val="nil"/>
            </w:tcBorders>
            <w:shd w:val="clear" w:color="auto" w:fill="auto"/>
            <w:noWrap/>
            <w:vAlign w:val="center"/>
            <w:hideMark/>
          </w:tcPr>
          <w:p w14:paraId="518AE59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20</w:t>
            </w:r>
          </w:p>
        </w:tc>
        <w:tc>
          <w:tcPr>
            <w:tcW w:w="1476" w:type="dxa"/>
            <w:gridSpan w:val="2"/>
            <w:tcBorders>
              <w:top w:val="nil"/>
              <w:left w:val="nil"/>
              <w:bottom w:val="nil"/>
              <w:right w:val="nil"/>
            </w:tcBorders>
            <w:shd w:val="clear" w:color="auto" w:fill="auto"/>
            <w:noWrap/>
            <w:vAlign w:val="center"/>
            <w:hideMark/>
          </w:tcPr>
          <w:p w14:paraId="5895B62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37.50%</w:t>
            </w:r>
          </w:p>
        </w:tc>
      </w:tr>
      <w:tr w:rsidR="00F92342" w14:paraId="1D91EE72"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95849EE"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中证红利指数收益率</w:t>
            </w:r>
          </w:p>
        </w:tc>
        <w:tc>
          <w:tcPr>
            <w:tcW w:w="1135" w:type="dxa"/>
            <w:tcBorders>
              <w:top w:val="nil"/>
              <w:left w:val="nil"/>
              <w:bottom w:val="nil"/>
              <w:right w:val="nil"/>
            </w:tcBorders>
            <w:shd w:val="clear" w:color="auto" w:fill="auto"/>
            <w:noWrap/>
            <w:vAlign w:val="center"/>
            <w:hideMark/>
          </w:tcPr>
          <w:p w14:paraId="6B18FD9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38C64BD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72.50%</w:t>
            </w:r>
          </w:p>
        </w:tc>
        <w:tc>
          <w:tcPr>
            <w:tcW w:w="2918" w:type="dxa"/>
            <w:tcBorders>
              <w:top w:val="nil"/>
              <w:left w:val="nil"/>
              <w:bottom w:val="nil"/>
              <w:right w:val="nil"/>
            </w:tcBorders>
            <w:shd w:val="clear" w:color="auto" w:fill="auto"/>
            <w:noWrap/>
            <w:vAlign w:val="center"/>
            <w:hideMark/>
          </w:tcPr>
          <w:p w14:paraId="2A57A4C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中国债券总指数收益率</w:t>
            </w:r>
          </w:p>
        </w:tc>
        <w:tc>
          <w:tcPr>
            <w:tcW w:w="1109" w:type="dxa"/>
            <w:tcBorders>
              <w:top w:val="nil"/>
              <w:left w:val="nil"/>
              <w:bottom w:val="nil"/>
              <w:right w:val="nil"/>
            </w:tcBorders>
            <w:shd w:val="clear" w:color="auto" w:fill="auto"/>
            <w:noWrap/>
            <w:vAlign w:val="center"/>
            <w:hideMark/>
          </w:tcPr>
          <w:p w14:paraId="7F588EC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17</w:t>
            </w:r>
          </w:p>
        </w:tc>
        <w:tc>
          <w:tcPr>
            <w:tcW w:w="1476" w:type="dxa"/>
            <w:gridSpan w:val="2"/>
            <w:tcBorders>
              <w:top w:val="nil"/>
              <w:left w:val="nil"/>
              <w:bottom w:val="nil"/>
              <w:right w:val="nil"/>
            </w:tcBorders>
            <w:shd w:val="clear" w:color="auto" w:fill="auto"/>
            <w:noWrap/>
            <w:vAlign w:val="center"/>
            <w:hideMark/>
          </w:tcPr>
          <w:p w14:paraId="036A3C2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33.82%</w:t>
            </w:r>
          </w:p>
        </w:tc>
      </w:tr>
      <w:tr w:rsidR="00F92342" w14:paraId="7D55675A"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02755C3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中证食品饮料指数收益率</w:t>
            </w:r>
          </w:p>
        </w:tc>
        <w:tc>
          <w:tcPr>
            <w:tcW w:w="1135" w:type="dxa"/>
            <w:tcBorders>
              <w:top w:val="nil"/>
              <w:left w:val="nil"/>
              <w:bottom w:val="nil"/>
              <w:right w:val="nil"/>
            </w:tcBorders>
            <w:shd w:val="clear" w:color="auto" w:fill="auto"/>
            <w:noWrap/>
            <w:vAlign w:val="center"/>
            <w:hideMark/>
          </w:tcPr>
          <w:p w14:paraId="6B5E6FE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20F8FD2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92.50%</w:t>
            </w:r>
          </w:p>
        </w:tc>
        <w:tc>
          <w:tcPr>
            <w:tcW w:w="2918" w:type="dxa"/>
            <w:tcBorders>
              <w:top w:val="nil"/>
              <w:left w:val="nil"/>
              <w:bottom w:val="nil"/>
              <w:right w:val="nil"/>
            </w:tcBorders>
            <w:shd w:val="clear" w:color="auto" w:fill="auto"/>
            <w:noWrap/>
            <w:vAlign w:val="center"/>
            <w:hideMark/>
          </w:tcPr>
          <w:p w14:paraId="0B142C6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恒生指数收益率</w:t>
            </w:r>
          </w:p>
        </w:tc>
        <w:tc>
          <w:tcPr>
            <w:tcW w:w="1109" w:type="dxa"/>
            <w:tcBorders>
              <w:top w:val="nil"/>
              <w:left w:val="nil"/>
              <w:bottom w:val="nil"/>
              <w:right w:val="nil"/>
            </w:tcBorders>
            <w:shd w:val="clear" w:color="auto" w:fill="auto"/>
            <w:noWrap/>
            <w:vAlign w:val="center"/>
            <w:hideMark/>
          </w:tcPr>
          <w:p w14:paraId="1FF8AC4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16</w:t>
            </w:r>
          </w:p>
        </w:tc>
        <w:tc>
          <w:tcPr>
            <w:tcW w:w="1476" w:type="dxa"/>
            <w:gridSpan w:val="2"/>
            <w:tcBorders>
              <w:top w:val="nil"/>
              <w:left w:val="nil"/>
              <w:bottom w:val="nil"/>
              <w:right w:val="nil"/>
            </w:tcBorders>
            <w:shd w:val="clear" w:color="auto" w:fill="auto"/>
            <w:noWrap/>
            <w:vAlign w:val="center"/>
            <w:hideMark/>
          </w:tcPr>
          <w:p w14:paraId="21F634D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26.88%</w:t>
            </w:r>
          </w:p>
        </w:tc>
      </w:tr>
      <w:tr w:rsidR="00F92342" w14:paraId="21094464"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06AECB1"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31072C0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7B30C75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73.33%</w:t>
            </w:r>
          </w:p>
        </w:tc>
        <w:tc>
          <w:tcPr>
            <w:tcW w:w="2918" w:type="dxa"/>
            <w:tcBorders>
              <w:top w:val="nil"/>
              <w:left w:val="nil"/>
              <w:bottom w:val="nil"/>
              <w:right w:val="nil"/>
            </w:tcBorders>
            <w:shd w:val="clear" w:color="auto" w:fill="auto"/>
            <w:noWrap/>
            <w:vAlign w:val="center"/>
            <w:hideMark/>
          </w:tcPr>
          <w:p w14:paraId="195BE9F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中证综合债券指数收益率</w:t>
            </w:r>
          </w:p>
        </w:tc>
        <w:tc>
          <w:tcPr>
            <w:tcW w:w="1109" w:type="dxa"/>
            <w:tcBorders>
              <w:top w:val="nil"/>
              <w:left w:val="nil"/>
              <w:bottom w:val="nil"/>
              <w:right w:val="nil"/>
            </w:tcBorders>
            <w:shd w:val="clear" w:color="auto" w:fill="auto"/>
            <w:noWrap/>
            <w:vAlign w:val="center"/>
            <w:hideMark/>
          </w:tcPr>
          <w:p w14:paraId="762B535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15</w:t>
            </w:r>
          </w:p>
        </w:tc>
        <w:tc>
          <w:tcPr>
            <w:tcW w:w="1476" w:type="dxa"/>
            <w:gridSpan w:val="2"/>
            <w:tcBorders>
              <w:top w:val="nil"/>
              <w:left w:val="nil"/>
              <w:bottom w:val="nil"/>
              <w:right w:val="nil"/>
            </w:tcBorders>
            <w:shd w:val="clear" w:color="auto" w:fill="auto"/>
            <w:noWrap/>
            <w:vAlign w:val="center"/>
            <w:hideMark/>
          </w:tcPr>
          <w:p w14:paraId="7729FE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32.33%</w:t>
            </w:r>
          </w:p>
        </w:tc>
      </w:tr>
      <w:tr w:rsidR="00F92342" w14:paraId="0C17015A" w14:textId="77777777" w:rsidTr="005038B6">
        <w:trPr>
          <w:trHeight w:val="278"/>
        </w:trPr>
        <w:tc>
          <w:tcPr>
            <w:tcW w:w="2835" w:type="dxa"/>
            <w:gridSpan w:val="2"/>
            <w:tcBorders>
              <w:top w:val="nil"/>
              <w:left w:val="nil"/>
              <w:bottom w:val="single" w:sz="4" w:space="0" w:color="auto"/>
              <w:right w:val="nil"/>
            </w:tcBorders>
            <w:shd w:val="clear" w:color="auto" w:fill="auto"/>
            <w:noWrap/>
            <w:vAlign w:val="center"/>
            <w:hideMark/>
          </w:tcPr>
          <w:p w14:paraId="7B9178C8"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申银万国消费品指数</w:t>
            </w:r>
          </w:p>
        </w:tc>
        <w:tc>
          <w:tcPr>
            <w:tcW w:w="1135" w:type="dxa"/>
            <w:tcBorders>
              <w:top w:val="nil"/>
              <w:left w:val="nil"/>
              <w:bottom w:val="single" w:sz="4" w:space="0" w:color="auto"/>
              <w:right w:val="nil"/>
            </w:tcBorders>
            <w:shd w:val="clear" w:color="auto" w:fill="auto"/>
            <w:noWrap/>
            <w:vAlign w:val="center"/>
            <w:hideMark/>
          </w:tcPr>
          <w:p w14:paraId="16D3834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single" w:sz="4" w:space="0" w:color="auto"/>
              <w:right w:val="nil"/>
            </w:tcBorders>
            <w:shd w:val="clear" w:color="auto" w:fill="auto"/>
            <w:noWrap/>
            <w:vAlign w:val="center"/>
            <w:hideMark/>
          </w:tcPr>
          <w:p w14:paraId="4B60D12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80.00%</w:t>
            </w:r>
          </w:p>
        </w:tc>
        <w:tc>
          <w:tcPr>
            <w:tcW w:w="2918" w:type="dxa"/>
            <w:tcBorders>
              <w:top w:val="nil"/>
              <w:left w:val="nil"/>
              <w:bottom w:val="single" w:sz="4" w:space="0" w:color="auto"/>
              <w:right w:val="nil"/>
            </w:tcBorders>
            <w:shd w:val="clear" w:color="auto" w:fill="auto"/>
            <w:noWrap/>
            <w:vAlign w:val="center"/>
            <w:hideMark/>
          </w:tcPr>
          <w:p w14:paraId="5C449723"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109" w:type="dxa"/>
            <w:tcBorders>
              <w:top w:val="nil"/>
              <w:left w:val="nil"/>
              <w:bottom w:val="single" w:sz="4" w:space="0" w:color="auto"/>
              <w:right w:val="nil"/>
            </w:tcBorders>
            <w:shd w:val="clear" w:color="auto" w:fill="auto"/>
            <w:noWrap/>
            <w:vAlign w:val="center"/>
            <w:hideMark/>
          </w:tcPr>
          <w:p w14:paraId="4E670EF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single" w:sz="4" w:space="0" w:color="auto"/>
              <w:right w:val="nil"/>
            </w:tcBorders>
            <w:shd w:val="clear" w:color="auto" w:fill="auto"/>
            <w:noWrap/>
            <w:vAlign w:val="center"/>
            <w:hideMark/>
          </w:tcPr>
          <w:p w14:paraId="62B670E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32.00%</w:t>
            </w:r>
          </w:p>
        </w:tc>
      </w:tr>
      <w:tr w:rsidR="00F92342" w14:paraId="1AD7E704"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699B9795" w14:textId="77777777" w:rsidR="00F92342" w:rsidRDefault="00F92342">
            <w:pPr>
              <w:jc w:val="center"/>
              <w:rPr>
                <w:rFonts w:ascii="楷体_GB2312" w:eastAsia="楷体_GB2312" w:hAnsi="等线" w:cs="宋体"/>
                <w:b/>
                <w:bCs/>
                <w:color w:val="0F243E"/>
                <w:sz w:val="16"/>
                <w:szCs w:val="16"/>
                <w:lang w:eastAsia="zh-CN"/>
              </w:rPr>
            </w:pPr>
            <w:r>
              <w:rPr>
                <w:rFonts w:ascii="楷体_GB2312" w:eastAsia="楷体_GB2312" w:hAnsi="等线" w:hint="eastAsia"/>
                <w:b/>
                <w:bCs/>
                <w:color w:val="0F243E"/>
                <w:sz w:val="16"/>
                <w:szCs w:val="16"/>
                <w:lang w:eastAsia="zh-CN"/>
              </w:rPr>
              <w:t>电子元器件行业股指基准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111330AF"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283F5F3A"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918" w:type="dxa"/>
            <w:tcBorders>
              <w:top w:val="single" w:sz="4" w:space="0" w:color="auto"/>
              <w:left w:val="nil"/>
              <w:bottom w:val="single" w:sz="4" w:space="0" w:color="auto"/>
              <w:right w:val="nil"/>
            </w:tcBorders>
            <w:shd w:val="clear" w:color="auto" w:fill="auto"/>
            <w:noWrap/>
            <w:vAlign w:val="center"/>
            <w:hideMark/>
          </w:tcPr>
          <w:p w14:paraId="2234E9A5" w14:textId="77777777" w:rsidR="00F92342" w:rsidRDefault="00F92342">
            <w:pPr>
              <w:jc w:val="center"/>
              <w:rPr>
                <w:rFonts w:ascii="楷体_GB2312" w:eastAsia="楷体_GB2312" w:hAnsi="等线"/>
                <w:b/>
                <w:bCs/>
                <w:color w:val="0F243E"/>
                <w:sz w:val="16"/>
                <w:szCs w:val="16"/>
                <w:lang w:eastAsia="zh-CN"/>
              </w:rPr>
            </w:pPr>
            <w:r>
              <w:rPr>
                <w:rFonts w:ascii="楷体_GB2312" w:eastAsia="楷体_GB2312" w:hAnsi="等线" w:hint="eastAsia"/>
                <w:b/>
                <w:bCs/>
                <w:color w:val="0F243E"/>
                <w:sz w:val="16"/>
                <w:szCs w:val="16"/>
                <w:lang w:eastAsia="zh-CN"/>
              </w:rPr>
              <w:t>电子元器件行业债指基准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62F433E9"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4D784ABC"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74DDE36D"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67C63A53"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single" w:sz="4" w:space="0" w:color="auto"/>
              <w:left w:val="nil"/>
              <w:bottom w:val="nil"/>
              <w:right w:val="nil"/>
            </w:tcBorders>
            <w:shd w:val="clear" w:color="auto" w:fill="auto"/>
            <w:noWrap/>
            <w:vAlign w:val="center"/>
            <w:hideMark/>
          </w:tcPr>
          <w:p w14:paraId="3AB872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157</w:t>
            </w:r>
          </w:p>
        </w:tc>
        <w:tc>
          <w:tcPr>
            <w:tcW w:w="1476" w:type="dxa"/>
            <w:tcBorders>
              <w:top w:val="single" w:sz="4" w:space="0" w:color="auto"/>
              <w:left w:val="nil"/>
              <w:bottom w:val="nil"/>
              <w:right w:val="nil"/>
            </w:tcBorders>
            <w:shd w:val="clear" w:color="auto" w:fill="auto"/>
            <w:noWrap/>
            <w:vAlign w:val="center"/>
            <w:hideMark/>
          </w:tcPr>
          <w:p w14:paraId="5120693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63.47%</w:t>
            </w:r>
          </w:p>
        </w:tc>
        <w:tc>
          <w:tcPr>
            <w:tcW w:w="2918" w:type="dxa"/>
            <w:tcBorders>
              <w:top w:val="single" w:sz="4" w:space="0" w:color="auto"/>
              <w:left w:val="nil"/>
              <w:bottom w:val="nil"/>
              <w:right w:val="nil"/>
            </w:tcBorders>
            <w:shd w:val="clear" w:color="auto" w:fill="auto"/>
            <w:noWrap/>
            <w:vAlign w:val="center"/>
            <w:hideMark/>
          </w:tcPr>
          <w:p w14:paraId="637249B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single" w:sz="4" w:space="0" w:color="auto"/>
              <w:left w:val="nil"/>
              <w:bottom w:val="nil"/>
              <w:right w:val="nil"/>
            </w:tcBorders>
            <w:shd w:val="clear" w:color="auto" w:fill="auto"/>
            <w:noWrap/>
            <w:vAlign w:val="center"/>
            <w:hideMark/>
          </w:tcPr>
          <w:p w14:paraId="3283A5D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w:t>
            </w:r>
          </w:p>
        </w:tc>
        <w:tc>
          <w:tcPr>
            <w:tcW w:w="1476" w:type="dxa"/>
            <w:gridSpan w:val="2"/>
            <w:tcBorders>
              <w:top w:val="single" w:sz="4" w:space="0" w:color="auto"/>
              <w:left w:val="nil"/>
              <w:bottom w:val="nil"/>
              <w:right w:val="nil"/>
            </w:tcBorders>
            <w:shd w:val="clear" w:color="auto" w:fill="auto"/>
            <w:noWrap/>
            <w:vAlign w:val="center"/>
            <w:hideMark/>
          </w:tcPr>
          <w:p w14:paraId="7F7CE15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32.24%</w:t>
            </w:r>
          </w:p>
        </w:tc>
      </w:tr>
      <w:tr w:rsidR="00F92342" w14:paraId="3A7B4071"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F6AD38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40425A9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37</w:t>
            </w:r>
          </w:p>
        </w:tc>
        <w:tc>
          <w:tcPr>
            <w:tcW w:w="1476" w:type="dxa"/>
            <w:tcBorders>
              <w:top w:val="nil"/>
              <w:left w:val="nil"/>
              <w:bottom w:val="nil"/>
              <w:right w:val="nil"/>
            </w:tcBorders>
            <w:shd w:val="clear" w:color="auto" w:fill="auto"/>
            <w:noWrap/>
            <w:vAlign w:val="center"/>
            <w:hideMark/>
          </w:tcPr>
          <w:p w14:paraId="4C99CCF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68.65%</w:t>
            </w:r>
          </w:p>
        </w:tc>
        <w:tc>
          <w:tcPr>
            <w:tcW w:w="2918" w:type="dxa"/>
            <w:tcBorders>
              <w:top w:val="nil"/>
              <w:left w:val="nil"/>
              <w:bottom w:val="nil"/>
              <w:right w:val="nil"/>
            </w:tcBorders>
            <w:shd w:val="clear" w:color="auto" w:fill="auto"/>
            <w:noWrap/>
            <w:vAlign w:val="center"/>
            <w:hideMark/>
          </w:tcPr>
          <w:p w14:paraId="4357DF9D"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nil"/>
              <w:left w:val="nil"/>
              <w:bottom w:val="nil"/>
              <w:right w:val="nil"/>
            </w:tcBorders>
            <w:shd w:val="clear" w:color="auto" w:fill="auto"/>
            <w:noWrap/>
            <w:vAlign w:val="center"/>
            <w:hideMark/>
          </w:tcPr>
          <w:p w14:paraId="1D2A6E5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w:t>
            </w:r>
          </w:p>
        </w:tc>
        <w:tc>
          <w:tcPr>
            <w:tcW w:w="1476" w:type="dxa"/>
            <w:gridSpan w:val="2"/>
            <w:tcBorders>
              <w:top w:val="nil"/>
              <w:left w:val="nil"/>
              <w:bottom w:val="nil"/>
              <w:right w:val="nil"/>
            </w:tcBorders>
            <w:shd w:val="clear" w:color="auto" w:fill="auto"/>
            <w:noWrap/>
            <w:vAlign w:val="center"/>
            <w:hideMark/>
          </w:tcPr>
          <w:p w14:paraId="7FD8C7F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31.38%</w:t>
            </w:r>
          </w:p>
        </w:tc>
      </w:tr>
      <w:tr w:rsidR="00F92342" w14:paraId="4106ABC3"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5640B70"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中国战略新兴产业成份指数收益率</w:t>
            </w:r>
          </w:p>
        </w:tc>
        <w:tc>
          <w:tcPr>
            <w:tcW w:w="1135" w:type="dxa"/>
            <w:tcBorders>
              <w:top w:val="nil"/>
              <w:left w:val="nil"/>
              <w:bottom w:val="nil"/>
              <w:right w:val="nil"/>
            </w:tcBorders>
            <w:shd w:val="clear" w:color="auto" w:fill="auto"/>
            <w:noWrap/>
            <w:vAlign w:val="center"/>
            <w:hideMark/>
          </w:tcPr>
          <w:p w14:paraId="0A17A01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23</w:t>
            </w:r>
          </w:p>
        </w:tc>
        <w:tc>
          <w:tcPr>
            <w:tcW w:w="1476" w:type="dxa"/>
            <w:tcBorders>
              <w:top w:val="nil"/>
              <w:left w:val="nil"/>
              <w:bottom w:val="nil"/>
              <w:right w:val="nil"/>
            </w:tcBorders>
            <w:shd w:val="clear" w:color="auto" w:fill="auto"/>
            <w:noWrap/>
            <w:vAlign w:val="center"/>
            <w:hideMark/>
          </w:tcPr>
          <w:p w14:paraId="4765EC2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62.61%</w:t>
            </w:r>
          </w:p>
        </w:tc>
        <w:tc>
          <w:tcPr>
            <w:tcW w:w="2918" w:type="dxa"/>
            <w:tcBorders>
              <w:top w:val="nil"/>
              <w:left w:val="nil"/>
              <w:bottom w:val="nil"/>
              <w:right w:val="nil"/>
            </w:tcBorders>
            <w:shd w:val="clear" w:color="auto" w:fill="auto"/>
            <w:noWrap/>
            <w:vAlign w:val="center"/>
            <w:hideMark/>
          </w:tcPr>
          <w:p w14:paraId="2C222EF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1109" w:type="dxa"/>
            <w:tcBorders>
              <w:top w:val="nil"/>
              <w:left w:val="nil"/>
              <w:bottom w:val="nil"/>
              <w:right w:val="nil"/>
            </w:tcBorders>
            <w:shd w:val="clear" w:color="auto" w:fill="auto"/>
            <w:noWrap/>
            <w:vAlign w:val="center"/>
            <w:hideMark/>
          </w:tcPr>
          <w:p w14:paraId="366FE76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w:t>
            </w:r>
          </w:p>
        </w:tc>
        <w:tc>
          <w:tcPr>
            <w:tcW w:w="1476" w:type="dxa"/>
            <w:gridSpan w:val="2"/>
            <w:tcBorders>
              <w:top w:val="nil"/>
              <w:left w:val="nil"/>
              <w:bottom w:val="nil"/>
              <w:right w:val="nil"/>
            </w:tcBorders>
            <w:shd w:val="clear" w:color="auto" w:fill="auto"/>
            <w:noWrap/>
            <w:vAlign w:val="center"/>
            <w:hideMark/>
          </w:tcPr>
          <w:p w14:paraId="7E0C82E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36.45%</w:t>
            </w:r>
          </w:p>
        </w:tc>
      </w:tr>
      <w:tr w:rsidR="00F92342" w14:paraId="398656C7"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7F83B92"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500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491220D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57819E0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74.50%</w:t>
            </w:r>
          </w:p>
        </w:tc>
        <w:tc>
          <w:tcPr>
            <w:tcW w:w="2918" w:type="dxa"/>
            <w:tcBorders>
              <w:top w:val="nil"/>
              <w:left w:val="nil"/>
              <w:bottom w:val="nil"/>
              <w:right w:val="nil"/>
            </w:tcBorders>
            <w:shd w:val="clear" w:color="auto" w:fill="auto"/>
            <w:noWrap/>
            <w:vAlign w:val="center"/>
            <w:hideMark/>
          </w:tcPr>
          <w:p w14:paraId="22997EC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中证综合债券指数收益率</w:t>
            </w:r>
          </w:p>
        </w:tc>
        <w:tc>
          <w:tcPr>
            <w:tcW w:w="1109" w:type="dxa"/>
            <w:tcBorders>
              <w:top w:val="nil"/>
              <w:left w:val="nil"/>
              <w:bottom w:val="nil"/>
              <w:right w:val="nil"/>
            </w:tcBorders>
            <w:shd w:val="clear" w:color="auto" w:fill="auto"/>
            <w:noWrap/>
            <w:vAlign w:val="center"/>
            <w:hideMark/>
          </w:tcPr>
          <w:p w14:paraId="75A0EC7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23</w:t>
            </w:r>
          </w:p>
        </w:tc>
        <w:tc>
          <w:tcPr>
            <w:tcW w:w="1476" w:type="dxa"/>
            <w:gridSpan w:val="2"/>
            <w:tcBorders>
              <w:top w:val="nil"/>
              <w:left w:val="nil"/>
              <w:bottom w:val="nil"/>
              <w:right w:val="nil"/>
            </w:tcBorders>
            <w:shd w:val="clear" w:color="auto" w:fill="auto"/>
            <w:noWrap/>
            <w:vAlign w:val="center"/>
            <w:hideMark/>
          </w:tcPr>
          <w:p w14:paraId="399C3AB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29.57%</w:t>
            </w:r>
          </w:p>
        </w:tc>
      </w:tr>
      <w:tr w:rsidR="00F92342" w14:paraId="45B4805C"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1BBDC4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中证人工智能主题指数收益率</w:t>
            </w:r>
          </w:p>
        </w:tc>
        <w:tc>
          <w:tcPr>
            <w:tcW w:w="1135" w:type="dxa"/>
            <w:tcBorders>
              <w:top w:val="nil"/>
              <w:left w:val="nil"/>
              <w:bottom w:val="nil"/>
              <w:right w:val="nil"/>
            </w:tcBorders>
            <w:shd w:val="clear" w:color="auto" w:fill="auto"/>
            <w:noWrap/>
            <w:vAlign w:val="center"/>
            <w:hideMark/>
          </w:tcPr>
          <w:p w14:paraId="4EFE23F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06B5F5E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58.00%</w:t>
            </w:r>
          </w:p>
        </w:tc>
        <w:tc>
          <w:tcPr>
            <w:tcW w:w="2918" w:type="dxa"/>
            <w:tcBorders>
              <w:top w:val="nil"/>
              <w:left w:val="nil"/>
              <w:bottom w:val="nil"/>
              <w:right w:val="nil"/>
            </w:tcBorders>
            <w:shd w:val="clear" w:color="auto" w:fill="auto"/>
            <w:noWrap/>
            <w:vAlign w:val="center"/>
            <w:hideMark/>
          </w:tcPr>
          <w:p w14:paraId="0DA648A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3F3CE91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18</w:t>
            </w:r>
          </w:p>
        </w:tc>
        <w:tc>
          <w:tcPr>
            <w:tcW w:w="1476" w:type="dxa"/>
            <w:gridSpan w:val="2"/>
            <w:tcBorders>
              <w:top w:val="nil"/>
              <w:left w:val="nil"/>
              <w:bottom w:val="nil"/>
              <w:right w:val="nil"/>
            </w:tcBorders>
            <w:shd w:val="clear" w:color="auto" w:fill="auto"/>
            <w:noWrap/>
            <w:vAlign w:val="center"/>
            <w:hideMark/>
          </w:tcPr>
          <w:p w14:paraId="1EC6A4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33.33%</w:t>
            </w:r>
          </w:p>
        </w:tc>
      </w:tr>
      <w:tr w:rsidR="00F92342" w14:paraId="43FFBC7B"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8AD2C5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w:t>
            </w:r>
            <w:r>
              <w:rPr>
                <w:rFonts w:ascii="Arial" w:eastAsia="等线" w:hAnsi="Arial" w:cs="Arial"/>
                <w:b/>
                <w:bCs/>
                <w:color w:val="0F243E"/>
                <w:sz w:val="16"/>
                <w:szCs w:val="16"/>
                <w:lang w:eastAsia="zh-CN"/>
              </w:rPr>
              <w:t>TMT</w:t>
            </w:r>
            <w:r>
              <w:rPr>
                <w:rFonts w:ascii="Arial" w:eastAsia="等线" w:hAnsi="Arial" w:cs="Arial"/>
                <w:b/>
                <w:bCs/>
                <w:color w:val="0F243E"/>
                <w:sz w:val="16"/>
                <w:szCs w:val="16"/>
                <w:lang w:eastAsia="zh-CN"/>
              </w:rPr>
              <w:t>产业主题指数收益率</w:t>
            </w:r>
          </w:p>
        </w:tc>
        <w:tc>
          <w:tcPr>
            <w:tcW w:w="1135" w:type="dxa"/>
            <w:tcBorders>
              <w:top w:val="nil"/>
              <w:left w:val="nil"/>
              <w:bottom w:val="nil"/>
              <w:right w:val="nil"/>
            </w:tcBorders>
            <w:shd w:val="clear" w:color="auto" w:fill="auto"/>
            <w:noWrap/>
            <w:vAlign w:val="center"/>
            <w:hideMark/>
          </w:tcPr>
          <w:p w14:paraId="668A635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1476" w:type="dxa"/>
            <w:tcBorders>
              <w:top w:val="nil"/>
              <w:left w:val="nil"/>
              <w:bottom w:val="nil"/>
              <w:right w:val="nil"/>
            </w:tcBorders>
            <w:shd w:val="clear" w:color="auto" w:fill="auto"/>
            <w:noWrap/>
            <w:vAlign w:val="center"/>
            <w:hideMark/>
          </w:tcPr>
          <w:p w14:paraId="6612C03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61.43%</w:t>
            </w:r>
          </w:p>
        </w:tc>
        <w:tc>
          <w:tcPr>
            <w:tcW w:w="2918" w:type="dxa"/>
            <w:tcBorders>
              <w:top w:val="nil"/>
              <w:left w:val="nil"/>
              <w:bottom w:val="nil"/>
              <w:right w:val="nil"/>
            </w:tcBorders>
            <w:shd w:val="clear" w:color="auto" w:fill="auto"/>
            <w:noWrap/>
            <w:vAlign w:val="center"/>
            <w:hideMark/>
          </w:tcPr>
          <w:p w14:paraId="78662C7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109" w:type="dxa"/>
            <w:tcBorders>
              <w:top w:val="nil"/>
              <w:left w:val="nil"/>
              <w:bottom w:val="nil"/>
              <w:right w:val="nil"/>
            </w:tcBorders>
            <w:shd w:val="clear" w:color="auto" w:fill="auto"/>
            <w:noWrap/>
            <w:vAlign w:val="center"/>
            <w:hideMark/>
          </w:tcPr>
          <w:p w14:paraId="02C3D90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25</w:t>
            </w:r>
          </w:p>
        </w:tc>
        <w:tc>
          <w:tcPr>
            <w:tcW w:w="1476" w:type="dxa"/>
            <w:gridSpan w:val="2"/>
            <w:tcBorders>
              <w:top w:val="nil"/>
              <w:left w:val="nil"/>
              <w:bottom w:val="nil"/>
              <w:right w:val="nil"/>
            </w:tcBorders>
            <w:shd w:val="clear" w:color="auto" w:fill="auto"/>
            <w:noWrap/>
            <w:vAlign w:val="center"/>
            <w:hideMark/>
          </w:tcPr>
          <w:p w14:paraId="2E6A6DB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35.00%</w:t>
            </w:r>
          </w:p>
        </w:tc>
      </w:tr>
      <w:tr w:rsidR="00F92342" w14:paraId="7141234E"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4EE919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中证全指指数收益率</w:t>
            </w:r>
          </w:p>
        </w:tc>
        <w:tc>
          <w:tcPr>
            <w:tcW w:w="1135" w:type="dxa"/>
            <w:tcBorders>
              <w:top w:val="nil"/>
              <w:left w:val="nil"/>
              <w:bottom w:val="nil"/>
              <w:right w:val="nil"/>
            </w:tcBorders>
            <w:shd w:val="clear" w:color="auto" w:fill="auto"/>
            <w:noWrap/>
            <w:vAlign w:val="center"/>
            <w:hideMark/>
          </w:tcPr>
          <w:p w14:paraId="0F548F6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3A0DF65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50.00%</w:t>
            </w:r>
          </w:p>
        </w:tc>
        <w:tc>
          <w:tcPr>
            <w:tcW w:w="2918" w:type="dxa"/>
            <w:tcBorders>
              <w:top w:val="nil"/>
              <w:left w:val="nil"/>
              <w:bottom w:val="nil"/>
              <w:right w:val="nil"/>
            </w:tcBorders>
            <w:shd w:val="clear" w:color="auto" w:fill="auto"/>
            <w:noWrap/>
            <w:vAlign w:val="center"/>
            <w:hideMark/>
          </w:tcPr>
          <w:p w14:paraId="44B09A4F"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461CAAB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w:t>
            </w:r>
          </w:p>
        </w:tc>
        <w:tc>
          <w:tcPr>
            <w:tcW w:w="1476" w:type="dxa"/>
            <w:gridSpan w:val="2"/>
            <w:tcBorders>
              <w:top w:val="nil"/>
              <w:left w:val="nil"/>
              <w:bottom w:val="nil"/>
              <w:right w:val="nil"/>
            </w:tcBorders>
            <w:shd w:val="clear" w:color="auto" w:fill="auto"/>
            <w:noWrap/>
            <w:vAlign w:val="center"/>
            <w:hideMark/>
          </w:tcPr>
          <w:p w14:paraId="54CDABB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5.95%</w:t>
            </w:r>
          </w:p>
        </w:tc>
      </w:tr>
      <w:tr w:rsidR="00F92342" w14:paraId="1BA6CC28"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6AF45E65"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中证信息技术指数收益率</w:t>
            </w:r>
          </w:p>
        </w:tc>
        <w:tc>
          <w:tcPr>
            <w:tcW w:w="1135" w:type="dxa"/>
            <w:tcBorders>
              <w:top w:val="nil"/>
              <w:left w:val="nil"/>
              <w:bottom w:val="nil"/>
              <w:right w:val="nil"/>
            </w:tcBorders>
            <w:shd w:val="clear" w:color="auto" w:fill="auto"/>
            <w:noWrap/>
            <w:vAlign w:val="center"/>
            <w:hideMark/>
          </w:tcPr>
          <w:p w14:paraId="3BD63AA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2495238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75.00%</w:t>
            </w:r>
          </w:p>
        </w:tc>
        <w:tc>
          <w:tcPr>
            <w:tcW w:w="2918" w:type="dxa"/>
            <w:tcBorders>
              <w:top w:val="nil"/>
              <w:left w:val="nil"/>
              <w:bottom w:val="nil"/>
              <w:right w:val="nil"/>
            </w:tcBorders>
            <w:shd w:val="clear" w:color="auto" w:fill="auto"/>
            <w:noWrap/>
            <w:vAlign w:val="center"/>
            <w:hideMark/>
          </w:tcPr>
          <w:p w14:paraId="0880225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中国债券总指数收益率</w:t>
            </w:r>
          </w:p>
        </w:tc>
        <w:tc>
          <w:tcPr>
            <w:tcW w:w="1109" w:type="dxa"/>
            <w:tcBorders>
              <w:top w:val="nil"/>
              <w:left w:val="nil"/>
              <w:bottom w:val="nil"/>
              <w:right w:val="nil"/>
            </w:tcBorders>
            <w:shd w:val="clear" w:color="auto" w:fill="auto"/>
            <w:noWrap/>
            <w:vAlign w:val="center"/>
            <w:hideMark/>
          </w:tcPr>
          <w:p w14:paraId="36B1737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nil"/>
              <w:right w:val="nil"/>
            </w:tcBorders>
            <w:shd w:val="clear" w:color="auto" w:fill="auto"/>
            <w:noWrap/>
            <w:vAlign w:val="center"/>
            <w:hideMark/>
          </w:tcPr>
          <w:p w14:paraId="50A66CB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33.00%</w:t>
            </w:r>
          </w:p>
        </w:tc>
      </w:tr>
      <w:tr w:rsidR="00F92342" w14:paraId="3046A3A2"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68F2DC2B"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中证全指信息技术指数收益率</w:t>
            </w:r>
          </w:p>
        </w:tc>
        <w:tc>
          <w:tcPr>
            <w:tcW w:w="1135" w:type="dxa"/>
            <w:tcBorders>
              <w:top w:val="nil"/>
              <w:left w:val="nil"/>
              <w:bottom w:val="nil"/>
              <w:right w:val="nil"/>
            </w:tcBorders>
            <w:shd w:val="clear" w:color="auto" w:fill="auto"/>
            <w:noWrap/>
            <w:vAlign w:val="center"/>
            <w:hideMark/>
          </w:tcPr>
          <w:p w14:paraId="47F53BF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2609F3C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87.50%</w:t>
            </w:r>
          </w:p>
        </w:tc>
        <w:tc>
          <w:tcPr>
            <w:tcW w:w="2918" w:type="dxa"/>
            <w:tcBorders>
              <w:top w:val="nil"/>
              <w:left w:val="nil"/>
              <w:bottom w:val="nil"/>
              <w:right w:val="nil"/>
            </w:tcBorders>
            <w:shd w:val="clear" w:color="auto" w:fill="auto"/>
            <w:noWrap/>
            <w:vAlign w:val="center"/>
            <w:hideMark/>
          </w:tcPr>
          <w:p w14:paraId="66DA07F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109" w:type="dxa"/>
            <w:tcBorders>
              <w:top w:val="nil"/>
              <w:left w:val="nil"/>
              <w:bottom w:val="nil"/>
              <w:right w:val="nil"/>
            </w:tcBorders>
            <w:shd w:val="clear" w:color="auto" w:fill="auto"/>
            <w:noWrap/>
            <w:vAlign w:val="center"/>
            <w:hideMark/>
          </w:tcPr>
          <w:p w14:paraId="55704D1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nil"/>
              <w:right w:val="nil"/>
            </w:tcBorders>
            <w:shd w:val="clear" w:color="auto" w:fill="auto"/>
            <w:noWrap/>
            <w:vAlign w:val="center"/>
            <w:hideMark/>
          </w:tcPr>
          <w:p w14:paraId="50498A2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31.00%</w:t>
            </w:r>
          </w:p>
        </w:tc>
      </w:tr>
      <w:tr w:rsidR="00F92342" w14:paraId="29C3F17E"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1005C0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中证军工指数收益率</w:t>
            </w:r>
          </w:p>
        </w:tc>
        <w:tc>
          <w:tcPr>
            <w:tcW w:w="1135" w:type="dxa"/>
            <w:tcBorders>
              <w:top w:val="nil"/>
              <w:left w:val="nil"/>
              <w:bottom w:val="nil"/>
              <w:right w:val="nil"/>
            </w:tcBorders>
            <w:shd w:val="clear" w:color="auto" w:fill="auto"/>
            <w:noWrap/>
            <w:vAlign w:val="center"/>
            <w:hideMark/>
          </w:tcPr>
          <w:p w14:paraId="25D7AB7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5DDA118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75.00%</w:t>
            </w:r>
          </w:p>
        </w:tc>
        <w:tc>
          <w:tcPr>
            <w:tcW w:w="2918" w:type="dxa"/>
            <w:tcBorders>
              <w:top w:val="nil"/>
              <w:left w:val="nil"/>
              <w:bottom w:val="nil"/>
              <w:right w:val="nil"/>
            </w:tcBorders>
            <w:shd w:val="clear" w:color="auto" w:fill="auto"/>
            <w:noWrap/>
            <w:vAlign w:val="center"/>
            <w:hideMark/>
          </w:tcPr>
          <w:p w14:paraId="11DE65D2"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109" w:type="dxa"/>
            <w:tcBorders>
              <w:top w:val="nil"/>
              <w:left w:val="nil"/>
              <w:bottom w:val="nil"/>
              <w:right w:val="nil"/>
            </w:tcBorders>
            <w:shd w:val="clear" w:color="auto" w:fill="auto"/>
            <w:noWrap/>
            <w:vAlign w:val="center"/>
            <w:hideMark/>
          </w:tcPr>
          <w:p w14:paraId="1BF4E89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w:t>
            </w:r>
          </w:p>
        </w:tc>
        <w:tc>
          <w:tcPr>
            <w:tcW w:w="1476" w:type="dxa"/>
            <w:gridSpan w:val="2"/>
            <w:tcBorders>
              <w:top w:val="nil"/>
              <w:left w:val="nil"/>
              <w:bottom w:val="nil"/>
              <w:right w:val="nil"/>
            </w:tcBorders>
            <w:shd w:val="clear" w:color="auto" w:fill="auto"/>
            <w:noWrap/>
            <w:vAlign w:val="center"/>
            <w:hideMark/>
          </w:tcPr>
          <w:p w14:paraId="1D8C487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26.11%</w:t>
            </w:r>
          </w:p>
        </w:tc>
      </w:tr>
      <w:tr w:rsidR="00F92342" w14:paraId="0CD6B37F" w14:textId="77777777" w:rsidTr="005038B6">
        <w:trPr>
          <w:trHeight w:val="278"/>
        </w:trPr>
        <w:tc>
          <w:tcPr>
            <w:tcW w:w="2835" w:type="dxa"/>
            <w:gridSpan w:val="2"/>
            <w:tcBorders>
              <w:top w:val="nil"/>
              <w:left w:val="nil"/>
              <w:bottom w:val="single" w:sz="4" w:space="0" w:color="auto"/>
              <w:right w:val="nil"/>
            </w:tcBorders>
            <w:shd w:val="clear" w:color="auto" w:fill="auto"/>
            <w:noWrap/>
            <w:vAlign w:val="center"/>
            <w:hideMark/>
          </w:tcPr>
          <w:p w14:paraId="5D142B77"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700</w:t>
            </w:r>
            <w:r>
              <w:rPr>
                <w:rFonts w:ascii="Arial" w:eastAsia="等线" w:hAnsi="Arial" w:cs="Arial"/>
                <w:b/>
                <w:bCs/>
                <w:color w:val="0F243E"/>
                <w:sz w:val="16"/>
                <w:szCs w:val="16"/>
              </w:rPr>
              <w:t>指数收益率</w:t>
            </w:r>
          </w:p>
        </w:tc>
        <w:tc>
          <w:tcPr>
            <w:tcW w:w="1135" w:type="dxa"/>
            <w:tcBorders>
              <w:top w:val="nil"/>
              <w:left w:val="nil"/>
              <w:bottom w:val="single" w:sz="4" w:space="0" w:color="auto"/>
              <w:right w:val="nil"/>
            </w:tcBorders>
            <w:shd w:val="clear" w:color="auto" w:fill="auto"/>
            <w:noWrap/>
            <w:vAlign w:val="center"/>
            <w:hideMark/>
          </w:tcPr>
          <w:p w14:paraId="69D4530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single" w:sz="4" w:space="0" w:color="auto"/>
              <w:right w:val="nil"/>
            </w:tcBorders>
            <w:shd w:val="clear" w:color="auto" w:fill="auto"/>
            <w:noWrap/>
            <w:vAlign w:val="center"/>
            <w:hideMark/>
          </w:tcPr>
          <w:p w14:paraId="118191A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72.50%</w:t>
            </w:r>
          </w:p>
        </w:tc>
        <w:tc>
          <w:tcPr>
            <w:tcW w:w="2918" w:type="dxa"/>
            <w:tcBorders>
              <w:top w:val="nil"/>
              <w:left w:val="nil"/>
              <w:bottom w:val="single" w:sz="4" w:space="0" w:color="auto"/>
              <w:right w:val="nil"/>
            </w:tcBorders>
            <w:shd w:val="clear" w:color="auto" w:fill="auto"/>
            <w:noWrap/>
            <w:vAlign w:val="center"/>
            <w:hideMark/>
          </w:tcPr>
          <w:p w14:paraId="32BE6FC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恒生指数收益率</w:t>
            </w:r>
          </w:p>
        </w:tc>
        <w:tc>
          <w:tcPr>
            <w:tcW w:w="1109" w:type="dxa"/>
            <w:tcBorders>
              <w:top w:val="nil"/>
              <w:left w:val="nil"/>
              <w:bottom w:val="single" w:sz="4" w:space="0" w:color="auto"/>
              <w:right w:val="nil"/>
            </w:tcBorders>
            <w:shd w:val="clear" w:color="auto" w:fill="auto"/>
            <w:noWrap/>
            <w:vAlign w:val="center"/>
            <w:hideMark/>
          </w:tcPr>
          <w:p w14:paraId="4ED37F5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1476" w:type="dxa"/>
            <w:gridSpan w:val="2"/>
            <w:tcBorders>
              <w:top w:val="nil"/>
              <w:left w:val="nil"/>
              <w:bottom w:val="single" w:sz="4" w:space="0" w:color="auto"/>
              <w:right w:val="nil"/>
            </w:tcBorders>
            <w:shd w:val="clear" w:color="auto" w:fill="auto"/>
            <w:noWrap/>
            <w:vAlign w:val="center"/>
            <w:hideMark/>
          </w:tcPr>
          <w:p w14:paraId="22C8CFC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27.86%</w:t>
            </w:r>
          </w:p>
        </w:tc>
      </w:tr>
      <w:tr w:rsidR="00F92342" w14:paraId="7EA2B9B3"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23B0D233" w14:textId="77777777" w:rsidR="00F92342" w:rsidRDefault="00F92342">
            <w:pPr>
              <w:jc w:val="center"/>
              <w:rPr>
                <w:rFonts w:ascii="楷体_GB2312" w:eastAsia="楷体_GB2312" w:hAnsi="等线" w:cs="宋体"/>
                <w:b/>
                <w:bCs/>
                <w:color w:val="0F243E"/>
                <w:sz w:val="16"/>
                <w:szCs w:val="16"/>
                <w:lang w:eastAsia="zh-CN"/>
              </w:rPr>
            </w:pPr>
            <w:r>
              <w:rPr>
                <w:rFonts w:ascii="楷体_GB2312" w:eastAsia="楷体_GB2312" w:hAnsi="等线" w:hint="eastAsia"/>
                <w:b/>
                <w:bCs/>
                <w:color w:val="0F243E"/>
                <w:sz w:val="16"/>
                <w:szCs w:val="16"/>
                <w:lang w:eastAsia="zh-CN"/>
              </w:rPr>
              <w:t>电工电网行业股指基准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517CB7CE"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38A44C67"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918" w:type="dxa"/>
            <w:tcBorders>
              <w:top w:val="single" w:sz="4" w:space="0" w:color="auto"/>
              <w:left w:val="nil"/>
              <w:bottom w:val="single" w:sz="4" w:space="0" w:color="auto"/>
              <w:right w:val="nil"/>
            </w:tcBorders>
            <w:shd w:val="clear" w:color="auto" w:fill="auto"/>
            <w:noWrap/>
            <w:vAlign w:val="center"/>
            <w:hideMark/>
          </w:tcPr>
          <w:p w14:paraId="1213DAD8" w14:textId="77777777" w:rsidR="00F92342" w:rsidRDefault="00F92342">
            <w:pPr>
              <w:jc w:val="center"/>
              <w:rPr>
                <w:rFonts w:ascii="楷体_GB2312" w:eastAsia="楷体_GB2312" w:hAnsi="等线"/>
                <w:b/>
                <w:bCs/>
                <w:color w:val="0F243E"/>
                <w:sz w:val="16"/>
                <w:szCs w:val="16"/>
                <w:lang w:eastAsia="zh-CN"/>
              </w:rPr>
            </w:pPr>
            <w:r>
              <w:rPr>
                <w:rFonts w:ascii="楷体_GB2312" w:eastAsia="楷体_GB2312" w:hAnsi="等线" w:hint="eastAsia"/>
                <w:b/>
                <w:bCs/>
                <w:color w:val="0F243E"/>
                <w:sz w:val="16"/>
                <w:szCs w:val="16"/>
                <w:lang w:eastAsia="zh-CN"/>
              </w:rPr>
              <w:t>电工电网行业债指基准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1EBF58A1"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2DB7C8E5"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229A8F39"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43BB174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single" w:sz="4" w:space="0" w:color="auto"/>
              <w:left w:val="nil"/>
              <w:bottom w:val="nil"/>
              <w:right w:val="nil"/>
            </w:tcBorders>
            <w:shd w:val="clear" w:color="auto" w:fill="auto"/>
            <w:noWrap/>
            <w:vAlign w:val="center"/>
            <w:hideMark/>
          </w:tcPr>
          <w:p w14:paraId="7B79571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w:t>
            </w:r>
          </w:p>
        </w:tc>
        <w:tc>
          <w:tcPr>
            <w:tcW w:w="1476" w:type="dxa"/>
            <w:tcBorders>
              <w:top w:val="single" w:sz="4" w:space="0" w:color="auto"/>
              <w:left w:val="nil"/>
              <w:bottom w:val="nil"/>
              <w:right w:val="nil"/>
            </w:tcBorders>
            <w:shd w:val="clear" w:color="auto" w:fill="auto"/>
            <w:noWrap/>
            <w:vAlign w:val="center"/>
            <w:hideMark/>
          </w:tcPr>
          <w:p w14:paraId="790FB63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170.16%</w:t>
            </w:r>
          </w:p>
        </w:tc>
        <w:tc>
          <w:tcPr>
            <w:tcW w:w="2918" w:type="dxa"/>
            <w:tcBorders>
              <w:top w:val="single" w:sz="4" w:space="0" w:color="auto"/>
              <w:left w:val="nil"/>
              <w:bottom w:val="nil"/>
              <w:right w:val="nil"/>
            </w:tcBorders>
            <w:shd w:val="clear" w:color="auto" w:fill="auto"/>
            <w:noWrap/>
            <w:vAlign w:val="center"/>
            <w:hideMark/>
          </w:tcPr>
          <w:p w14:paraId="6ACE75A8"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single" w:sz="4" w:space="0" w:color="auto"/>
              <w:left w:val="nil"/>
              <w:bottom w:val="nil"/>
              <w:right w:val="nil"/>
            </w:tcBorders>
            <w:shd w:val="clear" w:color="auto" w:fill="auto"/>
            <w:noWrap/>
            <w:vAlign w:val="center"/>
            <w:hideMark/>
          </w:tcPr>
          <w:p w14:paraId="0D849CD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29</w:t>
            </w:r>
          </w:p>
        </w:tc>
        <w:tc>
          <w:tcPr>
            <w:tcW w:w="1476" w:type="dxa"/>
            <w:gridSpan w:val="2"/>
            <w:tcBorders>
              <w:top w:val="single" w:sz="4" w:space="0" w:color="auto"/>
              <w:left w:val="nil"/>
              <w:bottom w:val="nil"/>
              <w:right w:val="nil"/>
            </w:tcBorders>
            <w:shd w:val="clear" w:color="auto" w:fill="auto"/>
            <w:noWrap/>
            <w:vAlign w:val="center"/>
            <w:hideMark/>
          </w:tcPr>
          <w:p w14:paraId="3382238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25.69%</w:t>
            </w:r>
          </w:p>
        </w:tc>
      </w:tr>
      <w:tr w:rsidR="00F92342" w14:paraId="2E1A9F7A"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E753DA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创业板指数收益率</w:t>
            </w:r>
          </w:p>
        </w:tc>
        <w:tc>
          <w:tcPr>
            <w:tcW w:w="1135" w:type="dxa"/>
            <w:tcBorders>
              <w:top w:val="nil"/>
              <w:left w:val="nil"/>
              <w:bottom w:val="nil"/>
              <w:right w:val="nil"/>
            </w:tcBorders>
            <w:shd w:val="clear" w:color="auto" w:fill="auto"/>
            <w:noWrap/>
            <w:vAlign w:val="center"/>
            <w:hideMark/>
          </w:tcPr>
          <w:p w14:paraId="12C9D44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40</w:t>
            </w:r>
          </w:p>
        </w:tc>
        <w:tc>
          <w:tcPr>
            <w:tcW w:w="1476" w:type="dxa"/>
            <w:tcBorders>
              <w:top w:val="nil"/>
              <w:left w:val="nil"/>
              <w:bottom w:val="nil"/>
              <w:right w:val="nil"/>
            </w:tcBorders>
            <w:shd w:val="clear" w:color="auto" w:fill="auto"/>
            <w:noWrap/>
            <w:vAlign w:val="center"/>
            <w:hideMark/>
          </w:tcPr>
          <w:p w14:paraId="63E187A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71.25%</w:t>
            </w:r>
          </w:p>
        </w:tc>
        <w:tc>
          <w:tcPr>
            <w:tcW w:w="2918" w:type="dxa"/>
            <w:tcBorders>
              <w:top w:val="nil"/>
              <w:left w:val="nil"/>
              <w:bottom w:val="nil"/>
              <w:right w:val="nil"/>
            </w:tcBorders>
            <w:shd w:val="clear" w:color="auto" w:fill="auto"/>
            <w:noWrap/>
            <w:vAlign w:val="center"/>
            <w:hideMark/>
          </w:tcPr>
          <w:p w14:paraId="5E1CEB2D"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1677065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24</w:t>
            </w:r>
          </w:p>
        </w:tc>
        <w:tc>
          <w:tcPr>
            <w:tcW w:w="1476" w:type="dxa"/>
            <w:gridSpan w:val="2"/>
            <w:tcBorders>
              <w:top w:val="nil"/>
              <w:left w:val="nil"/>
              <w:bottom w:val="nil"/>
              <w:right w:val="nil"/>
            </w:tcBorders>
            <w:shd w:val="clear" w:color="auto" w:fill="auto"/>
            <w:noWrap/>
            <w:vAlign w:val="center"/>
            <w:hideMark/>
          </w:tcPr>
          <w:p w14:paraId="6F3A63F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5.83%</w:t>
            </w:r>
          </w:p>
        </w:tc>
      </w:tr>
      <w:tr w:rsidR="00F92342" w14:paraId="428D9F73"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E64D892"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中证新能源汽车指数收益率</w:t>
            </w:r>
          </w:p>
        </w:tc>
        <w:tc>
          <w:tcPr>
            <w:tcW w:w="1135" w:type="dxa"/>
            <w:tcBorders>
              <w:top w:val="nil"/>
              <w:left w:val="nil"/>
              <w:bottom w:val="nil"/>
              <w:right w:val="nil"/>
            </w:tcBorders>
            <w:shd w:val="clear" w:color="auto" w:fill="auto"/>
            <w:noWrap/>
            <w:vAlign w:val="center"/>
            <w:hideMark/>
          </w:tcPr>
          <w:p w14:paraId="0DD53D4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12</w:t>
            </w:r>
          </w:p>
        </w:tc>
        <w:tc>
          <w:tcPr>
            <w:tcW w:w="1476" w:type="dxa"/>
            <w:tcBorders>
              <w:top w:val="nil"/>
              <w:left w:val="nil"/>
              <w:bottom w:val="nil"/>
              <w:right w:val="nil"/>
            </w:tcBorders>
            <w:shd w:val="clear" w:color="auto" w:fill="auto"/>
            <w:noWrap/>
            <w:vAlign w:val="center"/>
            <w:hideMark/>
          </w:tcPr>
          <w:p w14:paraId="489D416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66.25%</w:t>
            </w:r>
          </w:p>
        </w:tc>
        <w:tc>
          <w:tcPr>
            <w:tcW w:w="2918" w:type="dxa"/>
            <w:tcBorders>
              <w:top w:val="nil"/>
              <w:left w:val="nil"/>
              <w:bottom w:val="nil"/>
              <w:right w:val="nil"/>
            </w:tcBorders>
            <w:shd w:val="clear" w:color="auto" w:fill="auto"/>
            <w:noWrap/>
            <w:vAlign w:val="center"/>
            <w:hideMark/>
          </w:tcPr>
          <w:p w14:paraId="53E41B56"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nil"/>
              <w:left w:val="nil"/>
              <w:bottom w:val="nil"/>
              <w:right w:val="nil"/>
            </w:tcBorders>
            <w:shd w:val="clear" w:color="auto" w:fill="auto"/>
            <w:noWrap/>
            <w:vAlign w:val="center"/>
            <w:hideMark/>
          </w:tcPr>
          <w:p w14:paraId="70F98E2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14</w:t>
            </w:r>
          </w:p>
        </w:tc>
        <w:tc>
          <w:tcPr>
            <w:tcW w:w="1476" w:type="dxa"/>
            <w:gridSpan w:val="2"/>
            <w:tcBorders>
              <w:top w:val="nil"/>
              <w:left w:val="nil"/>
              <w:bottom w:val="nil"/>
              <w:right w:val="nil"/>
            </w:tcBorders>
            <w:shd w:val="clear" w:color="auto" w:fill="auto"/>
            <w:noWrap/>
            <w:vAlign w:val="center"/>
            <w:hideMark/>
          </w:tcPr>
          <w:p w14:paraId="30D04FA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31.43%</w:t>
            </w:r>
          </w:p>
        </w:tc>
      </w:tr>
      <w:tr w:rsidR="00F92342" w14:paraId="46FAA9D4"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E2AE56E"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5EB080F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3450023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77.00%</w:t>
            </w:r>
          </w:p>
        </w:tc>
        <w:tc>
          <w:tcPr>
            <w:tcW w:w="2918" w:type="dxa"/>
            <w:tcBorders>
              <w:top w:val="nil"/>
              <w:left w:val="nil"/>
              <w:bottom w:val="nil"/>
              <w:right w:val="nil"/>
            </w:tcBorders>
            <w:shd w:val="clear" w:color="auto" w:fill="auto"/>
            <w:noWrap/>
            <w:vAlign w:val="center"/>
            <w:hideMark/>
          </w:tcPr>
          <w:p w14:paraId="7C72795B"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4EA695C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17</w:t>
            </w:r>
          </w:p>
        </w:tc>
        <w:tc>
          <w:tcPr>
            <w:tcW w:w="1476" w:type="dxa"/>
            <w:gridSpan w:val="2"/>
            <w:tcBorders>
              <w:top w:val="nil"/>
              <w:left w:val="nil"/>
              <w:bottom w:val="nil"/>
              <w:right w:val="nil"/>
            </w:tcBorders>
            <w:shd w:val="clear" w:color="auto" w:fill="auto"/>
            <w:noWrap/>
            <w:vAlign w:val="center"/>
            <w:hideMark/>
          </w:tcPr>
          <w:p w14:paraId="67CD386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5.59%</w:t>
            </w:r>
          </w:p>
        </w:tc>
      </w:tr>
      <w:tr w:rsidR="00F92342" w14:paraId="3CB03580"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9520A0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创业板</w:t>
            </w:r>
            <w:r>
              <w:rPr>
                <w:rFonts w:ascii="Arial" w:eastAsia="等线" w:hAnsi="Arial" w:cs="Arial"/>
                <w:b/>
                <w:bCs/>
                <w:color w:val="0F243E"/>
                <w:sz w:val="16"/>
                <w:szCs w:val="16"/>
              </w:rPr>
              <w:t>50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7B566F9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w:t>
            </w:r>
          </w:p>
        </w:tc>
        <w:tc>
          <w:tcPr>
            <w:tcW w:w="1476" w:type="dxa"/>
            <w:tcBorders>
              <w:top w:val="nil"/>
              <w:left w:val="nil"/>
              <w:bottom w:val="nil"/>
              <w:right w:val="nil"/>
            </w:tcBorders>
            <w:shd w:val="clear" w:color="auto" w:fill="auto"/>
            <w:noWrap/>
            <w:vAlign w:val="center"/>
            <w:hideMark/>
          </w:tcPr>
          <w:p w14:paraId="3E052DD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79.17%</w:t>
            </w:r>
          </w:p>
        </w:tc>
        <w:tc>
          <w:tcPr>
            <w:tcW w:w="2918" w:type="dxa"/>
            <w:tcBorders>
              <w:top w:val="nil"/>
              <w:left w:val="nil"/>
              <w:bottom w:val="nil"/>
              <w:right w:val="nil"/>
            </w:tcBorders>
            <w:shd w:val="clear" w:color="auto" w:fill="auto"/>
            <w:noWrap/>
            <w:vAlign w:val="center"/>
            <w:hideMark/>
          </w:tcPr>
          <w:p w14:paraId="67BD1794"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5C3E6D9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nil"/>
              <w:right w:val="nil"/>
            </w:tcBorders>
            <w:shd w:val="clear" w:color="auto" w:fill="auto"/>
            <w:noWrap/>
            <w:vAlign w:val="center"/>
            <w:hideMark/>
          </w:tcPr>
          <w:p w14:paraId="620032F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34.00%</w:t>
            </w:r>
          </w:p>
        </w:tc>
      </w:tr>
      <w:tr w:rsidR="00F92342" w14:paraId="2E636558"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F014E6F"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中国战略新兴产业成份指数收益率</w:t>
            </w:r>
          </w:p>
        </w:tc>
        <w:tc>
          <w:tcPr>
            <w:tcW w:w="1135" w:type="dxa"/>
            <w:tcBorders>
              <w:top w:val="nil"/>
              <w:left w:val="nil"/>
              <w:bottom w:val="nil"/>
              <w:right w:val="nil"/>
            </w:tcBorders>
            <w:shd w:val="clear" w:color="auto" w:fill="auto"/>
            <w:noWrap/>
            <w:vAlign w:val="center"/>
            <w:hideMark/>
          </w:tcPr>
          <w:p w14:paraId="002AD77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06997DC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76.00%</w:t>
            </w:r>
          </w:p>
        </w:tc>
        <w:tc>
          <w:tcPr>
            <w:tcW w:w="2918" w:type="dxa"/>
            <w:tcBorders>
              <w:top w:val="nil"/>
              <w:left w:val="nil"/>
              <w:bottom w:val="nil"/>
              <w:right w:val="nil"/>
            </w:tcBorders>
            <w:shd w:val="clear" w:color="auto" w:fill="auto"/>
            <w:noWrap/>
            <w:vAlign w:val="center"/>
            <w:hideMark/>
          </w:tcPr>
          <w:p w14:paraId="4979F017"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1109" w:type="dxa"/>
            <w:tcBorders>
              <w:top w:val="nil"/>
              <w:left w:val="nil"/>
              <w:bottom w:val="nil"/>
              <w:right w:val="nil"/>
            </w:tcBorders>
            <w:shd w:val="clear" w:color="auto" w:fill="auto"/>
            <w:noWrap/>
            <w:vAlign w:val="center"/>
            <w:hideMark/>
          </w:tcPr>
          <w:p w14:paraId="65FC733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gridSpan w:val="2"/>
            <w:tcBorders>
              <w:top w:val="nil"/>
              <w:left w:val="nil"/>
              <w:bottom w:val="nil"/>
              <w:right w:val="nil"/>
            </w:tcBorders>
            <w:shd w:val="clear" w:color="auto" w:fill="auto"/>
            <w:noWrap/>
            <w:vAlign w:val="center"/>
            <w:hideMark/>
          </w:tcPr>
          <w:p w14:paraId="20DBE16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26.25%</w:t>
            </w:r>
          </w:p>
        </w:tc>
      </w:tr>
      <w:tr w:rsidR="00F92342" w14:paraId="01FE8E85"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6339F8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中证环保产业指数收益率</w:t>
            </w:r>
          </w:p>
        </w:tc>
        <w:tc>
          <w:tcPr>
            <w:tcW w:w="1135" w:type="dxa"/>
            <w:tcBorders>
              <w:top w:val="nil"/>
              <w:left w:val="nil"/>
              <w:bottom w:val="nil"/>
              <w:right w:val="nil"/>
            </w:tcBorders>
            <w:shd w:val="clear" w:color="auto" w:fill="auto"/>
            <w:noWrap/>
            <w:vAlign w:val="center"/>
            <w:hideMark/>
          </w:tcPr>
          <w:p w14:paraId="757C17F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34AF7C3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82.00%</w:t>
            </w:r>
          </w:p>
        </w:tc>
        <w:tc>
          <w:tcPr>
            <w:tcW w:w="2918" w:type="dxa"/>
            <w:tcBorders>
              <w:top w:val="nil"/>
              <w:left w:val="nil"/>
              <w:bottom w:val="nil"/>
              <w:right w:val="nil"/>
            </w:tcBorders>
            <w:shd w:val="clear" w:color="auto" w:fill="auto"/>
            <w:noWrap/>
            <w:vAlign w:val="center"/>
            <w:hideMark/>
          </w:tcPr>
          <w:p w14:paraId="4B3C8FE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中国债券总指数收益率</w:t>
            </w:r>
          </w:p>
        </w:tc>
        <w:tc>
          <w:tcPr>
            <w:tcW w:w="1109" w:type="dxa"/>
            <w:tcBorders>
              <w:top w:val="nil"/>
              <w:left w:val="nil"/>
              <w:bottom w:val="nil"/>
              <w:right w:val="nil"/>
            </w:tcBorders>
            <w:shd w:val="clear" w:color="auto" w:fill="auto"/>
            <w:noWrap/>
            <w:vAlign w:val="center"/>
            <w:hideMark/>
          </w:tcPr>
          <w:p w14:paraId="6D69C03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gridSpan w:val="2"/>
            <w:tcBorders>
              <w:top w:val="nil"/>
              <w:left w:val="nil"/>
              <w:bottom w:val="nil"/>
              <w:right w:val="nil"/>
            </w:tcBorders>
            <w:shd w:val="clear" w:color="auto" w:fill="auto"/>
            <w:noWrap/>
            <w:vAlign w:val="center"/>
            <w:hideMark/>
          </w:tcPr>
          <w:p w14:paraId="0D01329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28.75%</w:t>
            </w:r>
          </w:p>
        </w:tc>
      </w:tr>
      <w:tr w:rsidR="00F92342" w14:paraId="1C68F30E"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DAE389E"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中证新能源汽车产业指数收益率</w:t>
            </w:r>
          </w:p>
        </w:tc>
        <w:tc>
          <w:tcPr>
            <w:tcW w:w="1135" w:type="dxa"/>
            <w:tcBorders>
              <w:top w:val="nil"/>
              <w:left w:val="nil"/>
              <w:bottom w:val="nil"/>
              <w:right w:val="nil"/>
            </w:tcBorders>
            <w:shd w:val="clear" w:color="auto" w:fill="auto"/>
            <w:noWrap/>
            <w:vAlign w:val="center"/>
            <w:hideMark/>
          </w:tcPr>
          <w:p w14:paraId="3FBED6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174ADE1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74.00%</w:t>
            </w:r>
          </w:p>
        </w:tc>
        <w:tc>
          <w:tcPr>
            <w:tcW w:w="2918" w:type="dxa"/>
            <w:tcBorders>
              <w:top w:val="nil"/>
              <w:left w:val="nil"/>
              <w:bottom w:val="nil"/>
              <w:right w:val="nil"/>
            </w:tcBorders>
            <w:shd w:val="clear" w:color="auto" w:fill="auto"/>
            <w:noWrap/>
            <w:vAlign w:val="center"/>
            <w:hideMark/>
          </w:tcPr>
          <w:p w14:paraId="2E35D518"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中债综合指数收益率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全价</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623CC5E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1476" w:type="dxa"/>
            <w:gridSpan w:val="2"/>
            <w:tcBorders>
              <w:top w:val="nil"/>
              <w:left w:val="nil"/>
              <w:bottom w:val="nil"/>
              <w:right w:val="nil"/>
            </w:tcBorders>
            <w:shd w:val="clear" w:color="auto" w:fill="auto"/>
            <w:noWrap/>
            <w:vAlign w:val="center"/>
            <w:hideMark/>
          </w:tcPr>
          <w:p w14:paraId="5081BE2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27.14%</w:t>
            </w:r>
          </w:p>
        </w:tc>
      </w:tr>
      <w:tr w:rsidR="00F92342" w14:paraId="572C1A00"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0141107E"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中证新能源指数收益率</w:t>
            </w:r>
          </w:p>
        </w:tc>
        <w:tc>
          <w:tcPr>
            <w:tcW w:w="1135" w:type="dxa"/>
            <w:tcBorders>
              <w:top w:val="nil"/>
              <w:left w:val="nil"/>
              <w:bottom w:val="nil"/>
              <w:right w:val="nil"/>
            </w:tcBorders>
            <w:shd w:val="clear" w:color="auto" w:fill="auto"/>
            <w:noWrap/>
            <w:vAlign w:val="center"/>
            <w:hideMark/>
          </w:tcPr>
          <w:p w14:paraId="3822724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1C87436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52.50%</w:t>
            </w:r>
          </w:p>
        </w:tc>
        <w:tc>
          <w:tcPr>
            <w:tcW w:w="2918" w:type="dxa"/>
            <w:tcBorders>
              <w:top w:val="nil"/>
              <w:left w:val="nil"/>
              <w:bottom w:val="nil"/>
              <w:right w:val="nil"/>
            </w:tcBorders>
            <w:shd w:val="clear" w:color="auto" w:fill="auto"/>
            <w:noWrap/>
            <w:vAlign w:val="center"/>
            <w:hideMark/>
          </w:tcPr>
          <w:p w14:paraId="0C32509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恒生指数收益率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使用估值汇率折算</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0149855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7C8D636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20.00%</w:t>
            </w:r>
          </w:p>
        </w:tc>
      </w:tr>
      <w:tr w:rsidR="00F92342" w14:paraId="21D21B4D" w14:textId="77777777" w:rsidTr="005038B6">
        <w:trPr>
          <w:trHeight w:val="278"/>
        </w:trPr>
        <w:tc>
          <w:tcPr>
            <w:tcW w:w="2835" w:type="dxa"/>
            <w:gridSpan w:val="2"/>
            <w:tcBorders>
              <w:top w:val="nil"/>
              <w:left w:val="nil"/>
              <w:bottom w:val="single" w:sz="4" w:space="0" w:color="auto"/>
              <w:right w:val="nil"/>
            </w:tcBorders>
            <w:shd w:val="clear" w:color="auto" w:fill="auto"/>
            <w:noWrap/>
            <w:vAlign w:val="center"/>
            <w:hideMark/>
          </w:tcPr>
          <w:p w14:paraId="51EE497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中证内地低碳经济主题指数收益率</w:t>
            </w:r>
          </w:p>
        </w:tc>
        <w:tc>
          <w:tcPr>
            <w:tcW w:w="1135" w:type="dxa"/>
            <w:tcBorders>
              <w:top w:val="nil"/>
              <w:left w:val="nil"/>
              <w:bottom w:val="single" w:sz="4" w:space="0" w:color="auto"/>
              <w:right w:val="nil"/>
            </w:tcBorders>
            <w:shd w:val="clear" w:color="auto" w:fill="auto"/>
            <w:noWrap/>
            <w:vAlign w:val="center"/>
            <w:hideMark/>
          </w:tcPr>
          <w:p w14:paraId="3D844CE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single" w:sz="4" w:space="0" w:color="auto"/>
              <w:right w:val="nil"/>
            </w:tcBorders>
            <w:shd w:val="clear" w:color="auto" w:fill="auto"/>
            <w:noWrap/>
            <w:vAlign w:val="center"/>
            <w:hideMark/>
          </w:tcPr>
          <w:p w14:paraId="178797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80.00%</w:t>
            </w:r>
          </w:p>
        </w:tc>
        <w:tc>
          <w:tcPr>
            <w:tcW w:w="2918" w:type="dxa"/>
            <w:tcBorders>
              <w:top w:val="nil"/>
              <w:left w:val="nil"/>
              <w:bottom w:val="single" w:sz="4" w:space="0" w:color="auto"/>
              <w:right w:val="nil"/>
            </w:tcBorders>
            <w:shd w:val="clear" w:color="auto" w:fill="auto"/>
            <w:noWrap/>
            <w:vAlign w:val="center"/>
            <w:hideMark/>
          </w:tcPr>
          <w:p w14:paraId="47BFA850"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109" w:type="dxa"/>
            <w:tcBorders>
              <w:top w:val="nil"/>
              <w:left w:val="nil"/>
              <w:bottom w:val="single" w:sz="4" w:space="0" w:color="auto"/>
              <w:right w:val="nil"/>
            </w:tcBorders>
            <w:shd w:val="clear" w:color="auto" w:fill="auto"/>
            <w:noWrap/>
            <w:vAlign w:val="center"/>
            <w:hideMark/>
          </w:tcPr>
          <w:p w14:paraId="1EA8CE6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single" w:sz="4" w:space="0" w:color="auto"/>
              <w:right w:val="nil"/>
            </w:tcBorders>
            <w:shd w:val="clear" w:color="auto" w:fill="auto"/>
            <w:noWrap/>
            <w:vAlign w:val="center"/>
            <w:hideMark/>
          </w:tcPr>
          <w:p w14:paraId="4D03B20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26.00%</w:t>
            </w:r>
          </w:p>
        </w:tc>
      </w:tr>
      <w:tr w:rsidR="00F92342" w14:paraId="4A359AF4"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146E2182" w14:textId="77777777" w:rsidR="00F92342" w:rsidRDefault="00F92342">
            <w:pPr>
              <w:jc w:val="center"/>
              <w:rPr>
                <w:rFonts w:ascii="楷体_GB2312" w:eastAsia="楷体_GB2312" w:hAnsi="等线" w:cs="宋体"/>
                <w:b/>
                <w:bCs/>
                <w:color w:val="0F243E"/>
                <w:sz w:val="16"/>
                <w:szCs w:val="16"/>
              </w:rPr>
            </w:pPr>
            <w:r>
              <w:rPr>
                <w:rFonts w:ascii="楷体_GB2312" w:eastAsia="楷体_GB2312" w:hAnsi="等线" w:hint="eastAsia"/>
                <w:b/>
                <w:bCs/>
                <w:color w:val="0F243E"/>
                <w:sz w:val="16"/>
                <w:szCs w:val="16"/>
              </w:rPr>
              <w:t>半导体行业股指基准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6008251B"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33847572"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918" w:type="dxa"/>
            <w:tcBorders>
              <w:top w:val="single" w:sz="4" w:space="0" w:color="auto"/>
              <w:left w:val="nil"/>
              <w:bottom w:val="single" w:sz="4" w:space="0" w:color="auto"/>
              <w:right w:val="nil"/>
            </w:tcBorders>
            <w:shd w:val="clear" w:color="auto" w:fill="auto"/>
            <w:noWrap/>
            <w:vAlign w:val="center"/>
            <w:hideMark/>
          </w:tcPr>
          <w:p w14:paraId="7B9A5AD2"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半导体行业债指基准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6B9B2445"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39CB602E"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44D345BD"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05865F1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single" w:sz="4" w:space="0" w:color="auto"/>
              <w:left w:val="nil"/>
              <w:bottom w:val="nil"/>
              <w:right w:val="nil"/>
            </w:tcBorders>
            <w:shd w:val="clear" w:color="auto" w:fill="auto"/>
            <w:noWrap/>
            <w:vAlign w:val="center"/>
            <w:hideMark/>
          </w:tcPr>
          <w:p w14:paraId="0EFB47D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w:t>
            </w:r>
          </w:p>
        </w:tc>
        <w:tc>
          <w:tcPr>
            <w:tcW w:w="1476" w:type="dxa"/>
            <w:tcBorders>
              <w:top w:val="single" w:sz="4" w:space="0" w:color="auto"/>
              <w:left w:val="nil"/>
              <w:bottom w:val="nil"/>
              <w:right w:val="nil"/>
            </w:tcBorders>
            <w:shd w:val="clear" w:color="auto" w:fill="auto"/>
            <w:noWrap/>
            <w:vAlign w:val="center"/>
            <w:hideMark/>
          </w:tcPr>
          <w:p w14:paraId="58FF729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64.19%</w:t>
            </w:r>
          </w:p>
        </w:tc>
        <w:tc>
          <w:tcPr>
            <w:tcW w:w="2918" w:type="dxa"/>
            <w:tcBorders>
              <w:top w:val="single" w:sz="4" w:space="0" w:color="auto"/>
              <w:left w:val="nil"/>
              <w:bottom w:val="nil"/>
              <w:right w:val="nil"/>
            </w:tcBorders>
            <w:shd w:val="clear" w:color="auto" w:fill="auto"/>
            <w:noWrap/>
            <w:vAlign w:val="center"/>
            <w:hideMark/>
          </w:tcPr>
          <w:p w14:paraId="5ADD1919"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single" w:sz="4" w:space="0" w:color="auto"/>
              <w:left w:val="nil"/>
              <w:bottom w:val="nil"/>
              <w:right w:val="nil"/>
            </w:tcBorders>
            <w:shd w:val="clear" w:color="auto" w:fill="auto"/>
            <w:noWrap/>
            <w:vAlign w:val="center"/>
            <w:hideMark/>
          </w:tcPr>
          <w:p w14:paraId="6F18BE0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w:t>
            </w:r>
          </w:p>
        </w:tc>
        <w:tc>
          <w:tcPr>
            <w:tcW w:w="1476" w:type="dxa"/>
            <w:gridSpan w:val="2"/>
            <w:tcBorders>
              <w:top w:val="single" w:sz="4" w:space="0" w:color="auto"/>
              <w:left w:val="nil"/>
              <w:bottom w:val="nil"/>
              <w:right w:val="nil"/>
            </w:tcBorders>
            <w:shd w:val="clear" w:color="auto" w:fill="auto"/>
            <w:noWrap/>
            <w:vAlign w:val="center"/>
            <w:hideMark/>
          </w:tcPr>
          <w:p w14:paraId="233F0C9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32.19%</w:t>
            </w:r>
          </w:p>
        </w:tc>
      </w:tr>
      <w:tr w:rsidR="00F92342" w14:paraId="79DC9F6A"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8273CA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144F8A9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11</w:t>
            </w:r>
          </w:p>
        </w:tc>
        <w:tc>
          <w:tcPr>
            <w:tcW w:w="1476" w:type="dxa"/>
            <w:tcBorders>
              <w:top w:val="nil"/>
              <w:left w:val="nil"/>
              <w:bottom w:val="nil"/>
              <w:right w:val="nil"/>
            </w:tcBorders>
            <w:shd w:val="clear" w:color="auto" w:fill="auto"/>
            <w:noWrap/>
            <w:vAlign w:val="center"/>
            <w:hideMark/>
          </w:tcPr>
          <w:p w14:paraId="4A84C9A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69.55%</w:t>
            </w:r>
          </w:p>
        </w:tc>
        <w:tc>
          <w:tcPr>
            <w:tcW w:w="2918" w:type="dxa"/>
            <w:tcBorders>
              <w:top w:val="nil"/>
              <w:left w:val="nil"/>
              <w:bottom w:val="nil"/>
              <w:right w:val="nil"/>
            </w:tcBorders>
            <w:shd w:val="clear" w:color="auto" w:fill="auto"/>
            <w:noWrap/>
            <w:vAlign w:val="center"/>
            <w:hideMark/>
          </w:tcPr>
          <w:p w14:paraId="6338DCBD"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nil"/>
              <w:left w:val="nil"/>
              <w:bottom w:val="nil"/>
              <w:right w:val="nil"/>
            </w:tcBorders>
            <w:shd w:val="clear" w:color="auto" w:fill="auto"/>
            <w:noWrap/>
            <w:vAlign w:val="center"/>
            <w:hideMark/>
          </w:tcPr>
          <w:p w14:paraId="17792D0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27</w:t>
            </w:r>
          </w:p>
        </w:tc>
        <w:tc>
          <w:tcPr>
            <w:tcW w:w="1476" w:type="dxa"/>
            <w:gridSpan w:val="2"/>
            <w:tcBorders>
              <w:top w:val="nil"/>
              <w:left w:val="nil"/>
              <w:bottom w:val="nil"/>
              <w:right w:val="nil"/>
            </w:tcBorders>
            <w:shd w:val="clear" w:color="auto" w:fill="auto"/>
            <w:noWrap/>
            <w:vAlign w:val="center"/>
            <w:hideMark/>
          </w:tcPr>
          <w:p w14:paraId="1EC154B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28.70%</w:t>
            </w:r>
          </w:p>
        </w:tc>
      </w:tr>
      <w:tr w:rsidR="00F92342" w14:paraId="70F14BA7"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FDC8DA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中国战略新兴产业成份指数收益率</w:t>
            </w:r>
          </w:p>
        </w:tc>
        <w:tc>
          <w:tcPr>
            <w:tcW w:w="1135" w:type="dxa"/>
            <w:tcBorders>
              <w:top w:val="nil"/>
              <w:left w:val="nil"/>
              <w:bottom w:val="nil"/>
              <w:right w:val="nil"/>
            </w:tcBorders>
            <w:shd w:val="clear" w:color="auto" w:fill="auto"/>
            <w:noWrap/>
            <w:vAlign w:val="center"/>
            <w:hideMark/>
          </w:tcPr>
          <w:p w14:paraId="6B33527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2AEEFF9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64.00%</w:t>
            </w:r>
          </w:p>
        </w:tc>
        <w:tc>
          <w:tcPr>
            <w:tcW w:w="2918" w:type="dxa"/>
            <w:tcBorders>
              <w:top w:val="nil"/>
              <w:left w:val="nil"/>
              <w:bottom w:val="nil"/>
              <w:right w:val="nil"/>
            </w:tcBorders>
            <w:shd w:val="clear" w:color="auto" w:fill="auto"/>
            <w:noWrap/>
            <w:vAlign w:val="center"/>
            <w:hideMark/>
          </w:tcPr>
          <w:p w14:paraId="2DD0EB00"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1109" w:type="dxa"/>
            <w:tcBorders>
              <w:top w:val="nil"/>
              <w:left w:val="nil"/>
              <w:bottom w:val="nil"/>
              <w:right w:val="nil"/>
            </w:tcBorders>
            <w:shd w:val="clear" w:color="auto" w:fill="auto"/>
            <w:noWrap/>
            <w:vAlign w:val="center"/>
            <w:hideMark/>
          </w:tcPr>
          <w:p w14:paraId="42D424F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w:t>
            </w:r>
          </w:p>
        </w:tc>
        <w:tc>
          <w:tcPr>
            <w:tcW w:w="1476" w:type="dxa"/>
            <w:gridSpan w:val="2"/>
            <w:tcBorders>
              <w:top w:val="nil"/>
              <w:left w:val="nil"/>
              <w:bottom w:val="nil"/>
              <w:right w:val="nil"/>
            </w:tcBorders>
            <w:shd w:val="clear" w:color="auto" w:fill="auto"/>
            <w:noWrap/>
            <w:vAlign w:val="center"/>
            <w:hideMark/>
          </w:tcPr>
          <w:p w14:paraId="5F9BA40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41.19%</w:t>
            </w:r>
          </w:p>
        </w:tc>
      </w:tr>
      <w:tr w:rsidR="00F92342" w14:paraId="737B4506"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3F04A10"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lastRenderedPageBreak/>
              <w:t>中证</w:t>
            </w:r>
            <w:r>
              <w:rPr>
                <w:rFonts w:ascii="Arial" w:eastAsia="等线" w:hAnsi="Arial" w:cs="Arial"/>
                <w:b/>
                <w:bCs/>
                <w:color w:val="0F243E"/>
                <w:sz w:val="16"/>
                <w:szCs w:val="16"/>
                <w:lang w:eastAsia="zh-CN"/>
              </w:rPr>
              <w:t>TMT</w:t>
            </w:r>
            <w:r>
              <w:rPr>
                <w:rFonts w:ascii="Arial" w:eastAsia="等线" w:hAnsi="Arial" w:cs="Arial"/>
                <w:b/>
                <w:bCs/>
                <w:color w:val="0F243E"/>
                <w:sz w:val="16"/>
                <w:szCs w:val="16"/>
                <w:lang w:eastAsia="zh-CN"/>
              </w:rPr>
              <w:t>产业主题指数收益率</w:t>
            </w:r>
          </w:p>
        </w:tc>
        <w:tc>
          <w:tcPr>
            <w:tcW w:w="1135" w:type="dxa"/>
            <w:tcBorders>
              <w:top w:val="nil"/>
              <w:left w:val="nil"/>
              <w:bottom w:val="nil"/>
              <w:right w:val="nil"/>
            </w:tcBorders>
            <w:shd w:val="clear" w:color="auto" w:fill="auto"/>
            <w:noWrap/>
            <w:vAlign w:val="center"/>
            <w:hideMark/>
          </w:tcPr>
          <w:p w14:paraId="6456468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5CDC15C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67.00%</w:t>
            </w:r>
          </w:p>
        </w:tc>
        <w:tc>
          <w:tcPr>
            <w:tcW w:w="2918" w:type="dxa"/>
            <w:tcBorders>
              <w:top w:val="nil"/>
              <w:left w:val="nil"/>
              <w:bottom w:val="nil"/>
              <w:right w:val="nil"/>
            </w:tcBorders>
            <w:shd w:val="clear" w:color="auto" w:fill="auto"/>
            <w:noWrap/>
            <w:vAlign w:val="center"/>
            <w:hideMark/>
          </w:tcPr>
          <w:p w14:paraId="023CA61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6BBBE98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12</w:t>
            </w:r>
          </w:p>
        </w:tc>
        <w:tc>
          <w:tcPr>
            <w:tcW w:w="1476" w:type="dxa"/>
            <w:gridSpan w:val="2"/>
            <w:tcBorders>
              <w:top w:val="nil"/>
              <w:left w:val="nil"/>
              <w:bottom w:val="nil"/>
              <w:right w:val="nil"/>
            </w:tcBorders>
            <w:shd w:val="clear" w:color="auto" w:fill="auto"/>
            <w:noWrap/>
            <w:vAlign w:val="center"/>
            <w:hideMark/>
          </w:tcPr>
          <w:p w14:paraId="22FA32C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5.83%</w:t>
            </w:r>
          </w:p>
        </w:tc>
      </w:tr>
      <w:tr w:rsidR="00F92342" w14:paraId="41847833"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B13E89F"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w:t>
            </w:r>
            <w:r>
              <w:rPr>
                <w:rFonts w:ascii="Arial" w:eastAsia="等线" w:hAnsi="Arial" w:cs="Arial"/>
                <w:b/>
                <w:bCs/>
                <w:color w:val="0F243E"/>
                <w:sz w:val="16"/>
                <w:szCs w:val="16"/>
                <w:lang w:eastAsia="zh-CN"/>
              </w:rPr>
              <w:t>5G</w:t>
            </w:r>
            <w:r>
              <w:rPr>
                <w:rFonts w:ascii="Arial" w:eastAsia="等线" w:hAnsi="Arial" w:cs="Arial"/>
                <w:b/>
                <w:bCs/>
                <w:color w:val="0F243E"/>
                <w:sz w:val="16"/>
                <w:szCs w:val="16"/>
                <w:lang w:eastAsia="zh-CN"/>
              </w:rPr>
              <w:t>通信主题指数收益率</w:t>
            </w:r>
          </w:p>
        </w:tc>
        <w:tc>
          <w:tcPr>
            <w:tcW w:w="1135" w:type="dxa"/>
            <w:tcBorders>
              <w:top w:val="nil"/>
              <w:left w:val="nil"/>
              <w:bottom w:val="nil"/>
              <w:right w:val="nil"/>
            </w:tcBorders>
            <w:shd w:val="clear" w:color="auto" w:fill="auto"/>
            <w:noWrap/>
            <w:vAlign w:val="center"/>
            <w:hideMark/>
          </w:tcPr>
          <w:p w14:paraId="25CFF5E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3619661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76.00%</w:t>
            </w:r>
          </w:p>
        </w:tc>
        <w:tc>
          <w:tcPr>
            <w:tcW w:w="2918" w:type="dxa"/>
            <w:tcBorders>
              <w:top w:val="nil"/>
              <w:left w:val="nil"/>
              <w:bottom w:val="nil"/>
              <w:right w:val="nil"/>
            </w:tcBorders>
            <w:shd w:val="clear" w:color="auto" w:fill="auto"/>
            <w:noWrap/>
            <w:vAlign w:val="center"/>
            <w:hideMark/>
          </w:tcPr>
          <w:p w14:paraId="076EBC5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3E3C986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35B024E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26.00%</w:t>
            </w:r>
          </w:p>
        </w:tc>
      </w:tr>
      <w:tr w:rsidR="00F92342" w14:paraId="0CF53565"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120424E8"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国证半导体芯片指数收益率</w:t>
            </w:r>
          </w:p>
        </w:tc>
        <w:tc>
          <w:tcPr>
            <w:tcW w:w="1135" w:type="dxa"/>
            <w:tcBorders>
              <w:top w:val="nil"/>
              <w:left w:val="nil"/>
              <w:bottom w:val="nil"/>
              <w:right w:val="nil"/>
            </w:tcBorders>
            <w:shd w:val="clear" w:color="auto" w:fill="auto"/>
            <w:noWrap/>
            <w:vAlign w:val="center"/>
            <w:hideMark/>
          </w:tcPr>
          <w:p w14:paraId="44088CB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170BC17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38.00%</w:t>
            </w:r>
          </w:p>
        </w:tc>
        <w:tc>
          <w:tcPr>
            <w:tcW w:w="2918" w:type="dxa"/>
            <w:tcBorders>
              <w:top w:val="nil"/>
              <w:left w:val="nil"/>
              <w:bottom w:val="nil"/>
              <w:right w:val="nil"/>
            </w:tcBorders>
            <w:shd w:val="clear" w:color="auto" w:fill="auto"/>
            <w:noWrap/>
            <w:vAlign w:val="center"/>
            <w:hideMark/>
          </w:tcPr>
          <w:p w14:paraId="3909E2C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中债综合财富指数收益率</w:t>
            </w:r>
          </w:p>
        </w:tc>
        <w:tc>
          <w:tcPr>
            <w:tcW w:w="1109" w:type="dxa"/>
            <w:tcBorders>
              <w:top w:val="nil"/>
              <w:left w:val="nil"/>
              <w:bottom w:val="nil"/>
              <w:right w:val="nil"/>
            </w:tcBorders>
            <w:shd w:val="clear" w:color="auto" w:fill="auto"/>
            <w:noWrap/>
            <w:vAlign w:val="center"/>
            <w:hideMark/>
          </w:tcPr>
          <w:p w14:paraId="4B4D990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7AF465E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42.00%</w:t>
            </w:r>
          </w:p>
        </w:tc>
      </w:tr>
      <w:tr w:rsidR="00F92342" w14:paraId="77E82D3B"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60E1046"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中证新能源指数收益率</w:t>
            </w:r>
          </w:p>
        </w:tc>
        <w:tc>
          <w:tcPr>
            <w:tcW w:w="1135" w:type="dxa"/>
            <w:tcBorders>
              <w:top w:val="nil"/>
              <w:left w:val="nil"/>
              <w:bottom w:val="nil"/>
              <w:right w:val="nil"/>
            </w:tcBorders>
            <w:shd w:val="clear" w:color="auto" w:fill="auto"/>
            <w:noWrap/>
            <w:vAlign w:val="center"/>
            <w:hideMark/>
          </w:tcPr>
          <w:p w14:paraId="54932A3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2CC66EB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68.75%</w:t>
            </w:r>
          </w:p>
        </w:tc>
        <w:tc>
          <w:tcPr>
            <w:tcW w:w="2918" w:type="dxa"/>
            <w:tcBorders>
              <w:top w:val="nil"/>
              <w:left w:val="nil"/>
              <w:bottom w:val="nil"/>
              <w:right w:val="nil"/>
            </w:tcBorders>
            <w:shd w:val="clear" w:color="auto" w:fill="auto"/>
            <w:noWrap/>
            <w:vAlign w:val="center"/>
            <w:hideMark/>
          </w:tcPr>
          <w:p w14:paraId="539174C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中债总全价指数收益率</w:t>
            </w:r>
          </w:p>
        </w:tc>
        <w:tc>
          <w:tcPr>
            <w:tcW w:w="1109" w:type="dxa"/>
            <w:tcBorders>
              <w:top w:val="nil"/>
              <w:left w:val="nil"/>
              <w:bottom w:val="nil"/>
              <w:right w:val="nil"/>
            </w:tcBorders>
            <w:shd w:val="clear" w:color="auto" w:fill="auto"/>
            <w:noWrap/>
            <w:vAlign w:val="center"/>
            <w:hideMark/>
          </w:tcPr>
          <w:p w14:paraId="0E3A1FD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66E4F06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32.00%</w:t>
            </w:r>
          </w:p>
        </w:tc>
      </w:tr>
      <w:tr w:rsidR="00F92342" w14:paraId="08B36902"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11C340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中证高端装备制造指数收益率</w:t>
            </w:r>
          </w:p>
        </w:tc>
        <w:tc>
          <w:tcPr>
            <w:tcW w:w="1135" w:type="dxa"/>
            <w:tcBorders>
              <w:top w:val="nil"/>
              <w:left w:val="nil"/>
              <w:bottom w:val="nil"/>
              <w:right w:val="nil"/>
            </w:tcBorders>
            <w:shd w:val="clear" w:color="auto" w:fill="auto"/>
            <w:noWrap/>
            <w:vAlign w:val="center"/>
            <w:hideMark/>
          </w:tcPr>
          <w:p w14:paraId="5204091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7FDCB0E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86.25%</w:t>
            </w:r>
          </w:p>
        </w:tc>
        <w:tc>
          <w:tcPr>
            <w:tcW w:w="2918" w:type="dxa"/>
            <w:tcBorders>
              <w:top w:val="nil"/>
              <w:left w:val="nil"/>
              <w:bottom w:val="nil"/>
              <w:right w:val="nil"/>
            </w:tcBorders>
            <w:shd w:val="clear" w:color="auto" w:fill="auto"/>
            <w:noWrap/>
            <w:vAlign w:val="center"/>
            <w:hideMark/>
          </w:tcPr>
          <w:p w14:paraId="507C9FE8"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109" w:type="dxa"/>
            <w:tcBorders>
              <w:top w:val="nil"/>
              <w:left w:val="nil"/>
              <w:bottom w:val="nil"/>
              <w:right w:val="nil"/>
            </w:tcBorders>
            <w:shd w:val="clear" w:color="auto" w:fill="auto"/>
            <w:noWrap/>
            <w:vAlign w:val="center"/>
            <w:hideMark/>
          </w:tcPr>
          <w:p w14:paraId="580F747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63F3529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25.00%</w:t>
            </w:r>
          </w:p>
        </w:tc>
      </w:tr>
      <w:tr w:rsidR="00F92342" w14:paraId="5D69FB49"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65D02D8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中华交易服务半导体芯片行业指数收益率</w:t>
            </w:r>
          </w:p>
        </w:tc>
        <w:tc>
          <w:tcPr>
            <w:tcW w:w="1135" w:type="dxa"/>
            <w:tcBorders>
              <w:top w:val="nil"/>
              <w:left w:val="nil"/>
              <w:bottom w:val="nil"/>
              <w:right w:val="nil"/>
            </w:tcBorders>
            <w:shd w:val="clear" w:color="auto" w:fill="auto"/>
            <w:noWrap/>
            <w:vAlign w:val="center"/>
            <w:hideMark/>
          </w:tcPr>
          <w:p w14:paraId="7E6F1F3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080D109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918" w:type="dxa"/>
            <w:tcBorders>
              <w:top w:val="nil"/>
              <w:left w:val="nil"/>
              <w:bottom w:val="nil"/>
              <w:right w:val="nil"/>
            </w:tcBorders>
            <w:shd w:val="clear" w:color="auto" w:fill="auto"/>
            <w:noWrap/>
            <w:vAlign w:val="center"/>
            <w:hideMark/>
          </w:tcPr>
          <w:p w14:paraId="78415C1F"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同业存款利率</w:t>
            </w:r>
            <w:r>
              <w:rPr>
                <w:rFonts w:ascii="Arial" w:eastAsia="等线" w:hAnsi="Arial" w:cs="Arial"/>
                <w:b/>
                <w:bCs/>
                <w:color w:val="0F243E"/>
                <w:sz w:val="16"/>
                <w:szCs w:val="16"/>
              </w:rPr>
              <w:t>(</w:t>
            </w:r>
            <w:r>
              <w:rPr>
                <w:rFonts w:ascii="Arial" w:eastAsia="等线" w:hAnsi="Arial" w:cs="Arial"/>
                <w:b/>
                <w:bCs/>
                <w:color w:val="0F243E"/>
                <w:sz w:val="16"/>
                <w:szCs w:val="16"/>
              </w:rPr>
              <w:t>税后</w:t>
            </w:r>
            <w:r>
              <w:rPr>
                <w:rFonts w:ascii="Arial" w:eastAsia="等线" w:hAnsi="Arial" w:cs="Arial"/>
                <w:b/>
                <w:bCs/>
                <w:color w:val="0F243E"/>
                <w:sz w:val="16"/>
                <w:szCs w:val="16"/>
              </w:rPr>
              <w:t>)</w:t>
            </w:r>
          </w:p>
        </w:tc>
        <w:tc>
          <w:tcPr>
            <w:tcW w:w="1109" w:type="dxa"/>
            <w:tcBorders>
              <w:top w:val="nil"/>
              <w:left w:val="nil"/>
              <w:bottom w:val="nil"/>
              <w:right w:val="nil"/>
            </w:tcBorders>
            <w:shd w:val="clear" w:color="auto" w:fill="auto"/>
            <w:noWrap/>
            <w:vAlign w:val="center"/>
            <w:hideMark/>
          </w:tcPr>
          <w:p w14:paraId="7E77FC1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5C0F98E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10.00%</w:t>
            </w:r>
          </w:p>
        </w:tc>
      </w:tr>
      <w:tr w:rsidR="00F92342" w14:paraId="219158CF" w14:textId="77777777" w:rsidTr="005038B6">
        <w:trPr>
          <w:trHeight w:val="278"/>
        </w:trPr>
        <w:tc>
          <w:tcPr>
            <w:tcW w:w="2835" w:type="dxa"/>
            <w:gridSpan w:val="2"/>
            <w:tcBorders>
              <w:top w:val="nil"/>
              <w:left w:val="nil"/>
              <w:bottom w:val="single" w:sz="4" w:space="0" w:color="auto"/>
              <w:right w:val="nil"/>
            </w:tcBorders>
            <w:shd w:val="clear" w:color="auto" w:fill="auto"/>
            <w:noWrap/>
            <w:vAlign w:val="center"/>
            <w:hideMark/>
          </w:tcPr>
          <w:p w14:paraId="45D9F4C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中证工业</w:t>
            </w:r>
            <w:r>
              <w:rPr>
                <w:rFonts w:ascii="Arial" w:eastAsia="等线" w:hAnsi="Arial" w:cs="Arial"/>
                <w:b/>
                <w:bCs/>
                <w:color w:val="0F243E"/>
                <w:sz w:val="16"/>
                <w:szCs w:val="16"/>
              </w:rPr>
              <w:t>4.0</w:t>
            </w:r>
            <w:r>
              <w:rPr>
                <w:rFonts w:ascii="Arial" w:eastAsia="等线" w:hAnsi="Arial" w:cs="Arial"/>
                <w:b/>
                <w:bCs/>
                <w:color w:val="0F243E"/>
                <w:sz w:val="16"/>
                <w:szCs w:val="16"/>
              </w:rPr>
              <w:t>指数收益率</w:t>
            </w:r>
          </w:p>
        </w:tc>
        <w:tc>
          <w:tcPr>
            <w:tcW w:w="1135" w:type="dxa"/>
            <w:tcBorders>
              <w:top w:val="nil"/>
              <w:left w:val="nil"/>
              <w:bottom w:val="single" w:sz="4" w:space="0" w:color="auto"/>
              <w:right w:val="nil"/>
            </w:tcBorders>
            <w:shd w:val="clear" w:color="auto" w:fill="auto"/>
            <w:noWrap/>
            <w:vAlign w:val="center"/>
            <w:hideMark/>
          </w:tcPr>
          <w:p w14:paraId="5590B7F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single" w:sz="4" w:space="0" w:color="auto"/>
              <w:right w:val="nil"/>
            </w:tcBorders>
            <w:shd w:val="clear" w:color="auto" w:fill="auto"/>
            <w:noWrap/>
            <w:vAlign w:val="center"/>
            <w:hideMark/>
          </w:tcPr>
          <w:p w14:paraId="2BEF06C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68.33%</w:t>
            </w:r>
          </w:p>
        </w:tc>
        <w:tc>
          <w:tcPr>
            <w:tcW w:w="2918" w:type="dxa"/>
            <w:tcBorders>
              <w:top w:val="nil"/>
              <w:left w:val="nil"/>
              <w:bottom w:val="single" w:sz="4" w:space="0" w:color="auto"/>
              <w:right w:val="nil"/>
            </w:tcBorders>
            <w:shd w:val="clear" w:color="auto" w:fill="auto"/>
            <w:noWrap/>
            <w:vAlign w:val="center"/>
            <w:hideMark/>
          </w:tcPr>
          <w:p w14:paraId="0BE3DE08"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中债总财富指数收益率</w:t>
            </w:r>
          </w:p>
        </w:tc>
        <w:tc>
          <w:tcPr>
            <w:tcW w:w="1109" w:type="dxa"/>
            <w:tcBorders>
              <w:top w:val="nil"/>
              <w:left w:val="nil"/>
              <w:bottom w:val="single" w:sz="4" w:space="0" w:color="auto"/>
              <w:right w:val="nil"/>
            </w:tcBorders>
            <w:shd w:val="clear" w:color="auto" w:fill="auto"/>
            <w:noWrap/>
            <w:vAlign w:val="center"/>
            <w:hideMark/>
          </w:tcPr>
          <w:p w14:paraId="3FC9954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gridSpan w:val="2"/>
            <w:tcBorders>
              <w:top w:val="nil"/>
              <w:left w:val="nil"/>
              <w:bottom w:val="single" w:sz="4" w:space="0" w:color="auto"/>
              <w:right w:val="nil"/>
            </w:tcBorders>
            <w:shd w:val="clear" w:color="auto" w:fill="auto"/>
            <w:noWrap/>
            <w:vAlign w:val="center"/>
            <w:hideMark/>
          </w:tcPr>
          <w:p w14:paraId="33716DE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46.67%</w:t>
            </w:r>
          </w:p>
        </w:tc>
      </w:tr>
      <w:tr w:rsidR="00F92342" w14:paraId="4DC41D1A"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6008D1A4" w14:textId="77777777" w:rsidR="00F92342" w:rsidRDefault="00F92342">
            <w:pPr>
              <w:jc w:val="center"/>
              <w:rPr>
                <w:rFonts w:ascii="楷体_GB2312" w:eastAsia="楷体_GB2312" w:hAnsi="等线" w:cs="宋体"/>
                <w:b/>
                <w:bCs/>
                <w:color w:val="0F243E"/>
                <w:sz w:val="16"/>
                <w:szCs w:val="16"/>
                <w:lang w:eastAsia="zh-CN"/>
              </w:rPr>
            </w:pPr>
            <w:r>
              <w:rPr>
                <w:rFonts w:ascii="楷体_GB2312" w:eastAsia="楷体_GB2312" w:hAnsi="等线" w:hint="eastAsia"/>
                <w:b/>
                <w:bCs/>
                <w:color w:val="0F243E"/>
                <w:sz w:val="16"/>
                <w:szCs w:val="16"/>
                <w:lang w:eastAsia="zh-CN"/>
              </w:rPr>
              <w:t>生物科技行业股指基准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4D5F759E"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622FFD99"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918" w:type="dxa"/>
            <w:tcBorders>
              <w:top w:val="single" w:sz="4" w:space="0" w:color="auto"/>
              <w:left w:val="nil"/>
              <w:bottom w:val="single" w:sz="4" w:space="0" w:color="auto"/>
              <w:right w:val="nil"/>
            </w:tcBorders>
            <w:shd w:val="clear" w:color="auto" w:fill="auto"/>
            <w:noWrap/>
            <w:vAlign w:val="center"/>
            <w:hideMark/>
          </w:tcPr>
          <w:p w14:paraId="6620B032" w14:textId="77777777" w:rsidR="00F92342" w:rsidRDefault="00F92342">
            <w:pPr>
              <w:jc w:val="center"/>
              <w:rPr>
                <w:rFonts w:ascii="楷体_GB2312" w:eastAsia="楷体_GB2312" w:hAnsi="等线"/>
                <w:b/>
                <w:bCs/>
                <w:color w:val="0F243E"/>
                <w:sz w:val="16"/>
                <w:szCs w:val="16"/>
                <w:lang w:eastAsia="zh-CN"/>
              </w:rPr>
            </w:pPr>
            <w:r>
              <w:rPr>
                <w:rFonts w:ascii="楷体_GB2312" w:eastAsia="楷体_GB2312" w:hAnsi="等线" w:hint="eastAsia"/>
                <w:b/>
                <w:bCs/>
                <w:color w:val="0F243E"/>
                <w:sz w:val="16"/>
                <w:szCs w:val="16"/>
                <w:lang w:eastAsia="zh-CN"/>
              </w:rPr>
              <w:t>生物科技行业债指基准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0F14514C"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197F9000"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2938AB23"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779D44C2"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中证医药卫生指数收益率</w:t>
            </w:r>
          </w:p>
        </w:tc>
        <w:tc>
          <w:tcPr>
            <w:tcW w:w="1135" w:type="dxa"/>
            <w:tcBorders>
              <w:top w:val="single" w:sz="4" w:space="0" w:color="auto"/>
              <w:left w:val="nil"/>
              <w:bottom w:val="nil"/>
              <w:right w:val="nil"/>
            </w:tcBorders>
            <w:shd w:val="clear" w:color="auto" w:fill="auto"/>
            <w:noWrap/>
            <w:vAlign w:val="center"/>
            <w:hideMark/>
          </w:tcPr>
          <w:p w14:paraId="6763D04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36</w:t>
            </w:r>
          </w:p>
        </w:tc>
        <w:tc>
          <w:tcPr>
            <w:tcW w:w="1476" w:type="dxa"/>
            <w:tcBorders>
              <w:top w:val="single" w:sz="4" w:space="0" w:color="auto"/>
              <w:left w:val="nil"/>
              <w:bottom w:val="nil"/>
              <w:right w:val="nil"/>
            </w:tcBorders>
            <w:shd w:val="clear" w:color="auto" w:fill="auto"/>
            <w:noWrap/>
            <w:vAlign w:val="center"/>
            <w:hideMark/>
          </w:tcPr>
          <w:p w14:paraId="7B39C26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68.75%</w:t>
            </w:r>
          </w:p>
        </w:tc>
        <w:tc>
          <w:tcPr>
            <w:tcW w:w="2918" w:type="dxa"/>
            <w:tcBorders>
              <w:top w:val="single" w:sz="4" w:space="0" w:color="auto"/>
              <w:left w:val="nil"/>
              <w:bottom w:val="nil"/>
              <w:right w:val="nil"/>
            </w:tcBorders>
            <w:shd w:val="clear" w:color="auto" w:fill="auto"/>
            <w:noWrap/>
            <w:vAlign w:val="center"/>
            <w:hideMark/>
          </w:tcPr>
          <w:p w14:paraId="71E3D35D"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single" w:sz="4" w:space="0" w:color="auto"/>
              <w:left w:val="nil"/>
              <w:bottom w:val="nil"/>
              <w:right w:val="nil"/>
            </w:tcBorders>
            <w:shd w:val="clear" w:color="auto" w:fill="auto"/>
            <w:noWrap/>
            <w:vAlign w:val="center"/>
            <w:hideMark/>
          </w:tcPr>
          <w:p w14:paraId="4C3090F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15</w:t>
            </w:r>
          </w:p>
        </w:tc>
        <w:tc>
          <w:tcPr>
            <w:tcW w:w="1476" w:type="dxa"/>
            <w:gridSpan w:val="2"/>
            <w:tcBorders>
              <w:top w:val="single" w:sz="4" w:space="0" w:color="auto"/>
              <w:left w:val="nil"/>
              <w:bottom w:val="nil"/>
              <w:right w:val="nil"/>
            </w:tcBorders>
            <w:shd w:val="clear" w:color="auto" w:fill="auto"/>
            <w:noWrap/>
            <w:vAlign w:val="center"/>
            <w:hideMark/>
          </w:tcPr>
          <w:p w14:paraId="7E37440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38.00%</w:t>
            </w:r>
          </w:p>
        </w:tc>
      </w:tr>
      <w:tr w:rsidR="00F92342" w14:paraId="323854E5"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E0A305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67EE20A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34</w:t>
            </w:r>
          </w:p>
        </w:tc>
        <w:tc>
          <w:tcPr>
            <w:tcW w:w="1476" w:type="dxa"/>
            <w:tcBorders>
              <w:top w:val="nil"/>
              <w:left w:val="nil"/>
              <w:bottom w:val="nil"/>
              <w:right w:val="nil"/>
            </w:tcBorders>
            <w:shd w:val="clear" w:color="auto" w:fill="auto"/>
            <w:noWrap/>
            <w:vAlign w:val="center"/>
            <w:hideMark/>
          </w:tcPr>
          <w:p w14:paraId="35684C0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66.91%</w:t>
            </w:r>
          </w:p>
        </w:tc>
        <w:tc>
          <w:tcPr>
            <w:tcW w:w="2918" w:type="dxa"/>
            <w:tcBorders>
              <w:top w:val="nil"/>
              <w:left w:val="nil"/>
              <w:bottom w:val="nil"/>
              <w:right w:val="nil"/>
            </w:tcBorders>
            <w:shd w:val="clear" w:color="auto" w:fill="auto"/>
            <w:noWrap/>
            <w:vAlign w:val="center"/>
            <w:hideMark/>
          </w:tcPr>
          <w:p w14:paraId="7D38EDA5"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0C01DBF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14</w:t>
            </w:r>
          </w:p>
        </w:tc>
        <w:tc>
          <w:tcPr>
            <w:tcW w:w="1476" w:type="dxa"/>
            <w:gridSpan w:val="2"/>
            <w:tcBorders>
              <w:top w:val="nil"/>
              <w:left w:val="nil"/>
              <w:bottom w:val="nil"/>
              <w:right w:val="nil"/>
            </w:tcBorders>
            <w:shd w:val="clear" w:color="auto" w:fill="auto"/>
            <w:noWrap/>
            <w:vAlign w:val="center"/>
            <w:hideMark/>
          </w:tcPr>
          <w:p w14:paraId="3E6134E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314.29%</w:t>
            </w:r>
          </w:p>
        </w:tc>
      </w:tr>
      <w:tr w:rsidR="00F92342" w14:paraId="6B648BC9"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361DA52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中证全指医药卫生指数收益率</w:t>
            </w:r>
          </w:p>
        </w:tc>
        <w:tc>
          <w:tcPr>
            <w:tcW w:w="1135" w:type="dxa"/>
            <w:tcBorders>
              <w:top w:val="nil"/>
              <w:left w:val="nil"/>
              <w:bottom w:val="nil"/>
              <w:right w:val="nil"/>
            </w:tcBorders>
            <w:shd w:val="clear" w:color="auto" w:fill="auto"/>
            <w:noWrap/>
            <w:vAlign w:val="center"/>
            <w:hideMark/>
          </w:tcPr>
          <w:p w14:paraId="2A5528A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tcBorders>
              <w:top w:val="nil"/>
              <w:left w:val="nil"/>
              <w:bottom w:val="nil"/>
              <w:right w:val="nil"/>
            </w:tcBorders>
            <w:shd w:val="clear" w:color="auto" w:fill="auto"/>
            <w:noWrap/>
            <w:vAlign w:val="center"/>
            <w:hideMark/>
          </w:tcPr>
          <w:p w14:paraId="2005489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77.00%</w:t>
            </w:r>
          </w:p>
        </w:tc>
        <w:tc>
          <w:tcPr>
            <w:tcW w:w="2918" w:type="dxa"/>
            <w:tcBorders>
              <w:top w:val="nil"/>
              <w:left w:val="nil"/>
              <w:bottom w:val="nil"/>
              <w:right w:val="nil"/>
            </w:tcBorders>
            <w:shd w:val="clear" w:color="auto" w:fill="auto"/>
            <w:noWrap/>
            <w:vAlign w:val="center"/>
            <w:hideMark/>
          </w:tcPr>
          <w:p w14:paraId="05BE8BFF"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nil"/>
              <w:left w:val="nil"/>
              <w:bottom w:val="nil"/>
              <w:right w:val="nil"/>
            </w:tcBorders>
            <w:shd w:val="clear" w:color="auto" w:fill="auto"/>
            <w:noWrap/>
            <w:vAlign w:val="center"/>
            <w:hideMark/>
          </w:tcPr>
          <w:p w14:paraId="7A0D5F8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12</w:t>
            </w:r>
          </w:p>
        </w:tc>
        <w:tc>
          <w:tcPr>
            <w:tcW w:w="1476" w:type="dxa"/>
            <w:gridSpan w:val="2"/>
            <w:tcBorders>
              <w:top w:val="nil"/>
              <w:left w:val="nil"/>
              <w:bottom w:val="nil"/>
              <w:right w:val="nil"/>
            </w:tcBorders>
            <w:shd w:val="clear" w:color="auto" w:fill="auto"/>
            <w:noWrap/>
            <w:vAlign w:val="center"/>
            <w:hideMark/>
          </w:tcPr>
          <w:p w14:paraId="6E165FC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30.00%</w:t>
            </w:r>
          </w:p>
        </w:tc>
      </w:tr>
      <w:tr w:rsidR="00F92342" w14:paraId="77C6FFE3"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0B539708"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申万医药生物行业指数收益率</w:t>
            </w:r>
          </w:p>
        </w:tc>
        <w:tc>
          <w:tcPr>
            <w:tcW w:w="1135" w:type="dxa"/>
            <w:tcBorders>
              <w:top w:val="nil"/>
              <w:left w:val="nil"/>
              <w:bottom w:val="nil"/>
              <w:right w:val="nil"/>
            </w:tcBorders>
            <w:shd w:val="clear" w:color="auto" w:fill="auto"/>
            <w:noWrap/>
            <w:vAlign w:val="center"/>
            <w:hideMark/>
          </w:tcPr>
          <w:p w14:paraId="20D5CED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w:t>
            </w:r>
          </w:p>
        </w:tc>
        <w:tc>
          <w:tcPr>
            <w:tcW w:w="1476" w:type="dxa"/>
            <w:tcBorders>
              <w:top w:val="nil"/>
              <w:left w:val="nil"/>
              <w:bottom w:val="nil"/>
              <w:right w:val="nil"/>
            </w:tcBorders>
            <w:shd w:val="clear" w:color="auto" w:fill="auto"/>
            <w:noWrap/>
            <w:vAlign w:val="center"/>
            <w:hideMark/>
          </w:tcPr>
          <w:p w14:paraId="456E06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80.00%</w:t>
            </w:r>
          </w:p>
        </w:tc>
        <w:tc>
          <w:tcPr>
            <w:tcW w:w="2918" w:type="dxa"/>
            <w:tcBorders>
              <w:top w:val="nil"/>
              <w:left w:val="nil"/>
              <w:bottom w:val="nil"/>
              <w:right w:val="nil"/>
            </w:tcBorders>
            <w:shd w:val="clear" w:color="auto" w:fill="auto"/>
            <w:noWrap/>
            <w:vAlign w:val="center"/>
            <w:hideMark/>
          </w:tcPr>
          <w:p w14:paraId="290F312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109" w:type="dxa"/>
            <w:tcBorders>
              <w:top w:val="nil"/>
              <w:left w:val="nil"/>
              <w:bottom w:val="nil"/>
              <w:right w:val="nil"/>
            </w:tcBorders>
            <w:shd w:val="clear" w:color="auto" w:fill="auto"/>
            <w:noWrap/>
            <w:vAlign w:val="center"/>
            <w:hideMark/>
          </w:tcPr>
          <w:p w14:paraId="46DCF70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gridSpan w:val="2"/>
            <w:tcBorders>
              <w:top w:val="nil"/>
              <w:left w:val="nil"/>
              <w:bottom w:val="nil"/>
              <w:right w:val="nil"/>
            </w:tcBorders>
            <w:shd w:val="clear" w:color="auto" w:fill="auto"/>
            <w:noWrap/>
            <w:vAlign w:val="center"/>
            <w:hideMark/>
          </w:tcPr>
          <w:p w14:paraId="25FD0C2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21.25%</w:t>
            </w:r>
          </w:p>
        </w:tc>
      </w:tr>
      <w:tr w:rsidR="00F92342" w14:paraId="0159D86F"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853A69F"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中证细分医药产业主题指数收益率</w:t>
            </w:r>
          </w:p>
        </w:tc>
        <w:tc>
          <w:tcPr>
            <w:tcW w:w="1135" w:type="dxa"/>
            <w:tcBorders>
              <w:top w:val="nil"/>
              <w:left w:val="nil"/>
              <w:bottom w:val="nil"/>
              <w:right w:val="nil"/>
            </w:tcBorders>
            <w:shd w:val="clear" w:color="auto" w:fill="auto"/>
            <w:noWrap/>
            <w:vAlign w:val="center"/>
            <w:hideMark/>
          </w:tcPr>
          <w:p w14:paraId="2C2BDEA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2A0A868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918" w:type="dxa"/>
            <w:tcBorders>
              <w:top w:val="nil"/>
              <w:left w:val="nil"/>
              <w:bottom w:val="nil"/>
              <w:right w:val="nil"/>
            </w:tcBorders>
            <w:shd w:val="clear" w:color="auto" w:fill="auto"/>
            <w:noWrap/>
            <w:vAlign w:val="center"/>
            <w:hideMark/>
          </w:tcPr>
          <w:p w14:paraId="70D820FD"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2E76875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14</w:t>
            </w:r>
          </w:p>
        </w:tc>
        <w:tc>
          <w:tcPr>
            <w:tcW w:w="1476" w:type="dxa"/>
            <w:gridSpan w:val="2"/>
            <w:tcBorders>
              <w:top w:val="nil"/>
              <w:left w:val="nil"/>
              <w:bottom w:val="nil"/>
              <w:right w:val="nil"/>
            </w:tcBorders>
            <w:shd w:val="clear" w:color="auto" w:fill="auto"/>
            <w:noWrap/>
            <w:vAlign w:val="center"/>
            <w:hideMark/>
          </w:tcPr>
          <w:p w14:paraId="1432F12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38B6C9AB"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6ED0D271"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中证生物医药指数收益率</w:t>
            </w:r>
          </w:p>
        </w:tc>
        <w:tc>
          <w:tcPr>
            <w:tcW w:w="1135" w:type="dxa"/>
            <w:tcBorders>
              <w:top w:val="nil"/>
              <w:left w:val="nil"/>
              <w:bottom w:val="nil"/>
              <w:right w:val="nil"/>
            </w:tcBorders>
            <w:shd w:val="clear" w:color="auto" w:fill="auto"/>
            <w:noWrap/>
            <w:vAlign w:val="center"/>
            <w:hideMark/>
          </w:tcPr>
          <w:p w14:paraId="5C263B2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41B72C9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918" w:type="dxa"/>
            <w:tcBorders>
              <w:top w:val="nil"/>
              <w:left w:val="nil"/>
              <w:bottom w:val="nil"/>
              <w:right w:val="nil"/>
            </w:tcBorders>
            <w:shd w:val="clear" w:color="auto" w:fill="auto"/>
            <w:noWrap/>
            <w:vAlign w:val="center"/>
            <w:hideMark/>
          </w:tcPr>
          <w:p w14:paraId="2B36814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中证综合债指数收益率</w:t>
            </w:r>
          </w:p>
        </w:tc>
        <w:tc>
          <w:tcPr>
            <w:tcW w:w="1109" w:type="dxa"/>
            <w:tcBorders>
              <w:top w:val="nil"/>
              <w:left w:val="nil"/>
              <w:bottom w:val="nil"/>
              <w:right w:val="nil"/>
            </w:tcBorders>
            <w:shd w:val="clear" w:color="auto" w:fill="auto"/>
            <w:noWrap/>
            <w:vAlign w:val="center"/>
            <w:hideMark/>
          </w:tcPr>
          <w:p w14:paraId="6509AA1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w:t>
            </w:r>
          </w:p>
        </w:tc>
        <w:tc>
          <w:tcPr>
            <w:tcW w:w="1476" w:type="dxa"/>
            <w:gridSpan w:val="2"/>
            <w:tcBorders>
              <w:top w:val="nil"/>
              <w:left w:val="nil"/>
              <w:bottom w:val="nil"/>
              <w:right w:val="nil"/>
            </w:tcBorders>
            <w:shd w:val="clear" w:color="auto" w:fill="auto"/>
            <w:noWrap/>
            <w:vAlign w:val="center"/>
            <w:hideMark/>
          </w:tcPr>
          <w:p w14:paraId="3ECF7B3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21.11%</w:t>
            </w:r>
          </w:p>
        </w:tc>
      </w:tr>
      <w:tr w:rsidR="00F92342" w14:paraId="05E35F9B"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5763730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中证医药</w:t>
            </w:r>
            <w:r>
              <w:rPr>
                <w:rFonts w:ascii="Arial" w:eastAsia="等线" w:hAnsi="Arial" w:cs="Arial"/>
                <w:b/>
                <w:bCs/>
                <w:color w:val="0F243E"/>
                <w:sz w:val="16"/>
                <w:szCs w:val="16"/>
              </w:rPr>
              <w:t>100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1D41699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717D156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73.33%</w:t>
            </w:r>
          </w:p>
        </w:tc>
        <w:tc>
          <w:tcPr>
            <w:tcW w:w="2918" w:type="dxa"/>
            <w:tcBorders>
              <w:top w:val="nil"/>
              <w:left w:val="nil"/>
              <w:bottom w:val="nil"/>
              <w:right w:val="nil"/>
            </w:tcBorders>
            <w:shd w:val="clear" w:color="auto" w:fill="auto"/>
            <w:noWrap/>
            <w:vAlign w:val="center"/>
            <w:hideMark/>
          </w:tcPr>
          <w:p w14:paraId="66AB162A"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中债总指数收益率</w:t>
            </w:r>
          </w:p>
        </w:tc>
        <w:tc>
          <w:tcPr>
            <w:tcW w:w="1109" w:type="dxa"/>
            <w:tcBorders>
              <w:top w:val="nil"/>
              <w:left w:val="nil"/>
              <w:bottom w:val="nil"/>
              <w:right w:val="nil"/>
            </w:tcBorders>
            <w:shd w:val="clear" w:color="auto" w:fill="auto"/>
            <w:noWrap/>
            <w:vAlign w:val="center"/>
            <w:hideMark/>
          </w:tcPr>
          <w:p w14:paraId="4C7E2BF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1F68787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20.00%</w:t>
            </w:r>
          </w:p>
        </w:tc>
      </w:tr>
      <w:tr w:rsidR="00F92342" w14:paraId="60506759"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ED76B0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中证精准医疗主题指数收益率</w:t>
            </w:r>
          </w:p>
        </w:tc>
        <w:tc>
          <w:tcPr>
            <w:tcW w:w="1135" w:type="dxa"/>
            <w:tcBorders>
              <w:top w:val="nil"/>
              <w:left w:val="nil"/>
              <w:bottom w:val="nil"/>
              <w:right w:val="nil"/>
            </w:tcBorders>
            <w:shd w:val="clear" w:color="auto" w:fill="auto"/>
            <w:noWrap/>
            <w:vAlign w:val="center"/>
            <w:hideMark/>
          </w:tcPr>
          <w:p w14:paraId="29314AA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6309A6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80.00%</w:t>
            </w:r>
          </w:p>
        </w:tc>
        <w:tc>
          <w:tcPr>
            <w:tcW w:w="2918" w:type="dxa"/>
            <w:tcBorders>
              <w:top w:val="nil"/>
              <w:left w:val="nil"/>
              <w:bottom w:val="nil"/>
              <w:right w:val="nil"/>
            </w:tcBorders>
            <w:shd w:val="clear" w:color="auto" w:fill="auto"/>
            <w:noWrap/>
            <w:vAlign w:val="center"/>
            <w:hideMark/>
          </w:tcPr>
          <w:p w14:paraId="043937CA"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商业银行活期存款利率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221DE44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6FCB2B7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6.25%</w:t>
            </w:r>
          </w:p>
        </w:tc>
      </w:tr>
      <w:tr w:rsidR="00F92342" w14:paraId="537BA45E"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0799B4CD"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中证生物科技主题指数收益率</w:t>
            </w:r>
          </w:p>
        </w:tc>
        <w:tc>
          <w:tcPr>
            <w:tcW w:w="1135" w:type="dxa"/>
            <w:tcBorders>
              <w:top w:val="nil"/>
              <w:left w:val="nil"/>
              <w:bottom w:val="nil"/>
              <w:right w:val="nil"/>
            </w:tcBorders>
            <w:shd w:val="clear" w:color="auto" w:fill="auto"/>
            <w:noWrap/>
            <w:vAlign w:val="center"/>
            <w:hideMark/>
          </w:tcPr>
          <w:p w14:paraId="2EB9CC6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tcBorders>
              <w:top w:val="nil"/>
              <w:left w:val="nil"/>
              <w:bottom w:val="nil"/>
              <w:right w:val="nil"/>
            </w:tcBorders>
            <w:shd w:val="clear" w:color="auto" w:fill="auto"/>
            <w:noWrap/>
            <w:vAlign w:val="center"/>
            <w:hideMark/>
          </w:tcPr>
          <w:p w14:paraId="28E4550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95.00%</w:t>
            </w:r>
          </w:p>
        </w:tc>
        <w:tc>
          <w:tcPr>
            <w:tcW w:w="2918" w:type="dxa"/>
            <w:tcBorders>
              <w:top w:val="nil"/>
              <w:left w:val="nil"/>
              <w:bottom w:val="nil"/>
              <w:right w:val="nil"/>
            </w:tcBorders>
            <w:shd w:val="clear" w:color="auto" w:fill="auto"/>
            <w:noWrap/>
            <w:vAlign w:val="center"/>
            <w:hideMark/>
          </w:tcPr>
          <w:p w14:paraId="5A9EC8CE"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中债总指数</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全价</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收益率</w:t>
            </w:r>
          </w:p>
        </w:tc>
        <w:tc>
          <w:tcPr>
            <w:tcW w:w="1109" w:type="dxa"/>
            <w:tcBorders>
              <w:top w:val="nil"/>
              <w:left w:val="nil"/>
              <w:bottom w:val="nil"/>
              <w:right w:val="nil"/>
            </w:tcBorders>
            <w:shd w:val="clear" w:color="auto" w:fill="auto"/>
            <w:noWrap/>
            <w:vAlign w:val="center"/>
            <w:hideMark/>
          </w:tcPr>
          <w:p w14:paraId="188A69D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110A4EB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30.00%</w:t>
            </w:r>
          </w:p>
        </w:tc>
      </w:tr>
      <w:tr w:rsidR="00F92342" w14:paraId="1804B327"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95D7FB7"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中证医药指数收益率</w:t>
            </w:r>
          </w:p>
        </w:tc>
        <w:tc>
          <w:tcPr>
            <w:tcW w:w="1135" w:type="dxa"/>
            <w:tcBorders>
              <w:top w:val="nil"/>
              <w:left w:val="nil"/>
              <w:bottom w:val="nil"/>
              <w:right w:val="nil"/>
            </w:tcBorders>
            <w:shd w:val="clear" w:color="auto" w:fill="auto"/>
            <w:noWrap/>
            <w:vAlign w:val="center"/>
            <w:hideMark/>
          </w:tcPr>
          <w:p w14:paraId="22F979F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tcBorders>
              <w:top w:val="nil"/>
              <w:left w:val="nil"/>
              <w:bottom w:val="nil"/>
              <w:right w:val="nil"/>
            </w:tcBorders>
            <w:shd w:val="clear" w:color="auto" w:fill="auto"/>
            <w:noWrap/>
            <w:vAlign w:val="center"/>
            <w:hideMark/>
          </w:tcPr>
          <w:p w14:paraId="57C863C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82.50%</w:t>
            </w:r>
          </w:p>
        </w:tc>
        <w:tc>
          <w:tcPr>
            <w:tcW w:w="2918" w:type="dxa"/>
            <w:tcBorders>
              <w:top w:val="nil"/>
              <w:left w:val="nil"/>
              <w:bottom w:val="nil"/>
              <w:right w:val="nil"/>
            </w:tcBorders>
            <w:shd w:val="clear" w:color="auto" w:fill="auto"/>
            <w:noWrap/>
            <w:vAlign w:val="center"/>
            <w:hideMark/>
          </w:tcPr>
          <w:p w14:paraId="3DA79BF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活期存款利率</w:t>
            </w:r>
            <w:r>
              <w:rPr>
                <w:rFonts w:ascii="Arial" w:eastAsia="等线" w:hAnsi="Arial" w:cs="Arial"/>
                <w:b/>
                <w:bCs/>
                <w:color w:val="0F243E"/>
                <w:sz w:val="16"/>
                <w:szCs w:val="16"/>
              </w:rPr>
              <w:t>(</w:t>
            </w:r>
            <w:r>
              <w:rPr>
                <w:rFonts w:ascii="Arial" w:eastAsia="等线" w:hAnsi="Arial" w:cs="Arial"/>
                <w:b/>
                <w:bCs/>
                <w:color w:val="0F243E"/>
                <w:sz w:val="16"/>
                <w:szCs w:val="16"/>
              </w:rPr>
              <w:t>税后</w:t>
            </w:r>
            <w:r>
              <w:rPr>
                <w:rFonts w:ascii="Arial" w:eastAsia="等线" w:hAnsi="Arial" w:cs="Arial"/>
                <w:b/>
                <w:bCs/>
                <w:color w:val="0F243E"/>
                <w:sz w:val="16"/>
                <w:szCs w:val="16"/>
              </w:rPr>
              <w:t>)</w:t>
            </w:r>
          </w:p>
        </w:tc>
        <w:tc>
          <w:tcPr>
            <w:tcW w:w="1109" w:type="dxa"/>
            <w:tcBorders>
              <w:top w:val="nil"/>
              <w:left w:val="nil"/>
              <w:bottom w:val="nil"/>
              <w:right w:val="nil"/>
            </w:tcBorders>
            <w:shd w:val="clear" w:color="auto" w:fill="auto"/>
            <w:noWrap/>
            <w:vAlign w:val="center"/>
            <w:hideMark/>
          </w:tcPr>
          <w:p w14:paraId="6217E737"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gridSpan w:val="2"/>
            <w:tcBorders>
              <w:top w:val="nil"/>
              <w:left w:val="nil"/>
              <w:bottom w:val="nil"/>
              <w:right w:val="nil"/>
            </w:tcBorders>
            <w:shd w:val="clear" w:color="auto" w:fill="auto"/>
            <w:noWrap/>
            <w:vAlign w:val="center"/>
            <w:hideMark/>
          </w:tcPr>
          <w:p w14:paraId="4A0E0C8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1B6A6C37" w14:textId="77777777" w:rsidTr="005038B6">
        <w:trPr>
          <w:trHeight w:val="278"/>
        </w:trPr>
        <w:tc>
          <w:tcPr>
            <w:tcW w:w="2835" w:type="dxa"/>
            <w:gridSpan w:val="2"/>
            <w:tcBorders>
              <w:top w:val="nil"/>
              <w:left w:val="nil"/>
              <w:bottom w:val="single" w:sz="4" w:space="0" w:color="auto"/>
              <w:right w:val="nil"/>
            </w:tcBorders>
            <w:shd w:val="clear" w:color="auto" w:fill="auto"/>
            <w:noWrap/>
            <w:vAlign w:val="center"/>
            <w:hideMark/>
          </w:tcPr>
          <w:p w14:paraId="0759938C"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沪深</w:t>
            </w:r>
            <w:r>
              <w:rPr>
                <w:rFonts w:ascii="Arial" w:eastAsia="等线" w:hAnsi="Arial" w:cs="Arial"/>
                <w:b/>
                <w:bCs/>
                <w:color w:val="0F243E"/>
                <w:sz w:val="16"/>
                <w:szCs w:val="16"/>
                <w:lang w:eastAsia="zh-CN"/>
              </w:rPr>
              <w:t>300</w:t>
            </w:r>
            <w:r>
              <w:rPr>
                <w:rFonts w:ascii="Arial" w:eastAsia="等线" w:hAnsi="Arial" w:cs="Arial"/>
                <w:b/>
                <w:bCs/>
                <w:color w:val="0F243E"/>
                <w:sz w:val="16"/>
                <w:szCs w:val="16"/>
                <w:lang w:eastAsia="zh-CN"/>
              </w:rPr>
              <w:t>医药卫生指数收益率</w:t>
            </w:r>
          </w:p>
        </w:tc>
        <w:tc>
          <w:tcPr>
            <w:tcW w:w="1135" w:type="dxa"/>
            <w:tcBorders>
              <w:top w:val="nil"/>
              <w:left w:val="nil"/>
              <w:bottom w:val="single" w:sz="4" w:space="0" w:color="auto"/>
              <w:right w:val="nil"/>
            </w:tcBorders>
            <w:shd w:val="clear" w:color="auto" w:fill="auto"/>
            <w:noWrap/>
            <w:vAlign w:val="center"/>
            <w:hideMark/>
          </w:tcPr>
          <w:p w14:paraId="127E141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tcBorders>
              <w:top w:val="nil"/>
              <w:left w:val="nil"/>
              <w:bottom w:val="single" w:sz="4" w:space="0" w:color="auto"/>
              <w:right w:val="nil"/>
            </w:tcBorders>
            <w:shd w:val="clear" w:color="auto" w:fill="auto"/>
            <w:noWrap/>
            <w:vAlign w:val="center"/>
            <w:hideMark/>
          </w:tcPr>
          <w:p w14:paraId="09D4781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95.00%</w:t>
            </w:r>
          </w:p>
        </w:tc>
        <w:tc>
          <w:tcPr>
            <w:tcW w:w="2918" w:type="dxa"/>
            <w:tcBorders>
              <w:top w:val="nil"/>
              <w:left w:val="nil"/>
              <w:bottom w:val="single" w:sz="4" w:space="0" w:color="auto"/>
              <w:right w:val="nil"/>
            </w:tcBorders>
            <w:shd w:val="clear" w:color="auto" w:fill="auto"/>
            <w:noWrap/>
            <w:vAlign w:val="center"/>
            <w:hideMark/>
          </w:tcPr>
          <w:p w14:paraId="3710C342"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中债总财富</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总值</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指数收益率</w:t>
            </w:r>
          </w:p>
        </w:tc>
        <w:tc>
          <w:tcPr>
            <w:tcW w:w="1109" w:type="dxa"/>
            <w:tcBorders>
              <w:top w:val="nil"/>
              <w:left w:val="nil"/>
              <w:bottom w:val="single" w:sz="4" w:space="0" w:color="auto"/>
              <w:right w:val="nil"/>
            </w:tcBorders>
            <w:shd w:val="clear" w:color="auto" w:fill="auto"/>
            <w:noWrap/>
            <w:vAlign w:val="center"/>
            <w:hideMark/>
          </w:tcPr>
          <w:p w14:paraId="191F82D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gridSpan w:val="2"/>
            <w:tcBorders>
              <w:top w:val="nil"/>
              <w:left w:val="nil"/>
              <w:bottom w:val="single" w:sz="4" w:space="0" w:color="auto"/>
              <w:right w:val="nil"/>
            </w:tcBorders>
            <w:shd w:val="clear" w:color="auto" w:fill="auto"/>
            <w:noWrap/>
            <w:vAlign w:val="center"/>
            <w:hideMark/>
          </w:tcPr>
          <w:p w14:paraId="68EB06A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20.00%</w:t>
            </w:r>
          </w:p>
        </w:tc>
      </w:tr>
      <w:tr w:rsidR="00F92342" w14:paraId="1F9164A1" w14:textId="77777777" w:rsidTr="005038B6">
        <w:trPr>
          <w:trHeight w:val="285"/>
        </w:trPr>
        <w:tc>
          <w:tcPr>
            <w:tcW w:w="2835" w:type="dxa"/>
            <w:gridSpan w:val="2"/>
            <w:tcBorders>
              <w:top w:val="single" w:sz="4" w:space="0" w:color="auto"/>
              <w:left w:val="nil"/>
              <w:bottom w:val="single" w:sz="4" w:space="0" w:color="auto"/>
              <w:right w:val="nil"/>
            </w:tcBorders>
            <w:shd w:val="clear" w:color="auto" w:fill="auto"/>
            <w:noWrap/>
            <w:vAlign w:val="center"/>
            <w:hideMark/>
          </w:tcPr>
          <w:p w14:paraId="5CC63B04" w14:textId="77777777" w:rsidR="00F92342" w:rsidRDefault="00F92342">
            <w:pPr>
              <w:jc w:val="center"/>
              <w:rPr>
                <w:rFonts w:ascii="楷体_GB2312" w:eastAsia="楷体_GB2312" w:hAnsi="等线" w:cs="宋体"/>
                <w:b/>
                <w:bCs/>
                <w:color w:val="0F243E"/>
                <w:sz w:val="16"/>
                <w:szCs w:val="16"/>
              </w:rPr>
            </w:pPr>
            <w:r>
              <w:rPr>
                <w:rFonts w:ascii="楷体_GB2312" w:eastAsia="楷体_GB2312" w:hAnsi="等线" w:hint="eastAsia"/>
                <w:b/>
                <w:bCs/>
                <w:color w:val="0F243E"/>
                <w:sz w:val="16"/>
                <w:szCs w:val="16"/>
              </w:rPr>
              <w:t>银行行业股指基准</w:t>
            </w:r>
          </w:p>
        </w:tc>
        <w:tc>
          <w:tcPr>
            <w:tcW w:w="1135" w:type="dxa"/>
            <w:tcBorders>
              <w:top w:val="single" w:sz="4" w:space="0" w:color="auto"/>
              <w:left w:val="nil"/>
              <w:bottom w:val="single" w:sz="4" w:space="0" w:color="auto"/>
              <w:right w:val="nil"/>
            </w:tcBorders>
            <w:shd w:val="clear" w:color="auto" w:fill="auto"/>
            <w:noWrap/>
            <w:vAlign w:val="center"/>
            <w:hideMark/>
          </w:tcPr>
          <w:p w14:paraId="3BD2FBC5"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tcBorders>
              <w:top w:val="single" w:sz="4" w:space="0" w:color="auto"/>
              <w:left w:val="nil"/>
              <w:bottom w:val="single" w:sz="4" w:space="0" w:color="auto"/>
              <w:right w:val="nil"/>
            </w:tcBorders>
            <w:shd w:val="clear" w:color="auto" w:fill="auto"/>
            <w:noWrap/>
            <w:vAlign w:val="center"/>
            <w:hideMark/>
          </w:tcPr>
          <w:p w14:paraId="28117CF3"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所选股指比例平均数</w:t>
            </w:r>
          </w:p>
        </w:tc>
        <w:tc>
          <w:tcPr>
            <w:tcW w:w="2918" w:type="dxa"/>
            <w:tcBorders>
              <w:top w:val="single" w:sz="4" w:space="0" w:color="auto"/>
              <w:left w:val="nil"/>
              <w:bottom w:val="single" w:sz="4" w:space="0" w:color="auto"/>
              <w:right w:val="nil"/>
            </w:tcBorders>
            <w:shd w:val="clear" w:color="auto" w:fill="auto"/>
            <w:noWrap/>
            <w:vAlign w:val="center"/>
            <w:hideMark/>
          </w:tcPr>
          <w:p w14:paraId="41F33B96"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银行行业债指基准</w:t>
            </w:r>
          </w:p>
        </w:tc>
        <w:tc>
          <w:tcPr>
            <w:tcW w:w="1109" w:type="dxa"/>
            <w:tcBorders>
              <w:top w:val="single" w:sz="4" w:space="0" w:color="auto"/>
              <w:left w:val="nil"/>
              <w:bottom w:val="single" w:sz="4" w:space="0" w:color="auto"/>
              <w:right w:val="nil"/>
            </w:tcBorders>
            <w:shd w:val="clear" w:color="auto" w:fill="auto"/>
            <w:noWrap/>
            <w:vAlign w:val="center"/>
            <w:hideMark/>
          </w:tcPr>
          <w:p w14:paraId="2B41C402"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基准对应的基金数目</w:t>
            </w:r>
          </w:p>
        </w:tc>
        <w:tc>
          <w:tcPr>
            <w:tcW w:w="1476" w:type="dxa"/>
            <w:gridSpan w:val="2"/>
            <w:tcBorders>
              <w:top w:val="single" w:sz="4" w:space="0" w:color="auto"/>
              <w:left w:val="nil"/>
              <w:bottom w:val="single" w:sz="4" w:space="0" w:color="auto"/>
              <w:right w:val="nil"/>
            </w:tcBorders>
            <w:shd w:val="clear" w:color="auto" w:fill="auto"/>
            <w:noWrap/>
            <w:vAlign w:val="center"/>
            <w:hideMark/>
          </w:tcPr>
          <w:p w14:paraId="15094464" w14:textId="77777777" w:rsidR="00F92342" w:rsidRDefault="00F92342">
            <w:pPr>
              <w:jc w:val="center"/>
              <w:rPr>
                <w:rFonts w:ascii="楷体_GB2312" w:eastAsia="楷体_GB2312" w:hAnsi="等线"/>
                <w:b/>
                <w:bCs/>
                <w:color w:val="0F243E"/>
                <w:sz w:val="16"/>
                <w:szCs w:val="16"/>
              </w:rPr>
            </w:pPr>
            <w:r>
              <w:rPr>
                <w:rFonts w:ascii="楷体_GB2312" w:eastAsia="楷体_GB2312" w:hAnsi="等线" w:hint="eastAsia"/>
                <w:b/>
                <w:bCs/>
                <w:color w:val="0F243E"/>
                <w:sz w:val="16"/>
                <w:szCs w:val="16"/>
              </w:rPr>
              <w:t>所选债指比例平均数</w:t>
            </w:r>
          </w:p>
        </w:tc>
      </w:tr>
      <w:tr w:rsidR="00F92342" w14:paraId="6D565D75" w14:textId="77777777" w:rsidTr="005038B6">
        <w:trPr>
          <w:trHeight w:val="278"/>
        </w:trPr>
        <w:tc>
          <w:tcPr>
            <w:tcW w:w="2835" w:type="dxa"/>
            <w:gridSpan w:val="2"/>
            <w:tcBorders>
              <w:top w:val="single" w:sz="4" w:space="0" w:color="auto"/>
              <w:left w:val="nil"/>
              <w:bottom w:val="nil"/>
              <w:right w:val="nil"/>
            </w:tcBorders>
            <w:shd w:val="clear" w:color="auto" w:fill="auto"/>
            <w:noWrap/>
            <w:vAlign w:val="center"/>
            <w:hideMark/>
          </w:tcPr>
          <w:p w14:paraId="27CE4616"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沪深</w:t>
            </w:r>
            <w:r>
              <w:rPr>
                <w:rFonts w:ascii="Arial" w:eastAsia="等线" w:hAnsi="Arial" w:cs="Arial"/>
                <w:b/>
                <w:bCs/>
                <w:color w:val="0F243E"/>
                <w:sz w:val="16"/>
                <w:szCs w:val="16"/>
              </w:rPr>
              <w:t>300</w:t>
            </w:r>
            <w:r>
              <w:rPr>
                <w:rFonts w:ascii="Arial" w:eastAsia="等线" w:hAnsi="Arial" w:cs="Arial"/>
                <w:b/>
                <w:bCs/>
                <w:color w:val="0F243E"/>
                <w:sz w:val="16"/>
                <w:szCs w:val="16"/>
              </w:rPr>
              <w:t>指数收益率</w:t>
            </w:r>
          </w:p>
        </w:tc>
        <w:tc>
          <w:tcPr>
            <w:tcW w:w="1135" w:type="dxa"/>
            <w:tcBorders>
              <w:top w:val="single" w:sz="4" w:space="0" w:color="auto"/>
              <w:left w:val="nil"/>
              <w:bottom w:val="nil"/>
              <w:right w:val="nil"/>
            </w:tcBorders>
            <w:shd w:val="clear" w:color="auto" w:fill="auto"/>
            <w:noWrap/>
            <w:vAlign w:val="center"/>
            <w:hideMark/>
          </w:tcPr>
          <w:p w14:paraId="2F638C6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37</w:t>
            </w:r>
          </w:p>
        </w:tc>
        <w:tc>
          <w:tcPr>
            <w:tcW w:w="1476" w:type="dxa"/>
            <w:tcBorders>
              <w:top w:val="single" w:sz="4" w:space="0" w:color="auto"/>
              <w:left w:val="nil"/>
              <w:bottom w:val="nil"/>
              <w:right w:val="nil"/>
            </w:tcBorders>
            <w:shd w:val="clear" w:color="auto" w:fill="auto"/>
            <w:noWrap/>
            <w:vAlign w:val="center"/>
            <w:hideMark/>
          </w:tcPr>
          <w:p w14:paraId="190E90D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63.65%</w:t>
            </w:r>
          </w:p>
        </w:tc>
        <w:tc>
          <w:tcPr>
            <w:tcW w:w="2918" w:type="dxa"/>
            <w:tcBorders>
              <w:top w:val="single" w:sz="4" w:space="0" w:color="auto"/>
              <w:left w:val="nil"/>
              <w:bottom w:val="nil"/>
              <w:right w:val="nil"/>
            </w:tcBorders>
            <w:shd w:val="clear" w:color="auto" w:fill="auto"/>
            <w:noWrap/>
            <w:vAlign w:val="center"/>
            <w:hideMark/>
          </w:tcPr>
          <w:p w14:paraId="5ED7ECEF"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上证国债指数收益率</w:t>
            </w:r>
          </w:p>
        </w:tc>
        <w:tc>
          <w:tcPr>
            <w:tcW w:w="1109" w:type="dxa"/>
            <w:tcBorders>
              <w:top w:val="single" w:sz="4" w:space="0" w:color="auto"/>
              <w:left w:val="nil"/>
              <w:bottom w:val="nil"/>
              <w:right w:val="nil"/>
            </w:tcBorders>
            <w:shd w:val="clear" w:color="auto" w:fill="auto"/>
            <w:noWrap/>
            <w:vAlign w:val="center"/>
            <w:hideMark/>
          </w:tcPr>
          <w:p w14:paraId="1CA982B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11</w:t>
            </w:r>
          </w:p>
        </w:tc>
        <w:tc>
          <w:tcPr>
            <w:tcW w:w="1476" w:type="dxa"/>
            <w:gridSpan w:val="2"/>
            <w:tcBorders>
              <w:top w:val="single" w:sz="4" w:space="0" w:color="auto"/>
              <w:left w:val="nil"/>
              <w:bottom w:val="nil"/>
              <w:right w:val="nil"/>
            </w:tcBorders>
            <w:shd w:val="clear" w:color="auto" w:fill="auto"/>
            <w:noWrap/>
            <w:vAlign w:val="center"/>
            <w:hideMark/>
          </w:tcPr>
          <w:p w14:paraId="2E07691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32.27%</w:t>
            </w:r>
          </w:p>
        </w:tc>
      </w:tr>
      <w:tr w:rsidR="00F92342" w14:paraId="7F1A45B4"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54C38C2"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中证银行指数收益率</w:t>
            </w:r>
          </w:p>
        </w:tc>
        <w:tc>
          <w:tcPr>
            <w:tcW w:w="1135" w:type="dxa"/>
            <w:tcBorders>
              <w:top w:val="nil"/>
              <w:left w:val="nil"/>
              <w:bottom w:val="nil"/>
              <w:right w:val="nil"/>
            </w:tcBorders>
            <w:shd w:val="clear" w:color="auto" w:fill="auto"/>
            <w:noWrap/>
            <w:vAlign w:val="center"/>
            <w:hideMark/>
          </w:tcPr>
          <w:p w14:paraId="782A29A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21</w:t>
            </w:r>
          </w:p>
        </w:tc>
        <w:tc>
          <w:tcPr>
            <w:tcW w:w="1476" w:type="dxa"/>
            <w:tcBorders>
              <w:top w:val="nil"/>
              <w:left w:val="nil"/>
              <w:bottom w:val="nil"/>
              <w:right w:val="nil"/>
            </w:tcBorders>
            <w:shd w:val="clear" w:color="auto" w:fill="auto"/>
            <w:noWrap/>
            <w:vAlign w:val="center"/>
            <w:hideMark/>
          </w:tcPr>
          <w:p w14:paraId="048C5724"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72.38%</w:t>
            </w:r>
          </w:p>
        </w:tc>
        <w:tc>
          <w:tcPr>
            <w:tcW w:w="2918" w:type="dxa"/>
            <w:tcBorders>
              <w:top w:val="nil"/>
              <w:left w:val="nil"/>
              <w:bottom w:val="nil"/>
              <w:right w:val="nil"/>
            </w:tcBorders>
            <w:shd w:val="clear" w:color="auto" w:fill="auto"/>
            <w:noWrap/>
            <w:vAlign w:val="center"/>
            <w:hideMark/>
          </w:tcPr>
          <w:p w14:paraId="16F7BC8C"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中债综合指数收益率</w:t>
            </w:r>
          </w:p>
        </w:tc>
        <w:tc>
          <w:tcPr>
            <w:tcW w:w="1109" w:type="dxa"/>
            <w:tcBorders>
              <w:top w:val="nil"/>
              <w:left w:val="nil"/>
              <w:bottom w:val="nil"/>
              <w:right w:val="nil"/>
            </w:tcBorders>
            <w:shd w:val="clear" w:color="auto" w:fill="auto"/>
            <w:noWrap/>
            <w:vAlign w:val="center"/>
            <w:hideMark/>
          </w:tcPr>
          <w:p w14:paraId="390910B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10</w:t>
            </w:r>
          </w:p>
        </w:tc>
        <w:tc>
          <w:tcPr>
            <w:tcW w:w="1476" w:type="dxa"/>
            <w:gridSpan w:val="2"/>
            <w:tcBorders>
              <w:top w:val="nil"/>
              <w:left w:val="nil"/>
              <w:bottom w:val="nil"/>
              <w:right w:val="nil"/>
            </w:tcBorders>
            <w:shd w:val="clear" w:color="auto" w:fill="auto"/>
            <w:noWrap/>
            <w:vAlign w:val="center"/>
            <w:hideMark/>
          </w:tcPr>
          <w:p w14:paraId="2BD4003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32.50%</w:t>
            </w:r>
          </w:p>
        </w:tc>
      </w:tr>
      <w:tr w:rsidR="00F92342" w14:paraId="2E73B5CC"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DF0FBE9"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w:t>
            </w:r>
            <w:r>
              <w:rPr>
                <w:rFonts w:ascii="Arial" w:eastAsia="等线" w:hAnsi="Arial" w:cs="Arial"/>
                <w:b/>
                <w:bCs/>
                <w:color w:val="0F243E"/>
                <w:sz w:val="16"/>
                <w:szCs w:val="16"/>
              </w:rPr>
              <w:t>800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10FCD451"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w:t>
            </w:r>
          </w:p>
        </w:tc>
        <w:tc>
          <w:tcPr>
            <w:tcW w:w="1476" w:type="dxa"/>
            <w:tcBorders>
              <w:top w:val="nil"/>
              <w:left w:val="nil"/>
              <w:bottom w:val="nil"/>
              <w:right w:val="nil"/>
            </w:tcBorders>
            <w:shd w:val="clear" w:color="auto" w:fill="auto"/>
            <w:noWrap/>
            <w:vAlign w:val="center"/>
            <w:hideMark/>
          </w:tcPr>
          <w:p w14:paraId="4E69E38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70.63%</w:t>
            </w:r>
          </w:p>
        </w:tc>
        <w:tc>
          <w:tcPr>
            <w:tcW w:w="2918" w:type="dxa"/>
            <w:tcBorders>
              <w:top w:val="nil"/>
              <w:left w:val="nil"/>
              <w:bottom w:val="nil"/>
              <w:right w:val="nil"/>
            </w:tcBorders>
            <w:shd w:val="clear" w:color="auto" w:fill="auto"/>
            <w:noWrap/>
            <w:vAlign w:val="center"/>
            <w:hideMark/>
          </w:tcPr>
          <w:p w14:paraId="4F4A32B7"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中证全债指数收益率</w:t>
            </w:r>
          </w:p>
        </w:tc>
        <w:tc>
          <w:tcPr>
            <w:tcW w:w="1109" w:type="dxa"/>
            <w:tcBorders>
              <w:top w:val="nil"/>
              <w:left w:val="nil"/>
              <w:bottom w:val="nil"/>
              <w:right w:val="nil"/>
            </w:tcBorders>
            <w:shd w:val="clear" w:color="auto" w:fill="auto"/>
            <w:noWrap/>
            <w:vAlign w:val="center"/>
            <w:hideMark/>
          </w:tcPr>
          <w:p w14:paraId="6C8888A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w:t>
            </w:r>
          </w:p>
        </w:tc>
        <w:tc>
          <w:tcPr>
            <w:tcW w:w="1476" w:type="dxa"/>
            <w:gridSpan w:val="2"/>
            <w:tcBorders>
              <w:top w:val="nil"/>
              <w:left w:val="nil"/>
              <w:bottom w:val="nil"/>
              <w:right w:val="nil"/>
            </w:tcBorders>
            <w:shd w:val="clear" w:color="auto" w:fill="auto"/>
            <w:noWrap/>
            <w:vAlign w:val="center"/>
            <w:hideMark/>
          </w:tcPr>
          <w:p w14:paraId="4CF0016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26.43%</w:t>
            </w:r>
          </w:p>
        </w:tc>
      </w:tr>
      <w:tr w:rsidR="00F92342" w14:paraId="538E2025"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8122EF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中债综合全价指数收益率</w:t>
            </w:r>
          </w:p>
        </w:tc>
        <w:tc>
          <w:tcPr>
            <w:tcW w:w="1135" w:type="dxa"/>
            <w:tcBorders>
              <w:top w:val="nil"/>
              <w:left w:val="nil"/>
              <w:bottom w:val="nil"/>
              <w:right w:val="nil"/>
            </w:tcBorders>
            <w:shd w:val="clear" w:color="auto" w:fill="auto"/>
            <w:noWrap/>
            <w:vAlign w:val="center"/>
            <w:hideMark/>
          </w:tcPr>
          <w:p w14:paraId="5CA0D47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w:t>
            </w:r>
          </w:p>
        </w:tc>
        <w:tc>
          <w:tcPr>
            <w:tcW w:w="1476" w:type="dxa"/>
            <w:tcBorders>
              <w:top w:val="nil"/>
              <w:left w:val="nil"/>
              <w:bottom w:val="nil"/>
              <w:right w:val="nil"/>
            </w:tcBorders>
            <w:shd w:val="clear" w:color="auto" w:fill="auto"/>
            <w:noWrap/>
            <w:vAlign w:val="center"/>
            <w:hideMark/>
          </w:tcPr>
          <w:p w14:paraId="210369B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83.33%</w:t>
            </w:r>
          </w:p>
        </w:tc>
        <w:tc>
          <w:tcPr>
            <w:tcW w:w="2918" w:type="dxa"/>
            <w:tcBorders>
              <w:top w:val="nil"/>
              <w:left w:val="nil"/>
              <w:bottom w:val="nil"/>
              <w:right w:val="nil"/>
            </w:tcBorders>
            <w:shd w:val="clear" w:color="auto" w:fill="auto"/>
            <w:noWrap/>
            <w:vAlign w:val="center"/>
            <w:hideMark/>
          </w:tcPr>
          <w:p w14:paraId="1AFB69D3"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银行人民币活期存款利率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3A177D0C"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11</w:t>
            </w:r>
          </w:p>
        </w:tc>
        <w:tc>
          <w:tcPr>
            <w:tcW w:w="1476" w:type="dxa"/>
            <w:gridSpan w:val="2"/>
            <w:tcBorders>
              <w:top w:val="nil"/>
              <w:left w:val="nil"/>
              <w:bottom w:val="nil"/>
              <w:right w:val="nil"/>
            </w:tcBorders>
            <w:shd w:val="clear" w:color="auto" w:fill="auto"/>
            <w:noWrap/>
            <w:vAlign w:val="center"/>
            <w:hideMark/>
          </w:tcPr>
          <w:p w14:paraId="3225147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5B4E3158"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0E74174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中债综合财富指数收益率</w:t>
            </w:r>
          </w:p>
        </w:tc>
        <w:tc>
          <w:tcPr>
            <w:tcW w:w="1135" w:type="dxa"/>
            <w:tcBorders>
              <w:top w:val="nil"/>
              <w:left w:val="nil"/>
              <w:bottom w:val="nil"/>
              <w:right w:val="nil"/>
            </w:tcBorders>
            <w:shd w:val="clear" w:color="auto" w:fill="auto"/>
            <w:noWrap/>
            <w:vAlign w:val="center"/>
            <w:hideMark/>
          </w:tcPr>
          <w:p w14:paraId="16AD4DC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tcBorders>
              <w:top w:val="nil"/>
              <w:left w:val="nil"/>
              <w:bottom w:val="nil"/>
              <w:right w:val="nil"/>
            </w:tcBorders>
            <w:shd w:val="clear" w:color="auto" w:fill="auto"/>
            <w:noWrap/>
            <w:vAlign w:val="center"/>
            <w:hideMark/>
          </w:tcPr>
          <w:p w14:paraId="118E202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74.00%</w:t>
            </w:r>
          </w:p>
        </w:tc>
        <w:tc>
          <w:tcPr>
            <w:tcW w:w="2918" w:type="dxa"/>
            <w:tcBorders>
              <w:top w:val="nil"/>
              <w:left w:val="nil"/>
              <w:bottom w:val="nil"/>
              <w:right w:val="nil"/>
            </w:tcBorders>
            <w:shd w:val="clear" w:color="auto" w:fill="auto"/>
            <w:noWrap/>
            <w:vAlign w:val="center"/>
            <w:hideMark/>
          </w:tcPr>
          <w:p w14:paraId="1474C6AC"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中国债券总指数收益率</w:t>
            </w:r>
          </w:p>
        </w:tc>
        <w:tc>
          <w:tcPr>
            <w:tcW w:w="1109" w:type="dxa"/>
            <w:tcBorders>
              <w:top w:val="nil"/>
              <w:left w:val="nil"/>
              <w:bottom w:val="nil"/>
              <w:right w:val="nil"/>
            </w:tcBorders>
            <w:shd w:val="clear" w:color="auto" w:fill="auto"/>
            <w:noWrap/>
            <w:vAlign w:val="center"/>
            <w:hideMark/>
          </w:tcPr>
          <w:p w14:paraId="5EF67F09"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31747235"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32.00%</w:t>
            </w:r>
          </w:p>
        </w:tc>
      </w:tr>
      <w:tr w:rsidR="00F92342" w14:paraId="22F3941D"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61C7F1DB"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中证红利指数收益率</w:t>
            </w:r>
          </w:p>
        </w:tc>
        <w:tc>
          <w:tcPr>
            <w:tcW w:w="1135" w:type="dxa"/>
            <w:tcBorders>
              <w:top w:val="nil"/>
              <w:left w:val="nil"/>
              <w:bottom w:val="nil"/>
              <w:right w:val="nil"/>
            </w:tcBorders>
            <w:shd w:val="clear" w:color="auto" w:fill="auto"/>
            <w:noWrap/>
            <w:vAlign w:val="center"/>
            <w:hideMark/>
          </w:tcPr>
          <w:p w14:paraId="4E96462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tcBorders>
              <w:top w:val="nil"/>
              <w:left w:val="nil"/>
              <w:bottom w:val="nil"/>
              <w:right w:val="nil"/>
            </w:tcBorders>
            <w:shd w:val="clear" w:color="auto" w:fill="auto"/>
            <w:noWrap/>
            <w:vAlign w:val="center"/>
            <w:hideMark/>
          </w:tcPr>
          <w:p w14:paraId="760F5AE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75.00%</w:t>
            </w:r>
          </w:p>
        </w:tc>
        <w:tc>
          <w:tcPr>
            <w:tcW w:w="2918" w:type="dxa"/>
            <w:tcBorders>
              <w:top w:val="nil"/>
              <w:left w:val="nil"/>
              <w:bottom w:val="nil"/>
              <w:right w:val="nil"/>
            </w:tcBorders>
            <w:shd w:val="clear" w:color="auto" w:fill="auto"/>
            <w:noWrap/>
            <w:vAlign w:val="center"/>
            <w:hideMark/>
          </w:tcPr>
          <w:p w14:paraId="46203ED7"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中债国债总指数</w:t>
            </w:r>
            <w:r>
              <w:rPr>
                <w:rFonts w:ascii="Arial" w:eastAsia="等线" w:hAnsi="Arial" w:cs="Arial"/>
                <w:b/>
                <w:bCs/>
                <w:color w:val="0F243E"/>
                <w:sz w:val="16"/>
                <w:szCs w:val="16"/>
              </w:rPr>
              <w:t>(</w:t>
            </w:r>
            <w:r>
              <w:rPr>
                <w:rFonts w:ascii="Arial" w:eastAsia="等线" w:hAnsi="Arial" w:cs="Arial"/>
                <w:b/>
                <w:bCs/>
                <w:color w:val="0F243E"/>
                <w:sz w:val="16"/>
                <w:szCs w:val="16"/>
              </w:rPr>
              <w:t>全价</w:t>
            </w:r>
            <w:r>
              <w:rPr>
                <w:rFonts w:ascii="Arial" w:eastAsia="等线" w:hAnsi="Arial" w:cs="Arial"/>
                <w:b/>
                <w:bCs/>
                <w:color w:val="0F243E"/>
                <w:sz w:val="16"/>
                <w:szCs w:val="16"/>
              </w:rPr>
              <w:t>)</w:t>
            </w:r>
          </w:p>
        </w:tc>
        <w:tc>
          <w:tcPr>
            <w:tcW w:w="1109" w:type="dxa"/>
            <w:tcBorders>
              <w:top w:val="nil"/>
              <w:left w:val="nil"/>
              <w:bottom w:val="nil"/>
              <w:right w:val="nil"/>
            </w:tcBorders>
            <w:shd w:val="clear" w:color="auto" w:fill="auto"/>
            <w:noWrap/>
            <w:vAlign w:val="center"/>
            <w:hideMark/>
          </w:tcPr>
          <w:p w14:paraId="5E17AAF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w:t>
            </w:r>
          </w:p>
        </w:tc>
        <w:tc>
          <w:tcPr>
            <w:tcW w:w="1476" w:type="dxa"/>
            <w:gridSpan w:val="2"/>
            <w:tcBorders>
              <w:top w:val="nil"/>
              <w:left w:val="nil"/>
              <w:bottom w:val="nil"/>
              <w:right w:val="nil"/>
            </w:tcBorders>
            <w:shd w:val="clear" w:color="auto" w:fill="auto"/>
            <w:noWrap/>
            <w:vAlign w:val="center"/>
            <w:hideMark/>
          </w:tcPr>
          <w:p w14:paraId="4D070FB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13.00%</w:t>
            </w:r>
          </w:p>
        </w:tc>
      </w:tr>
      <w:tr w:rsidR="00F92342" w14:paraId="1B79CDE9"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7585D6D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沪深</w:t>
            </w:r>
            <w:r>
              <w:rPr>
                <w:rFonts w:ascii="Arial" w:eastAsia="等线" w:hAnsi="Arial" w:cs="Arial"/>
                <w:b/>
                <w:bCs/>
                <w:color w:val="0F243E"/>
                <w:sz w:val="16"/>
                <w:szCs w:val="16"/>
                <w:lang w:eastAsia="zh-CN"/>
              </w:rPr>
              <w:t>300</w:t>
            </w:r>
            <w:r>
              <w:rPr>
                <w:rFonts w:ascii="Arial" w:eastAsia="等线" w:hAnsi="Arial" w:cs="Arial"/>
                <w:b/>
                <w:bCs/>
                <w:color w:val="0F243E"/>
                <w:sz w:val="16"/>
                <w:szCs w:val="16"/>
                <w:lang w:eastAsia="zh-CN"/>
              </w:rPr>
              <w:t>红利低波动指数收益率</w:t>
            </w:r>
          </w:p>
        </w:tc>
        <w:tc>
          <w:tcPr>
            <w:tcW w:w="1135" w:type="dxa"/>
            <w:tcBorders>
              <w:top w:val="nil"/>
              <w:left w:val="nil"/>
              <w:bottom w:val="nil"/>
              <w:right w:val="nil"/>
            </w:tcBorders>
            <w:shd w:val="clear" w:color="auto" w:fill="auto"/>
            <w:noWrap/>
            <w:vAlign w:val="center"/>
            <w:hideMark/>
          </w:tcPr>
          <w:p w14:paraId="2A8F68FF"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5ABBBA5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918" w:type="dxa"/>
            <w:tcBorders>
              <w:top w:val="nil"/>
              <w:left w:val="nil"/>
              <w:bottom w:val="nil"/>
              <w:right w:val="nil"/>
            </w:tcBorders>
            <w:shd w:val="clear" w:color="auto" w:fill="auto"/>
            <w:noWrap/>
            <w:vAlign w:val="center"/>
            <w:hideMark/>
          </w:tcPr>
          <w:p w14:paraId="6EE905FB"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金融机构人民币活期存款基准利率</w:t>
            </w:r>
            <w:r>
              <w:rPr>
                <w:rFonts w:ascii="Arial" w:eastAsia="等线" w:hAnsi="Arial" w:cs="Arial"/>
                <w:b/>
                <w:bCs/>
                <w:color w:val="0F243E"/>
                <w:sz w:val="16"/>
                <w:szCs w:val="16"/>
                <w:lang w:eastAsia="zh-CN"/>
              </w:rPr>
              <w:t>(</w:t>
            </w:r>
            <w:r>
              <w:rPr>
                <w:rFonts w:ascii="Arial" w:eastAsia="等线" w:hAnsi="Arial" w:cs="Arial"/>
                <w:b/>
                <w:bCs/>
                <w:color w:val="0F243E"/>
                <w:sz w:val="16"/>
                <w:szCs w:val="16"/>
                <w:lang w:eastAsia="zh-CN"/>
              </w:rPr>
              <w:t>税后</w:t>
            </w:r>
            <w:r>
              <w:rPr>
                <w:rFonts w:ascii="Arial" w:eastAsia="等线" w:hAnsi="Arial" w:cs="Arial"/>
                <w:b/>
                <w:bCs/>
                <w:color w:val="0F243E"/>
                <w:sz w:val="16"/>
                <w:szCs w:val="16"/>
                <w:lang w:eastAsia="zh-CN"/>
              </w:rPr>
              <w:t>)</w:t>
            </w:r>
          </w:p>
        </w:tc>
        <w:tc>
          <w:tcPr>
            <w:tcW w:w="1109" w:type="dxa"/>
            <w:tcBorders>
              <w:top w:val="nil"/>
              <w:left w:val="nil"/>
              <w:bottom w:val="nil"/>
              <w:right w:val="nil"/>
            </w:tcBorders>
            <w:shd w:val="clear" w:color="auto" w:fill="auto"/>
            <w:noWrap/>
            <w:vAlign w:val="center"/>
            <w:hideMark/>
          </w:tcPr>
          <w:p w14:paraId="7C974E9D"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53AFD48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5.00%</w:t>
            </w:r>
          </w:p>
        </w:tc>
      </w:tr>
      <w:tr w:rsidR="00F92342" w14:paraId="3EEDE899"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ADD2F53"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央视财经</w:t>
            </w:r>
            <w:r>
              <w:rPr>
                <w:rFonts w:ascii="Arial" w:eastAsia="等线" w:hAnsi="Arial" w:cs="Arial"/>
                <w:b/>
                <w:bCs/>
                <w:color w:val="0F243E"/>
                <w:sz w:val="16"/>
                <w:szCs w:val="16"/>
              </w:rPr>
              <w:t>50</w:t>
            </w:r>
            <w:r>
              <w:rPr>
                <w:rFonts w:ascii="Arial" w:eastAsia="等线" w:hAnsi="Arial" w:cs="Arial"/>
                <w:b/>
                <w:bCs/>
                <w:color w:val="0F243E"/>
                <w:sz w:val="16"/>
                <w:szCs w:val="16"/>
              </w:rPr>
              <w:t>指数收益率</w:t>
            </w:r>
          </w:p>
        </w:tc>
        <w:tc>
          <w:tcPr>
            <w:tcW w:w="1135" w:type="dxa"/>
            <w:tcBorders>
              <w:top w:val="nil"/>
              <w:left w:val="nil"/>
              <w:bottom w:val="nil"/>
              <w:right w:val="nil"/>
            </w:tcBorders>
            <w:shd w:val="clear" w:color="auto" w:fill="auto"/>
            <w:noWrap/>
            <w:vAlign w:val="center"/>
            <w:hideMark/>
          </w:tcPr>
          <w:p w14:paraId="026D482A"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357631E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95.00%</w:t>
            </w:r>
          </w:p>
        </w:tc>
        <w:tc>
          <w:tcPr>
            <w:tcW w:w="2918" w:type="dxa"/>
            <w:tcBorders>
              <w:top w:val="nil"/>
              <w:left w:val="nil"/>
              <w:bottom w:val="nil"/>
              <w:right w:val="nil"/>
            </w:tcBorders>
            <w:shd w:val="clear" w:color="auto" w:fill="auto"/>
            <w:noWrap/>
            <w:vAlign w:val="center"/>
            <w:hideMark/>
          </w:tcPr>
          <w:p w14:paraId="126518B4"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中债总指数</w:t>
            </w:r>
            <w:r>
              <w:rPr>
                <w:rFonts w:ascii="Arial" w:eastAsia="等线" w:hAnsi="Arial" w:cs="Arial"/>
                <w:b/>
                <w:bCs/>
                <w:color w:val="0F243E"/>
                <w:sz w:val="16"/>
                <w:szCs w:val="16"/>
              </w:rPr>
              <w:t>(</w:t>
            </w:r>
            <w:r>
              <w:rPr>
                <w:rFonts w:ascii="Arial" w:eastAsia="等线" w:hAnsi="Arial" w:cs="Arial"/>
                <w:b/>
                <w:bCs/>
                <w:color w:val="0F243E"/>
                <w:sz w:val="16"/>
                <w:szCs w:val="16"/>
              </w:rPr>
              <w:t>财富</w:t>
            </w:r>
            <w:r>
              <w:rPr>
                <w:rFonts w:ascii="Arial" w:eastAsia="等线" w:hAnsi="Arial" w:cs="Arial"/>
                <w:b/>
                <w:bCs/>
                <w:color w:val="0F243E"/>
                <w:sz w:val="16"/>
                <w:szCs w:val="16"/>
              </w:rPr>
              <w:t>)</w:t>
            </w:r>
          </w:p>
        </w:tc>
        <w:tc>
          <w:tcPr>
            <w:tcW w:w="1109" w:type="dxa"/>
            <w:tcBorders>
              <w:top w:val="nil"/>
              <w:left w:val="nil"/>
              <w:bottom w:val="nil"/>
              <w:right w:val="nil"/>
            </w:tcBorders>
            <w:shd w:val="clear" w:color="auto" w:fill="auto"/>
            <w:noWrap/>
            <w:vAlign w:val="center"/>
            <w:hideMark/>
          </w:tcPr>
          <w:p w14:paraId="4B717B32"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5B9003C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45.00%</w:t>
            </w:r>
          </w:p>
        </w:tc>
      </w:tr>
      <w:tr w:rsidR="00F92342" w14:paraId="00466AC0"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4801005C"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中证锐联基本面</w:t>
            </w:r>
            <w:r>
              <w:rPr>
                <w:rFonts w:ascii="Arial" w:eastAsia="等线" w:hAnsi="Arial" w:cs="Arial"/>
                <w:b/>
                <w:bCs/>
                <w:color w:val="0F243E"/>
                <w:sz w:val="16"/>
                <w:szCs w:val="16"/>
                <w:lang w:eastAsia="zh-CN"/>
              </w:rPr>
              <w:t>50</w:t>
            </w:r>
            <w:r>
              <w:rPr>
                <w:rFonts w:ascii="Arial" w:eastAsia="等线" w:hAnsi="Arial" w:cs="Arial"/>
                <w:b/>
                <w:bCs/>
                <w:color w:val="0F243E"/>
                <w:sz w:val="16"/>
                <w:szCs w:val="16"/>
                <w:lang w:eastAsia="zh-CN"/>
              </w:rPr>
              <w:t>指数收益率</w:t>
            </w:r>
          </w:p>
        </w:tc>
        <w:tc>
          <w:tcPr>
            <w:tcW w:w="1135" w:type="dxa"/>
            <w:tcBorders>
              <w:top w:val="nil"/>
              <w:left w:val="nil"/>
              <w:bottom w:val="nil"/>
              <w:right w:val="nil"/>
            </w:tcBorders>
            <w:shd w:val="clear" w:color="auto" w:fill="auto"/>
            <w:noWrap/>
            <w:vAlign w:val="center"/>
            <w:hideMark/>
          </w:tcPr>
          <w:p w14:paraId="6977ADE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tcBorders>
              <w:top w:val="nil"/>
              <w:left w:val="nil"/>
              <w:bottom w:val="nil"/>
              <w:right w:val="nil"/>
            </w:tcBorders>
            <w:shd w:val="clear" w:color="auto" w:fill="auto"/>
            <w:noWrap/>
            <w:vAlign w:val="center"/>
            <w:hideMark/>
          </w:tcPr>
          <w:p w14:paraId="2F5740A6"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63.33%</w:t>
            </w:r>
          </w:p>
        </w:tc>
        <w:tc>
          <w:tcPr>
            <w:tcW w:w="2918" w:type="dxa"/>
            <w:tcBorders>
              <w:top w:val="nil"/>
              <w:left w:val="nil"/>
              <w:bottom w:val="nil"/>
              <w:right w:val="nil"/>
            </w:tcBorders>
            <w:shd w:val="clear" w:color="auto" w:fill="auto"/>
            <w:noWrap/>
            <w:vAlign w:val="center"/>
            <w:hideMark/>
          </w:tcPr>
          <w:p w14:paraId="4157EFF4" w14:textId="77777777" w:rsidR="00F92342" w:rsidRDefault="00F92342">
            <w:pPr>
              <w:rPr>
                <w:rFonts w:ascii="Arial" w:eastAsia="等线" w:hAnsi="Arial" w:cs="Arial"/>
                <w:b/>
                <w:bCs/>
                <w:color w:val="0F243E"/>
                <w:sz w:val="16"/>
                <w:szCs w:val="16"/>
              </w:rPr>
            </w:pPr>
            <w:r>
              <w:rPr>
                <w:rFonts w:ascii="Arial" w:eastAsia="等线" w:hAnsi="Arial" w:cs="Arial"/>
                <w:b/>
                <w:bCs/>
                <w:color w:val="0F243E"/>
                <w:sz w:val="16"/>
                <w:szCs w:val="16"/>
              </w:rPr>
              <w:t>银行同业存款利率</w:t>
            </w:r>
          </w:p>
        </w:tc>
        <w:tc>
          <w:tcPr>
            <w:tcW w:w="1109" w:type="dxa"/>
            <w:tcBorders>
              <w:top w:val="nil"/>
              <w:left w:val="nil"/>
              <w:bottom w:val="nil"/>
              <w:right w:val="nil"/>
            </w:tcBorders>
            <w:shd w:val="clear" w:color="auto" w:fill="auto"/>
            <w:noWrap/>
            <w:vAlign w:val="center"/>
            <w:hideMark/>
          </w:tcPr>
          <w:p w14:paraId="659D40B3"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w:t>
            </w:r>
          </w:p>
        </w:tc>
        <w:tc>
          <w:tcPr>
            <w:tcW w:w="1476" w:type="dxa"/>
            <w:gridSpan w:val="2"/>
            <w:tcBorders>
              <w:top w:val="nil"/>
              <w:left w:val="nil"/>
              <w:bottom w:val="nil"/>
              <w:right w:val="nil"/>
            </w:tcBorders>
            <w:shd w:val="clear" w:color="auto" w:fill="auto"/>
            <w:noWrap/>
            <w:vAlign w:val="center"/>
            <w:hideMark/>
          </w:tcPr>
          <w:p w14:paraId="5CC803C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6.25%</w:t>
            </w:r>
          </w:p>
        </w:tc>
      </w:tr>
      <w:tr w:rsidR="00F92342" w14:paraId="4DC8914D" w14:textId="77777777" w:rsidTr="005038B6">
        <w:trPr>
          <w:trHeight w:val="278"/>
        </w:trPr>
        <w:tc>
          <w:tcPr>
            <w:tcW w:w="2835" w:type="dxa"/>
            <w:gridSpan w:val="2"/>
            <w:tcBorders>
              <w:top w:val="nil"/>
              <w:left w:val="nil"/>
              <w:bottom w:val="nil"/>
              <w:right w:val="nil"/>
            </w:tcBorders>
            <w:shd w:val="clear" w:color="auto" w:fill="auto"/>
            <w:noWrap/>
            <w:vAlign w:val="center"/>
            <w:hideMark/>
          </w:tcPr>
          <w:p w14:paraId="2879FFB9"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中证浙江凤凰行动</w:t>
            </w:r>
            <w:r>
              <w:rPr>
                <w:rFonts w:ascii="Arial" w:eastAsia="等线" w:hAnsi="Arial" w:cs="Arial"/>
                <w:b/>
                <w:bCs/>
                <w:color w:val="0F243E"/>
                <w:sz w:val="16"/>
                <w:szCs w:val="16"/>
                <w:lang w:eastAsia="zh-CN"/>
              </w:rPr>
              <w:t>50</w:t>
            </w:r>
            <w:r>
              <w:rPr>
                <w:rFonts w:ascii="Arial" w:eastAsia="等线" w:hAnsi="Arial" w:cs="Arial"/>
                <w:b/>
                <w:bCs/>
                <w:color w:val="0F243E"/>
                <w:sz w:val="16"/>
                <w:szCs w:val="16"/>
                <w:lang w:eastAsia="zh-CN"/>
              </w:rPr>
              <w:t>指数收益率</w:t>
            </w:r>
          </w:p>
        </w:tc>
        <w:tc>
          <w:tcPr>
            <w:tcW w:w="1135" w:type="dxa"/>
            <w:tcBorders>
              <w:top w:val="nil"/>
              <w:left w:val="nil"/>
              <w:bottom w:val="nil"/>
              <w:right w:val="nil"/>
            </w:tcBorders>
            <w:shd w:val="clear" w:color="auto" w:fill="auto"/>
            <w:noWrap/>
            <w:vAlign w:val="center"/>
            <w:hideMark/>
          </w:tcPr>
          <w:p w14:paraId="6B5429FB"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w:t>
            </w:r>
          </w:p>
        </w:tc>
        <w:tc>
          <w:tcPr>
            <w:tcW w:w="1476" w:type="dxa"/>
            <w:tcBorders>
              <w:top w:val="nil"/>
              <w:left w:val="nil"/>
              <w:bottom w:val="nil"/>
              <w:right w:val="nil"/>
            </w:tcBorders>
            <w:shd w:val="clear" w:color="auto" w:fill="auto"/>
            <w:noWrap/>
            <w:vAlign w:val="center"/>
            <w:hideMark/>
          </w:tcPr>
          <w:p w14:paraId="16DB7F3E"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47.50%</w:t>
            </w:r>
          </w:p>
        </w:tc>
        <w:tc>
          <w:tcPr>
            <w:tcW w:w="2918" w:type="dxa"/>
            <w:tcBorders>
              <w:top w:val="nil"/>
              <w:left w:val="nil"/>
              <w:bottom w:val="nil"/>
              <w:right w:val="nil"/>
            </w:tcBorders>
            <w:shd w:val="clear" w:color="auto" w:fill="auto"/>
            <w:noWrap/>
            <w:vAlign w:val="center"/>
            <w:hideMark/>
          </w:tcPr>
          <w:p w14:paraId="7DAD2724" w14:textId="77777777" w:rsidR="00F92342" w:rsidRDefault="00F92342">
            <w:pPr>
              <w:rPr>
                <w:rFonts w:ascii="Arial" w:eastAsia="等线" w:hAnsi="Arial" w:cs="Arial"/>
                <w:b/>
                <w:bCs/>
                <w:color w:val="0F243E"/>
                <w:sz w:val="16"/>
                <w:szCs w:val="16"/>
                <w:lang w:eastAsia="zh-CN"/>
              </w:rPr>
            </w:pPr>
            <w:r>
              <w:rPr>
                <w:rFonts w:ascii="Arial" w:eastAsia="等线" w:hAnsi="Arial" w:cs="Arial"/>
                <w:b/>
                <w:bCs/>
                <w:color w:val="0F243E"/>
                <w:sz w:val="16"/>
                <w:szCs w:val="16"/>
                <w:lang w:eastAsia="zh-CN"/>
              </w:rPr>
              <w:t>中债综合全价指数收益率</w:t>
            </w:r>
          </w:p>
        </w:tc>
        <w:tc>
          <w:tcPr>
            <w:tcW w:w="1109" w:type="dxa"/>
            <w:tcBorders>
              <w:top w:val="nil"/>
              <w:left w:val="nil"/>
              <w:bottom w:val="nil"/>
              <w:right w:val="nil"/>
            </w:tcBorders>
            <w:shd w:val="clear" w:color="auto" w:fill="auto"/>
            <w:noWrap/>
            <w:vAlign w:val="center"/>
            <w:hideMark/>
          </w:tcPr>
          <w:p w14:paraId="76C38410"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3</w:t>
            </w:r>
          </w:p>
        </w:tc>
        <w:tc>
          <w:tcPr>
            <w:tcW w:w="1476" w:type="dxa"/>
            <w:gridSpan w:val="2"/>
            <w:tcBorders>
              <w:top w:val="nil"/>
              <w:left w:val="nil"/>
              <w:bottom w:val="nil"/>
              <w:right w:val="nil"/>
            </w:tcBorders>
            <w:shd w:val="clear" w:color="auto" w:fill="auto"/>
            <w:noWrap/>
            <w:vAlign w:val="center"/>
            <w:hideMark/>
          </w:tcPr>
          <w:p w14:paraId="45AE60E8" w14:textId="77777777" w:rsidR="00F92342" w:rsidRDefault="00F92342">
            <w:pPr>
              <w:jc w:val="center"/>
              <w:rPr>
                <w:rFonts w:ascii="Arial" w:eastAsia="等线" w:hAnsi="Arial" w:cs="Arial"/>
                <w:color w:val="0F243E"/>
                <w:sz w:val="16"/>
                <w:szCs w:val="16"/>
              </w:rPr>
            </w:pPr>
            <w:r>
              <w:rPr>
                <w:rFonts w:ascii="Arial" w:eastAsia="等线" w:hAnsi="Arial" w:cs="Arial"/>
                <w:color w:val="0F243E"/>
                <w:sz w:val="16"/>
                <w:szCs w:val="16"/>
              </w:rPr>
              <w:t>26.67%</w:t>
            </w:r>
          </w:p>
        </w:tc>
      </w:tr>
      <w:tr w:rsidR="00694637" w:rsidRPr="008512B4" w14:paraId="5203B29B" w14:textId="77777777" w:rsidTr="00F92342">
        <w:trPr>
          <w:gridBefore w:val="1"/>
          <w:gridAfter w:val="1"/>
          <w:wBefore w:w="142" w:type="dxa"/>
          <w:wAfter w:w="450" w:type="dxa"/>
          <w:trHeight w:val="288"/>
        </w:trPr>
        <w:tc>
          <w:tcPr>
            <w:tcW w:w="10357" w:type="dxa"/>
            <w:gridSpan w:val="6"/>
            <w:tcBorders>
              <w:top w:val="single" w:sz="2" w:space="0" w:color="000000"/>
              <w:left w:val="nil"/>
              <w:bottom w:val="nil"/>
              <w:right w:val="nil"/>
            </w:tcBorders>
            <w:shd w:val="clear" w:color="auto" w:fill="auto"/>
            <w:noWrap/>
            <w:vAlign w:val="center"/>
          </w:tcPr>
          <w:p w14:paraId="36E388CB" w14:textId="2FA48453" w:rsidR="00694637" w:rsidRPr="008512B4" w:rsidRDefault="00694637" w:rsidP="0040539B">
            <w:pPr>
              <w:pStyle w:val="aff2"/>
              <w:ind w:leftChars="-45" w:left="-108"/>
            </w:pPr>
            <w:r w:rsidRPr="008512B4">
              <w:rPr>
                <w:rFonts w:hint="eastAsia"/>
              </w:rPr>
              <w:t>数据来源：</w:t>
            </w:r>
            <w:r>
              <w:t>W</w:t>
            </w:r>
            <w:r>
              <w:rPr>
                <w:rFonts w:hint="eastAsia"/>
              </w:rPr>
              <w:t>ind</w:t>
            </w:r>
            <w:r w:rsidRPr="008512B4">
              <w:rPr>
                <w:rFonts w:hint="eastAsia"/>
              </w:rPr>
              <w:t>、广发证券发展研究中心</w:t>
            </w:r>
          </w:p>
        </w:tc>
      </w:tr>
    </w:tbl>
    <w:p w14:paraId="4725E5A3" w14:textId="6D945FCA" w:rsidR="00742EE3" w:rsidRPr="009B1FB9" w:rsidRDefault="009A63B1" w:rsidP="00742EE3">
      <w:pPr>
        <w:pStyle w:val="1"/>
        <w:spacing w:before="326"/>
        <w:rPr>
          <w:lang w:eastAsia="zh-CN"/>
        </w:rPr>
      </w:pPr>
      <w:bookmarkStart w:id="70" w:name="_Toc34803851"/>
      <w:bookmarkStart w:id="71" w:name="_Toc65784021"/>
      <w:r>
        <w:rPr>
          <w:rFonts w:hint="eastAsia"/>
          <w:lang w:eastAsia="zh-CN"/>
        </w:rPr>
        <w:t>四、风险提示</w:t>
      </w:r>
      <w:bookmarkEnd w:id="70"/>
      <w:bookmarkEnd w:id="71"/>
    </w:p>
    <w:p w14:paraId="2A043DAA" w14:textId="77777777" w:rsidR="00176693" w:rsidRPr="004610DE" w:rsidRDefault="00176693" w:rsidP="00176693">
      <w:pPr>
        <w:pStyle w:val="ae"/>
        <w:ind w:left="3017" w:firstLineChars="200" w:firstLine="420"/>
        <w:rPr>
          <w:lang w:eastAsia="zh-CN"/>
        </w:rPr>
      </w:pPr>
      <w:r w:rsidRPr="00671FFE">
        <w:rPr>
          <w:rFonts w:hint="eastAsia"/>
          <w:lang w:eastAsia="zh-CN"/>
        </w:rPr>
        <w:t>本文所做的数据测算完全基于过去数据的推演，市场未来环境可能发生变化。投资者制定投资策略时，必须结合市场环境和自身投资理念。同时，模型在极端市场环境中有失效风险。本专题策略推荐个股，仅从量化角度筛选，不代表广发证券发展研究中心行业分析师观点</w:t>
      </w:r>
      <w:r>
        <w:rPr>
          <w:rFonts w:hint="eastAsia"/>
          <w:lang w:eastAsia="zh-CN"/>
        </w:rPr>
        <w:t>。</w:t>
      </w:r>
    </w:p>
    <w:p w14:paraId="17C96145" w14:textId="5807458E" w:rsidR="00742EE3" w:rsidRPr="00176693" w:rsidRDefault="00742EE3" w:rsidP="00176693">
      <w:pPr>
        <w:autoSpaceDE w:val="0"/>
        <w:autoSpaceDN w:val="0"/>
        <w:adjustRightInd w:val="0"/>
        <w:spacing w:after="100"/>
        <w:ind w:leftChars="1257" w:left="3017" w:firstLineChars="1" w:firstLine="2"/>
        <w:jc w:val="both"/>
        <w:rPr>
          <w:rFonts w:eastAsia="楷体_GB2312"/>
          <w:kern w:val="0"/>
          <w:sz w:val="21"/>
          <w:szCs w:val="21"/>
          <w:lang w:eastAsia="zh-CN"/>
        </w:rPr>
        <w:sectPr w:rsidR="00742EE3" w:rsidRPr="00176693" w:rsidSect="00742EE3">
          <w:pgSz w:w="11906" w:h="16838" w:code="9"/>
          <w:pgMar w:top="1134" w:right="641" w:bottom="720" w:left="635" w:header="794" w:footer="737" w:gutter="0"/>
          <w:cols w:space="142"/>
          <w:docGrid w:type="lines" w:linePitch="326"/>
        </w:sectPr>
      </w:pPr>
    </w:p>
    <w:p w14:paraId="23A54A64" w14:textId="2CF01C47" w:rsidR="00355F3A" w:rsidRDefault="00355F3A" w:rsidP="00742EE3">
      <w:pPr>
        <w:rPr>
          <w:rFonts w:eastAsia="楷体_GB2312"/>
          <w:b/>
          <w:color w:val="1F497D" w:themeColor="text2"/>
          <w:lang w:eastAsia="zh-CN"/>
        </w:rPr>
      </w:pPr>
      <w:r>
        <w:rPr>
          <w:rFonts w:eastAsia="楷体_GB2312"/>
          <w:b/>
          <w:color w:val="1F497D" w:themeColor="text2"/>
          <w:lang w:eastAsia="zh-CN"/>
        </w:rPr>
        <w:br w:type="page"/>
      </w:r>
    </w:p>
    <w:tbl>
      <w:tblPr>
        <w:tblW w:w="0" w:type="auto"/>
        <w:tblLook w:val="04A0" w:firstRow="1" w:lastRow="0" w:firstColumn="1" w:lastColumn="0" w:noHBand="0" w:noVBand="1"/>
      </w:tblPr>
      <w:tblGrid>
        <w:gridCol w:w="1004"/>
        <w:gridCol w:w="234"/>
        <w:gridCol w:w="9608"/>
      </w:tblGrid>
      <w:tr w:rsidR="005D487C" w:rsidRPr="009814E7" w14:paraId="68913321" w14:textId="77777777" w:rsidTr="00B9063D">
        <w:trPr>
          <w:trHeight w:hRule="exact" w:val="23"/>
        </w:trPr>
        <w:tc>
          <w:tcPr>
            <w:tcW w:w="10846" w:type="dxa"/>
            <w:gridSpan w:val="3"/>
          </w:tcPr>
          <w:p w14:paraId="74CC9C32" w14:textId="26705EBC" w:rsidR="005D487C" w:rsidRPr="00E500F5" w:rsidRDefault="00742EE3" w:rsidP="00B9063D">
            <w:pPr>
              <w:jc w:val="both"/>
              <w:rPr>
                <w:rFonts w:eastAsia="楷体_GB2312"/>
                <w:bCs/>
                <w:color w:val="FFFFFF" w:themeColor="background1"/>
                <w:sz w:val="13"/>
                <w:szCs w:val="13"/>
                <w:lang w:eastAsia="zh-CN"/>
              </w:rPr>
            </w:pPr>
            <w:r>
              <w:rPr>
                <w:lang w:eastAsia="zh-CN"/>
              </w:rPr>
              <w:lastRenderedPageBreak/>
              <w:br w:type="page"/>
            </w:r>
            <w:bookmarkStart w:id="72" w:name="end_tag"/>
            <w:bookmarkEnd w:id="0"/>
            <w:r w:rsidR="005D487C" w:rsidRPr="00E500F5">
              <w:rPr>
                <w:rFonts w:eastAsia="楷体_GB2312"/>
                <w:bCs/>
                <w:color w:val="FFFFFF" w:themeColor="background1"/>
                <w:sz w:val="13"/>
                <w:szCs w:val="13"/>
                <w:lang w:eastAsia="zh-CN"/>
              </w:rPr>
              <w:t>[Table_ResearchTeam]</w:t>
            </w:r>
          </w:p>
        </w:tc>
      </w:tr>
      <w:tr w:rsidR="00540879" w:rsidRPr="003F4A47" w14:paraId="74669BE2" w14:textId="77777777" w:rsidTr="00B9063D">
        <w:tc>
          <w:tcPr>
            <w:tcW w:w="10846" w:type="dxa"/>
            <w:gridSpan w:val="3"/>
            <w:tcBorders>
              <w:bottom w:val="single" w:sz="12" w:space="0" w:color="1F497D" w:themeColor="text2"/>
            </w:tcBorders>
            <w:tcMar>
              <w:left w:w="108" w:type="dxa"/>
            </w:tcMar>
          </w:tcPr>
          <w:p w14:paraId="25637AB1" w14:textId="77777777" w:rsidR="00540879" w:rsidRPr="006737BC" w:rsidRDefault="00540879" w:rsidP="00B9063D">
            <w:pPr>
              <w:jc w:val="both"/>
              <w:rPr>
                <w:rFonts w:ascii="Arial" w:eastAsia="楷体_GB2312" w:hAnsi="Arial"/>
                <w:b/>
                <w:color w:val="1F497D"/>
                <w:lang w:eastAsia="zh-CN"/>
              </w:rPr>
            </w:pPr>
            <w:r>
              <w:rPr>
                <w:rFonts w:ascii="Arial" w:eastAsia="楷体_GB2312" w:hAnsi="Arial" w:hint="eastAsia"/>
                <w:b/>
                <w:color w:val="1F497D"/>
                <w:lang w:eastAsia="zh-CN"/>
              </w:rPr>
              <w:t>广发金融工程研究小组</w:t>
            </w:r>
          </w:p>
        </w:tc>
      </w:tr>
      <w:tr w:rsidR="00540879" w:rsidRPr="003F4A47" w14:paraId="6E04C763" w14:textId="77777777" w:rsidTr="00355F3A">
        <w:tc>
          <w:tcPr>
            <w:tcW w:w="1005" w:type="dxa"/>
            <w:tcBorders>
              <w:top w:val="single" w:sz="12" w:space="0" w:color="1F497D" w:themeColor="text2"/>
            </w:tcBorders>
          </w:tcPr>
          <w:p w14:paraId="1F772729" w14:textId="77777777" w:rsidR="005D487C" w:rsidRPr="00057C76" w:rsidRDefault="00540879" w:rsidP="00B9063D">
            <w:pPr>
              <w:pStyle w:val="afe"/>
            </w:pPr>
            <w:r>
              <w:rPr>
                <w:rFonts w:hint="eastAsia"/>
              </w:rPr>
              <w:t>罗</w:t>
            </w:r>
            <w:r>
              <w:rPr>
                <w:rFonts w:hint="eastAsia"/>
              </w:rPr>
              <w:t xml:space="preserve">  </w:t>
            </w:r>
            <w:r>
              <w:rPr>
                <w:rFonts w:hint="eastAsia"/>
              </w:rPr>
              <w:t>军</w:t>
            </w:r>
          </w:p>
        </w:tc>
        <w:tc>
          <w:tcPr>
            <w:tcW w:w="218" w:type="dxa"/>
            <w:tcBorders>
              <w:top w:val="single" w:sz="12" w:space="0" w:color="1F497D" w:themeColor="text2"/>
            </w:tcBorders>
            <w:noWrap/>
            <w:tcMar>
              <w:left w:w="0" w:type="dxa"/>
              <w:right w:w="0" w:type="dxa"/>
            </w:tcMar>
          </w:tcPr>
          <w:p w14:paraId="392625B0" w14:textId="77777777" w:rsidR="005D487C"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tcBorders>
              <w:top w:val="single" w:sz="12" w:space="0" w:color="1F497D" w:themeColor="text2"/>
            </w:tcBorders>
            <w:tcMar>
              <w:left w:w="0" w:type="dxa"/>
            </w:tcMar>
          </w:tcPr>
          <w:p w14:paraId="0780A9F5" w14:textId="77777777" w:rsidR="005D487C" w:rsidRPr="00057C76" w:rsidRDefault="00540879" w:rsidP="00057C76">
            <w:pPr>
              <w:rPr>
                <w:rStyle w:val="af5"/>
                <w:lang w:eastAsia="zh-CN"/>
              </w:rPr>
            </w:pPr>
            <w:r>
              <w:rPr>
                <w:rStyle w:val="af5"/>
                <w:rFonts w:hint="eastAsia"/>
                <w:lang w:eastAsia="zh-CN"/>
              </w:rPr>
              <w:t>首席分析师，华南理工大学硕士，从业</w:t>
            </w:r>
            <w:r>
              <w:rPr>
                <w:rStyle w:val="af5"/>
                <w:rFonts w:hint="eastAsia"/>
                <w:lang w:eastAsia="zh-CN"/>
              </w:rPr>
              <w:t>14</w:t>
            </w:r>
            <w:r>
              <w:rPr>
                <w:rStyle w:val="af5"/>
                <w:rFonts w:hint="eastAsia"/>
                <w:lang w:eastAsia="zh-CN"/>
              </w:rPr>
              <w:t>年，</w:t>
            </w:r>
            <w:r>
              <w:rPr>
                <w:rStyle w:val="af5"/>
                <w:rFonts w:hint="eastAsia"/>
                <w:lang w:eastAsia="zh-CN"/>
              </w:rPr>
              <w:t>2010</w:t>
            </w:r>
            <w:r>
              <w:rPr>
                <w:rStyle w:val="af5"/>
                <w:rFonts w:hint="eastAsia"/>
                <w:lang w:eastAsia="zh-CN"/>
              </w:rPr>
              <w:t>年进入广发证券发展研究中心。</w:t>
            </w:r>
          </w:p>
        </w:tc>
      </w:tr>
      <w:tr w:rsidR="00540879" w:rsidRPr="003F4A47" w14:paraId="274E2733" w14:textId="77777777" w:rsidTr="00355F3A">
        <w:tc>
          <w:tcPr>
            <w:tcW w:w="1005" w:type="dxa"/>
            <w:shd w:val="clear" w:color="auto" w:fill="auto"/>
          </w:tcPr>
          <w:p w14:paraId="48620153" w14:textId="77777777" w:rsidR="00540879" w:rsidRPr="00222605" w:rsidRDefault="00540879" w:rsidP="00B9063D">
            <w:pPr>
              <w:pStyle w:val="afe"/>
              <w:rPr>
                <w:sz w:val="20"/>
                <w:szCs w:val="20"/>
              </w:rPr>
            </w:pPr>
            <w:r w:rsidRPr="00222605">
              <w:rPr>
                <w:rFonts w:hint="eastAsia"/>
                <w:sz w:val="20"/>
                <w:szCs w:val="20"/>
              </w:rPr>
              <w:t>安宁宁</w:t>
            </w:r>
          </w:p>
        </w:tc>
        <w:tc>
          <w:tcPr>
            <w:tcW w:w="218" w:type="dxa"/>
            <w:shd w:val="clear" w:color="auto" w:fill="auto"/>
            <w:noWrap/>
            <w:tcMar>
              <w:left w:w="0" w:type="dxa"/>
              <w:right w:w="0" w:type="dxa"/>
            </w:tcMar>
          </w:tcPr>
          <w:p w14:paraId="72D99767" w14:textId="77777777" w:rsidR="00540879" w:rsidRPr="00222605" w:rsidRDefault="00540879" w:rsidP="00B9063D">
            <w:pPr>
              <w:jc w:val="both"/>
              <w:rPr>
                <w:rFonts w:ascii="Arial" w:eastAsia="楷体_GB2312" w:hAnsi="Arial"/>
                <w:bCs/>
                <w:color w:val="1F497D" w:themeColor="text2"/>
                <w:spacing w:val="-4"/>
                <w:sz w:val="20"/>
                <w:szCs w:val="20"/>
                <w:lang w:eastAsia="zh-CN"/>
              </w:rPr>
            </w:pPr>
            <w:r w:rsidRPr="00222605">
              <w:rPr>
                <w:rFonts w:ascii="Arial" w:eastAsia="楷体_GB2312" w:hAnsi="Arial" w:hint="eastAsia"/>
                <w:bCs/>
                <w:color w:val="1F497D" w:themeColor="text2"/>
                <w:spacing w:val="-4"/>
                <w:sz w:val="20"/>
                <w:szCs w:val="20"/>
                <w:lang w:eastAsia="zh-CN"/>
              </w:rPr>
              <w:t>：</w:t>
            </w:r>
          </w:p>
        </w:tc>
        <w:tc>
          <w:tcPr>
            <w:tcW w:w="9623" w:type="dxa"/>
            <w:shd w:val="clear" w:color="auto" w:fill="auto"/>
            <w:tcMar>
              <w:left w:w="0" w:type="dxa"/>
            </w:tcMar>
          </w:tcPr>
          <w:p w14:paraId="20924AD9" w14:textId="77777777" w:rsidR="00540879" w:rsidRPr="00222605" w:rsidRDefault="00540879" w:rsidP="00057C76">
            <w:pPr>
              <w:rPr>
                <w:rStyle w:val="af5"/>
                <w:sz w:val="20"/>
                <w:szCs w:val="20"/>
                <w:lang w:eastAsia="zh-CN"/>
              </w:rPr>
            </w:pPr>
            <w:r w:rsidRPr="00222605">
              <w:rPr>
                <w:rStyle w:val="af5"/>
                <w:rFonts w:hint="eastAsia"/>
                <w:sz w:val="20"/>
                <w:szCs w:val="20"/>
                <w:lang w:eastAsia="zh-CN"/>
              </w:rPr>
              <w:t>联席首席分析师，暨南大学硕士，从业</w:t>
            </w:r>
            <w:r w:rsidRPr="00222605">
              <w:rPr>
                <w:rStyle w:val="af5"/>
                <w:rFonts w:hint="eastAsia"/>
                <w:sz w:val="20"/>
                <w:szCs w:val="20"/>
                <w:lang w:eastAsia="zh-CN"/>
              </w:rPr>
              <w:t>12</w:t>
            </w:r>
            <w:r w:rsidRPr="00222605">
              <w:rPr>
                <w:rStyle w:val="af5"/>
                <w:rFonts w:hint="eastAsia"/>
                <w:sz w:val="20"/>
                <w:szCs w:val="20"/>
                <w:lang w:eastAsia="zh-CN"/>
              </w:rPr>
              <w:t>年，</w:t>
            </w:r>
            <w:r w:rsidRPr="00222605">
              <w:rPr>
                <w:rStyle w:val="af5"/>
                <w:rFonts w:hint="eastAsia"/>
                <w:sz w:val="20"/>
                <w:szCs w:val="20"/>
                <w:lang w:eastAsia="zh-CN"/>
              </w:rPr>
              <w:t>2011</w:t>
            </w:r>
            <w:r w:rsidRPr="00222605">
              <w:rPr>
                <w:rStyle w:val="af5"/>
                <w:rFonts w:hint="eastAsia"/>
                <w:sz w:val="20"/>
                <w:szCs w:val="20"/>
                <w:lang w:eastAsia="zh-CN"/>
              </w:rPr>
              <w:t>年进入广发证券发展研究中心。</w:t>
            </w:r>
          </w:p>
        </w:tc>
      </w:tr>
      <w:tr w:rsidR="00540879" w:rsidRPr="003F4A47" w14:paraId="71212587" w14:textId="77777777" w:rsidTr="00355F3A">
        <w:tc>
          <w:tcPr>
            <w:tcW w:w="1005" w:type="dxa"/>
            <w:shd w:val="clear" w:color="auto" w:fill="auto"/>
          </w:tcPr>
          <w:p w14:paraId="7C428420" w14:textId="77777777" w:rsidR="00540879" w:rsidRPr="00057C76" w:rsidRDefault="00540879" w:rsidP="00B9063D">
            <w:pPr>
              <w:pStyle w:val="afe"/>
            </w:pPr>
            <w:r>
              <w:rPr>
                <w:rFonts w:hint="eastAsia"/>
              </w:rPr>
              <w:t>史庆盛</w:t>
            </w:r>
          </w:p>
        </w:tc>
        <w:tc>
          <w:tcPr>
            <w:tcW w:w="218" w:type="dxa"/>
            <w:shd w:val="clear" w:color="auto" w:fill="auto"/>
            <w:noWrap/>
            <w:tcMar>
              <w:left w:w="0" w:type="dxa"/>
              <w:right w:w="0" w:type="dxa"/>
            </w:tcMar>
          </w:tcPr>
          <w:p w14:paraId="1ED3AD19"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39A45A18" w14:textId="77777777" w:rsidR="00540879" w:rsidRPr="00057C76" w:rsidRDefault="00540879" w:rsidP="00057C76">
            <w:pPr>
              <w:rPr>
                <w:rStyle w:val="af5"/>
                <w:lang w:eastAsia="zh-CN"/>
              </w:rPr>
            </w:pPr>
            <w:r>
              <w:rPr>
                <w:rStyle w:val="af5"/>
                <w:rFonts w:hint="eastAsia"/>
                <w:lang w:eastAsia="zh-CN"/>
              </w:rPr>
              <w:t>资深分析师，华南理工大学硕士，从业</w:t>
            </w:r>
            <w:r>
              <w:rPr>
                <w:rStyle w:val="af5"/>
                <w:rFonts w:hint="eastAsia"/>
                <w:lang w:eastAsia="zh-CN"/>
              </w:rPr>
              <w:t>8</w:t>
            </w:r>
            <w:r>
              <w:rPr>
                <w:rStyle w:val="af5"/>
                <w:rFonts w:hint="eastAsia"/>
                <w:lang w:eastAsia="zh-CN"/>
              </w:rPr>
              <w:t>年，</w:t>
            </w:r>
            <w:r>
              <w:rPr>
                <w:rStyle w:val="af5"/>
                <w:rFonts w:hint="eastAsia"/>
                <w:lang w:eastAsia="zh-CN"/>
              </w:rPr>
              <w:t>2011</w:t>
            </w:r>
            <w:r>
              <w:rPr>
                <w:rStyle w:val="af5"/>
                <w:rFonts w:hint="eastAsia"/>
                <w:lang w:eastAsia="zh-CN"/>
              </w:rPr>
              <w:t>年进入广发证券发展研究中心。</w:t>
            </w:r>
          </w:p>
        </w:tc>
      </w:tr>
      <w:tr w:rsidR="00540879" w:rsidRPr="003F4A47" w14:paraId="57EA0A21" w14:textId="77777777" w:rsidTr="00355F3A">
        <w:tc>
          <w:tcPr>
            <w:tcW w:w="1005" w:type="dxa"/>
            <w:shd w:val="clear" w:color="auto" w:fill="auto"/>
          </w:tcPr>
          <w:p w14:paraId="1FA9B1F1" w14:textId="77777777" w:rsidR="00540879" w:rsidRPr="00057C76" w:rsidRDefault="00540879" w:rsidP="00B9063D">
            <w:pPr>
              <w:pStyle w:val="afe"/>
            </w:pPr>
            <w:r>
              <w:rPr>
                <w:rFonts w:hint="eastAsia"/>
              </w:rPr>
              <w:t>张</w:t>
            </w:r>
            <w:r>
              <w:rPr>
                <w:rFonts w:hint="eastAsia"/>
              </w:rPr>
              <w:t xml:space="preserve">  </w:t>
            </w:r>
            <w:r>
              <w:rPr>
                <w:rFonts w:hint="eastAsia"/>
              </w:rPr>
              <w:t>超</w:t>
            </w:r>
          </w:p>
        </w:tc>
        <w:tc>
          <w:tcPr>
            <w:tcW w:w="218" w:type="dxa"/>
            <w:shd w:val="clear" w:color="auto" w:fill="auto"/>
            <w:noWrap/>
            <w:tcMar>
              <w:left w:w="0" w:type="dxa"/>
              <w:right w:w="0" w:type="dxa"/>
            </w:tcMar>
          </w:tcPr>
          <w:p w14:paraId="4C1C34CE"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71229CE6" w14:textId="77777777" w:rsidR="00540879" w:rsidRPr="00057C76" w:rsidRDefault="00540879" w:rsidP="00057C76">
            <w:pPr>
              <w:rPr>
                <w:rStyle w:val="af5"/>
                <w:lang w:eastAsia="zh-CN"/>
              </w:rPr>
            </w:pPr>
            <w:r>
              <w:rPr>
                <w:rStyle w:val="af5"/>
                <w:rFonts w:hint="eastAsia"/>
                <w:lang w:eastAsia="zh-CN"/>
              </w:rPr>
              <w:t>资深分析师，中山大学硕士，从业</w:t>
            </w:r>
            <w:r>
              <w:rPr>
                <w:rStyle w:val="af5"/>
                <w:rFonts w:hint="eastAsia"/>
                <w:lang w:eastAsia="zh-CN"/>
              </w:rPr>
              <w:t>7</w:t>
            </w:r>
            <w:r>
              <w:rPr>
                <w:rStyle w:val="af5"/>
                <w:rFonts w:hint="eastAsia"/>
                <w:lang w:eastAsia="zh-CN"/>
              </w:rPr>
              <w:t>年，</w:t>
            </w:r>
            <w:r>
              <w:rPr>
                <w:rStyle w:val="af5"/>
                <w:rFonts w:hint="eastAsia"/>
                <w:lang w:eastAsia="zh-CN"/>
              </w:rPr>
              <w:t>2012</w:t>
            </w:r>
            <w:r>
              <w:rPr>
                <w:rStyle w:val="af5"/>
                <w:rFonts w:hint="eastAsia"/>
                <w:lang w:eastAsia="zh-CN"/>
              </w:rPr>
              <w:t>年进入广发证券发展研究中心。</w:t>
            </w:r>
          </w:p>
        </w:tc>
      </w:tr>
      <w:tr w:rsidR="00540879" w:rsidRPr="003F4A47" w14:paraId="4C8B2616" w14:textId="77777777" w:rsidTr="00355F3A">
        <w:tc>
          <w:tcPr>
            <w:tcW w:w="1005" w:type="dxa"/>
            <w:shd w:val="clear" w:color="auto" w:fill="auto"/>
          </w:tcPr>
          <w:p w14:paraId="48938774" w14:textId="77777777" w:rsidR="00540879" w:rsidRPr="00057C76" w:rsidRDefault="00540879" w:rsidP="00B9063D">
            <w:pPr>
              <w:pStyle w:val="afe"/>
            </w:pPr>
            <w:r>
              <w:rPr>
                <w:rFonts w:hint="eastAsia"/>
              </w:rPr>
              <w:t>文巧钧</w:t>
            </w:r>
          </w:p>
        </w:tc>
        <w:tc>
          <w:tcPr>
            <w:tcW w:w="218" w:type="dxa"/>
            <w:shd w:val="clear" w:color="auto" w:fill="auto"/>
            <w:noWrap/>
            <w:tcMar>
              <w:left w:w="0" w:type="dxa"/>
              <w:right w:w="0" w:type="dxa"/>
            </w:tcMar>
          </w:tcPr>
          <w:p w14:paraId="5EC04375"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10E8C2F0" w14:textId="77777777" w:rsidR="00540879" w:rsidRPr="00057C76" w:rsidRDefault="00540879" w:rsidP="00057C76">
            <w:pPr>
              <w:rPr>
                <w:rStyle w:val="af5"/>
                <w:lang w:eastAsia="zh-CN"/>
              </w:rPr>
            </w:pPr>
            <w:r>
              <w:rPr>
                <w:rStyle w:val="af5"/>
                <w:rFonts w:hint="eastAsia"/>
                <w:lang w:eastAsia="zh-CN"/>
              </w:rPr>
              <w:t>资深分析师，浙江大学博士，从业</w:t>
            </w:r>
            <w:r>
              <w:rPr>
                <w:rStyle w:val="af5"/>
                <w:rFonts w:hint="eastAsia"/>
                <w:lang w:eastAsia="zh-CN"/>
              </w:rPr>
              <w:t>4</w:t>
            </w:r>
            <w:r>
              <w:rPr>
                <w:rStyle w:val="af5"/>
                <w:rFonts w:hint="eastAsia"/>
                <w:lang w:eastAsia="zh-CN"/>
              </w:rPr>
              <w:t>年，</w:t>
            </w:r>
            <w:r>
              <w:rPr>
                <w:rStyle w:val="af5"/>
                <w:rFonts w:hint="eastAsia"/>
                <w:lang w:eastAsia="zh-CN"/>
              </w:rPr>
              <w:t>2015</w:t>
            </w:r>
            <w:r>
              <w:rPr>
                <w:rStyle w:val="af5"/>
                <w:rFonts w:hint="eastAsia"/>
                <w:lang w:eastAsia="zh-CN"/>
              </w:rPr>
              <w:t>年进入广发证券发展研究中心。</w:t>
            </w:r>
          </w:p>
        </w:tc>
      </w:tr>
      <w:tr w:rsidR="00540879" w:rsidRPr="003F4A47" w14:paraId="71DD9F7F" w14:textId="77777777" w:rsidTr="00355F3A">
        <w:tc>
          <w:tcPr>
            <w:tcW w:w="1005" w:type="dxa"/>
            <w:shd w:val="clear" w:color="auto" w:fill="auto"/>
          </w:tcPr>
          <w:p w14:paraId="1140FCFA" w14:textId="77777777" w:rsidR="00540879" w:rsidRPr="00057C76" w:rsidRDefault="00540879" w:rsidP="00B9063D">
            <w:pPr>
              <w:pStyle w:val="afe"/>
            </w:pPr>
            <w:r>
              <w:rPr>
                <w:rFonts w:hint="eastAsia"/>
              </w:rPr>
              <w:t>陈原文</w:t>
            </w:r>
          </w:p>
        </w:tc>
        <w:tc>
          <w:tcPr>
            <w:tcW w:w="218" w:type="dxa"/>
            <w:shd w:val="clear" w:color="auto" w:fill="auto"/>
            <w:noWrap/>
            <w:tcMar>
              <w:left w:w="0" w:type="dxa"/>
              <w:right w:w="0" w:type="dxa"/>
            </w:tcMar>
          </w:tcPr>
          <w:p w14:paraId="0535B447"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7851B6C5" w14:textId="77777777" w:rsidR="00540879" w:rsidRPr="00057C76" w:rsidRDefault="00540879" w:rsidP="00057C76">
            <w:pPr>
              <w:rPr>
                <w:rStyle w:val="af5"/>
                <w:lang w:eastAsia="zh-CN"/>
              </w:rPr>
            </w:pPr>
            <w:r>
              <w:rPr>
                <w:rStyle w:val="af5"/>
                <w:rFonts w:hint="eastAsia"/>
                <w:lang w:eastAsia="zh-CN"/>
              </w:rPr>
              <w:t>资深分析师，中山大学硕士，从业</w:t>
            </w:r>
            <w:r>
              <w:rPr>
                <w:rStyle w:val="af5"/>
                <w:rFonts w:hint="eastAsia"/>
                <w:lang w:eastAsia="zh-CN"/>
              </w:rPr>
              <w:t>4</w:t>
            </w:r>
            <w:r>
              <w:rPr>
                <w:rStyle w:val="af5"/>
                <w:rFonts w:hint="eastAsia"/>
                <w:lang w:eastAsia="zh-CN"/>
              </w:rPr>
              <w:t>年，</w:t>
            </w:r>
            <w:r>
              <w:rPr>
                <w:rStyle w:val="af5"/>
                <w:rFonts w:hint="eastAsia"/>
                <w:lang w:eastAsia="zh-CN"/>
              </w:rPr>
              <w:t>2015</w:t>
            </w:r>
            <w:r>
              <w:rPr>
                <w:rStyle w:val="af5"/>
                <w:rFonts w:hint="eastAsia"/>
                <w:lang w:eastAsia="zh-CN"/>
              </w:rPr>
              <w:t>年进入广发证券发展研究中心。</w:t>
            </w:r>
          </w:p>
        </w:tc>
      </w:tr>
      <w:tr w:rsidR="00540879" w:rsidRPr="003F4A47" w14:paraId="115A5BCC" w14:textId="77777777" w:rsidTr="00355F3A">
        <w:tc>
          <w:tcPr>
            <w:tcW w:w="1005" w:type="dxa"/>
            <w:shd w:val="clear" w:color="auto" w:fill="auto"/>
          </w:tcPr>
          <w:p w14:paraId="5E3CB5C2" w14:textId="77777777" w:rsidR="00540879" w:rsidRPr="00057C76" w:rsidRDefault="00540879" w:rsidP="00B9063D">
            <w:pPr>
              <w:pStyle w:val="afe"/>
            </w:pPr>
            <w:r>
              <w:rPr>
                <w:rFonts w:hint="eastAsia"/>
              </w:rPr>
              <w:t>樊瑞铎</w:t>
            </w:r>
          </w:p>
        </w:tc>
        <w:tc>
          <w:tcPr>
            <w:tcW w:w="218" w:type="dxa"/>
            <w:shd w:val="clear" w:color="auto" w:fill="auto"/>
            <w:noWrap/>
            <w:tcMar>
              <w:left w:w="0" w:type="dxa"/>
              <w:right w:w="0" w:type="dxa"/>
            </w:tcMar>
          </w:tcPr>
          <w:p w14:paraId="5A15BF99"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0F642E8C" w14:textId="77777777" w:rsidR="00540879" w:rsidRPr="00057C76" w:rsidRDefault="00540879" w:rsidP="00057C76">
            <w:pPr>
              <w:rPr>
                <w:rStyle w:val="af5"/>
                <w:lang w:eastAsia="zh-CN"/>
              </w:rPr>
            </w:pPr>
            <w:r>
              <w:rPr>
                <w:rStyle w:val="af5"/>
                <w:rFonts w:hint="eastAsia"/>
                <w:lang w:eastAsia="zh-CN"/>
              </w:rPr>
              <w:t>资深分析师，南开大学硕士，从业</w:t>
            </w:r>
            <w:r>
              <w:rPr>
                <w:rStyle w:val="af5"/>
                <w:rFonts w:hint="eastAsia"/>
                <w:lang w:eastAsia="zh-CN"/>
              </w:rPr>
              <w:t>4</w:t>
            </w:r>
            <w:r>
              <w:rPr>
                <w:rStyle w:val="af5"/>
                <w:rFonts w:hint="eastAsia"/>
                <w:lang w:eastAsia="zh-CN"/>
              </w:rPr>
              <w:t>年，</w:t>
            </w:r>
            <w:r>
              <w:rPr>
                <w:rStyle w:val="af5"/>
                <w:rFonts w:hint="eastAsia"/>
                <w:lang w:eastAsia="zh-CN"/>
              </w:rPr>
              <w:t>2015</w:t>
            </w:r>
            <w:r>
              <w:rPr>
                <w:rStyle w:val="af5"/>
                <w:rFonts w:hint="eastAsia"/>
                <w:lang w:eastAsia="zh-CN"/>
              </w:rPr>
              <w:t>年进入广发证券发展研究中心。</w:t>
            </w:r>
          </w:p>
        </w:tc>
      </w:tr>
      <w:tr w:rsidR="00540879" w:rsidRPr="003F4A47" w14:paraId="7B9EEAD7" w14:textId="77777777" w:rsidTr="00355F3A">
        <w:tc>
          <w:tcPr>
            <w:tcW w:w="1005" w:type="dxa"/>
            <w:shd w:val="clear" w:color="auto" w:fill="auto"/>
          </w:tcPr>
          <w:p w14:paraId="528057A8" w14:textId="77777777" w:rsidR="00540879" w:rsidRPr="00057C76" w:rsidRDefault="00540879" w:rsidP="00B9063D">
            <w:pPr>
              <w:pStyle w:val="afe"/>
            </w:pPr>
            <w:r>
              <w:rPr>
                <w:rFonts w:hint="eastAsia"/>
              </w:rPr>
              <w:t>李</w:t>
            </w:r>
            <w:r>
              <w:rPr>
                <w:rFonts w:hint="eastAsia"/>
              </w:rPr>
              <w:t xml:space="preserve">  </w:t>
            </w:r>
            <w:r>
              <w:rPr>
                <w:rFonts w:hint="eastAsia"/>
              </w:rPr>
              <w:t>豪</w:t>
            </w:r>
          </w:p>
        </w:tc>
        <w:tc>
          <w:tcPr>
            <w:tcW w:w="218" w:type="dxa"/>
            <w:shd w:val="clear" w:color="auto" w:fill="auto"/>
            <w:noWrap/>
            <w:tcMar>
              <w:left w:w="0" w:type="dxa"/>
              <w:right w:w="0" w:type="dxa"/>
            </w:tcMar>
          </w:tcPr>
          <w:p w14:paraId="20AFAADD"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0E3AAA2B" w14:textId="77777777" w:rsidR="00540879" w:rsidRPr="00057C76" w:rsidRDefault="00540879" w:rsidP="00057C76">
            <w:pPr>
              <w:rPr>
                <w:rStyle w:val="af5"/>
                <w:lang w:eastAsia="zh-CN"/>
              </w:rPr>
            </w:pPr>
            <w:r>
              <w:rPr>
                <w:rStyle w:val="af5"/>
                <w:rFonts w:hint="eastAsia"/>
                <w:lang w:eastAsia="zh-CN"/>
              </w:rPr>
              <w:t>资深分析师，上海交通大学硕士，从业</w:t>
            </w:r>
            <w:r>
              <w:rPr>
                <w:rStyle w:val="af5"/>
                <w:rFonts w:hint="eastAsia"/>
                <w:lang w:eastAsia="zh-CN"/>
              </w:rPr>
              <w:t>3</w:t>
            </w:r>
            <w:r>
              <w:rPr>
                <w:rStyle w:val="af5"/>
                <w:rFonts w:hint="eastAsia"/>
                <w:lang w:eastAsia="zh-CN"/>
              </w:rPr>
              <w:t>年，</w:t>
            </w:r>
            <w:r>
              <w:rPr>
                <w:rStyle w:val="af5"/>
                <w:rFonts w:hint="eastAsia"/>
                <w:lang w:eastAsia="zh-CN"/>
              </w:rPr>
              <w:t>2016</w:t>
            </w:r>
            <w:r>
              <w:rPr>
                <w:rStyle w:val="af5"/>
                <w:rFonts w:hint="eastAsia"/>
                <w:lang w:eastAsia="zh-CN"/>
              </w:rPr>
              <w:t>年进入广发证券发展研究中心。</w:t>
            </w:r>
          </w:p>
        </w:tc>
      </w:tr>
      <w:tr w:rsidR="00540879" w:rsidRPr="003F4A47" w14:paraId="0F141990" w14:textId="77777777" w:rsidTr="00355F3A">
        <w:tc>
          <w:tcPr>
            <w:tcW w:w="1005" w:type="dxa"/>
            <w:shd w:val="clear" w:color="auto" w:fill="auto"/>
          </w:tcPr>
          <w:p w14:paraId="1AA4354A" w14:textId="77777777" w:rsidR="00540879" w:rsidRPr="00057C76" w:rsidRDefault="00540879" w:rsidP="00B9063D">
            <w:pPr>
              <w:pStyle w:val="afe"/>
            </w:pPr>
            <w:r>
              <w:rPr>
                <w:rFonts w:hint="eastAsia"/>
              </w:rPr>
              <w:t>郭圳滨</w:t>
            </w:r>
          </w:p>
        </w:tc>
        <w:tc>
          <w:tcPr>
            <w:tcW w:w="218" w:type="dxa"/>
            <w:shd w:val="clear" w:color="auto" w:fill="auto"/>
            <w:noWrap/>
            <w:tcMar>
              <w:left w:w="0" w:type="dxa"/>
              <w:right w:w="0" w:type="dxa"/>
            </w:tcMar>
          </w:tcPr>
          <w:p w14:paraId="289D230A"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2F55F13A" w14:textId="77777777" w:rsidR="00540879" w:rsidRPr="00057C76" w:rsidRDefault="00540879" w:rsidP="00057C76">
            <w:pPr>
              <w:rPr>
                <w:rStyle w:val="af5"/>
                <w:lang w:eastAsia="zh-CN"/>
              </w:rPr>
            </w:pPr>
            <w:r>
              <w:rPr>
                <w:rStyle w:val="af5"/>
                <w:rFonts w:hint="eastAsia"/>
                <w:lang w:eastAsia="zh-CN"/>
              </w:rPr>
              <w:t>高级分析师，中山大学硕士，</w:t>
            </w:r>
            <w:r>
              <w:rPr>
                <w:rStyle w:val="af5"/>
                <w:rFonts w:hint="eastAsia"/>
                <w:lang w:eastAsia="zh-CN"/>
              </w:rPr>
              <w:t>2018</w:t>
            </w:r>
            <w:r>
              <w:rPr>
                <w:rStyle w:val="af5"/>
                <w:rFonts w:hint="eastAsia"/>
                <w:lang w:eastAsia="zh-CN"/>
              </w:rPr>
              <w:t>年进入广发证券发展研究中心。</w:t>
            </w:r>
          </w:p>
        </w:tc>
      </w:tr>
      <w:tr w:rsidR="00540879" w:rsidRPr="003F4A47" w14:paraId="60CD1509" w14:textId="77777777" w:rsidTr="00355F3A">
        <w:tc>
          <w:tcPr>
            <w:tcW w:w="1005" w:type="dxa"/>
            <w:shd w:val="clear" w:color="auto" w:fill="auto"/>
          </w:tcPr>
          <w:p w14:paraId="11255479" w14:textId="77777777" w:rsidR="00540879" w:rsidRPr="00057C76" w:rsidRDefault="00540879" w:rsidP="00B9063D">
            <w:pPr>
              <w:pStyle w:val="afe"/>
            </w:pPr>
            <w:r>
              <w:rPr>
                <w:rFonts w:hint="eastAsia"/>
              </w:rPr>
              <w:t>季燕妮</w:t>
            </w:r>
          </w:p>
        </w:tc>
        <w:tc>
          <w:tcPr>
            <w:tcW w:w="218" w:type="dxa"/>
            <w:shd w:val="clear" w:color="auto" w:fill="auto"/>
            <w:noWrap/>
            <w:tcMar>
              <w:left w:w="0" w:type="dxa"/>
              <w:right w:w="0" w:type="dxa"/>
            </w:tcMar>
          </w:tcPr>
          <w:p w14:paraId="60267168"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3DD99F9D" w14:textId="77777777" w:rsidR="00540879" w:rsidRPr="00057C76" w:rsidRDefault="00540879" w:rsidP="00057C76">
            <w:pPr>
              <w:rPr>
                <w:rStyle w:val="af5"/>
                <w:lang w:eastAsia="zh-CN"/>
              </w:rPr>
            </w:pPr>
            <w:r>
              <w:rPr>
                <w:rStyle w:val="af5"/>
                <w:rFonts w:hint="eastAsia"/>
                <w:lang w:eastAsia="zh-CN"/>
              </w:rPr>
              <w:t>研究助理，厦门大学硕士，</w:t>
            </w:r>
            <w:r>
              <w:rPr>
                <w:rStyle w:val="af5"/>
                <w:rFonts w:hint="eastAsia"/>
                <w:lang w:eastAsia="zh-CN"/>
              </w:rPr>
              <w:t>2020</w:t>
            </w:r>
            <w:r>
              <w:rPr>
                <w:rStyle w:val="af5"/>
                <w:rFonts w:hint="eastAsia"/>
                <w:lang w:eastAsia="zh-CN"/>
              </w:rPr>
              <w:t>年进入广发证券发展研究中心。</w:t>
            </w:r>
          </w:p>
        </w:tc>
      </w:tr>
      <w:tr w:rsidR="00540879" w:rsidRPr="003F4A47" w14:paraId="7CD72582" w14:textId="77777777" w:rsidTr="00355F3A">
        <w:tc>
          <w:tcPr>
            <w:tcW w:w="1005" w:type="dxa"/>
            <w:shd w:val="clear" w:color="auto" w:fill="auto"/>
          </w:tcPr>
          <w:p w14:paraId="36ACF3A7" w14:textId="77777777" w:rsidR="00540879" w:rsidRPr="00057C76" w:rsidRDefault="00540879" w:rsidP="00B9063D">
            <w:pPr>
              <w:pStyle w:val="afe"/>
            </w:pPr>
            <w:r>
              <w:rPr>
                <w:rFonts w:hint="eastAsia"/>
              </w:rPr>
              <w:t>张钰东</w:t>
            </w:r>
          </w:p>
        </w:tc>
        <w:tc>
          <w:tcPr>
            <w:tcW w:w="218" w:type="dxa"/>
            <w:shd w:val="clear" w:color="auto" w:fill="auto"/>
            <w:noWrap/>
            <w:tcMar>
              <w:left w:w="0" w:type="dxa"/>
              <w:right w:w="0" w:type="dxa"/>
            </w:tcMar>
          </w:tcPr>
          <w:p w14:paraId="240C3166"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02CFE6D5" w14:textId="77777777" w:rsidR="00540879" w:rsidRPr="00057C76" w:rsidRDefault="00540879" w:rsidP="00057C76">
            <w:pPr>
              <w:rPr>
                <w:rStyle w:val="af5"/>
                <w:lang w:eastAsia="zh-CN"/>
              </w:rPr>
            </w:pPr>
            <w:r>
              <w:rPr>
                <w:rStyle w:val="af5"/>
                <w:rFonts w:hint="eastAsia"/>
                <w:lang w:eastAsia="zh-CN"/>
              </w:rPr>
              <w:t>研究助理，中山大学硕士，</w:t>
            </w:r>
            <w:r>
              <w:rPr>
                <w:rStyle w:val="af5"/>
                <w:rFonts w:hint="eastAsia"/>
                <w:lang w:eastAsia="zh-CN"/>
              </w:rPr>
              <w:t>2020</w:t>
            </w:r>
            <w:r>
              <w:rPr>
                <w:rStyle w:val="af5"/>
                <w:rFonts w:hint="eastAsia"/>
                <w:lang w:eastAsia="zh-CN"/>
              </w:rPr>
              <w:t>年进入广发证券发展研究中心。</w:t>
            </w:r>
          </w:p>
        </w:tc>
      </w:tr>
      <w:tr w:rsidR="00540879" w:rsidRPr="003F4A47" w14:paraId="5310FEA7" w14:textId="77777777" w:rsidTr="00355F3A">
        <w:tc>
          <w:tcPr>
            <w:tcW w:w="1005" w:type="dxa"/>
            <w:shd w:val="clear" w:color="auto" w:fill="auto"/>
          </w:tcPr>
          <w:p w14:paraId="64C6EBE8" w14:textId="77777777" w:rsidR="00540879" w:rsidRPr="00057C76" w:rsidRDefault="00540879" w:rsidP="00B9063D">
            <w:pPr>
              <w:pStyle w:val="afe"/>
            </w:pPr>
            <w:r>
              <w:rPr>
                <w:rFonts w:hint="eastAsia"/>
              </w:rPr>
              <w:t>季俊男</w:t>
            </w:r>
          </w:p>
        </w:tc>
        <w:tc>
          <w:tcPr>
            <w:tcW w:w="218" w:type="dxa"/>
            <w:shd w:val="clear" w:color="auto" w:fill="auto"/>
            <w:noWrap/>
            <w:tcMar>
              <w:left w:w="0" w:type="dxa"/>
              <w:right w:w="0" w:type="dxa"/>
            </w:tcMar>
          </w:tcPr>
          <w:p w14:paraId="3E55019E" w14:textId="77777777" w:rsidR="00540879" w:rsidRPr="00181A68" w:rsidRDefault="00540879" w:rsidP="00B9063D">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23" w:type="dxa"/>
            <w:shd w:val="clear" w:color="auto" w:fill="auto"/>
            <w:tcMar>
              <w:left w:w="0" w:type="dxa"/>
            </w:tcMar>
          </w:tcPr>
          <w:p w14:paraId="5E2BD82C" w14:textId="77777777" w:rsidR="00540879" w:rsidRPr="00057C76" w:rsidRDefault="00540879" w:rsidP="00057C76">
            <w:pPr>
              <w:rPr>
                <w:rStyle w:val="af5"/>
                <w:lang w:eastAsia="zh-CN"/>
              </w:rPr>
            </w:pPr>
            <w:r>
              <w:rPr>
                <w:rStyle w:val="af5"/>
                <w:rFonts w:hint="eastAsia"/>
                <w:lang w:eastAsia="zh-CN"/>
              </w:rPr>
              <w:t>南京大学硕士，</w:t>
            </w:r>
            <w:r>
              <w:rPr>
                <w:rStyle w:val="af5"/>
                <w:rFonts w:hint="eastAsia"/>
                <w:lang w:eastAsia="zh-CN"/>
              </w:rPr>
              <w:t>2020</w:t>
            </w:r>
            <w:r>
              <w:rPr>
                <w:rStyle w:val="af5"/>
                <w:rFonts w:hint="eastAsia"/>
                <w:lang w:eastAsia="zh-CN"/>
              </w:rPr>
              <w:t>年进入广发证券发展研究中心。</w:t>
            </w:r>
          </w:p>
        </w:tc>
      </w:tr>
    </w:tbl>
    <w:p w14:paraId="4E06315F" w14:textId="77777777" w:rsidR="005D487C" w:rsidRDefault="005D487C" w:rsidP="00EE2B5E">
      <w:pPr>
        <w:spacing w:line="240" w:lineRule="exact"/>
        <w:rPr>
          <w:rFonts w:eastAsia="楷体_GB2312"/>
          <w:b/>
          <w:color w:val="1F497D" w:themeColor="text2"/>
          <w:lang w:eastAsia="zh-CN"/>
        </w:rPr>
      </w:pPr>
    </w:p>
    <w:tbl>
      <w:tblPr>
        <w:tblW w:w="0" w:type="auto"/>
        <w:tblLook w:val="04A0" w:firstRow="1" w:lastRow="0" w:firstColumn="1" w:lastColumn="0" w:noHBand="0" w:noVBand="1"/>
      </w:tblPr>
      <w:tblGrid>
        <w:gridCol w:w="1101"/>
        <w:gridCol w:w="9745"/>
      </w:tblGrid>
      <w:tr w:rsidR="00970A2A" w:rsidRPr="009814E7" w14:paraId="5DF6BD17" w14:textId="77777777" w:rsidTr="00540879">
        <w:trPr>
          <w:trHeight w:hRule="exact" w:val="23"/>
        </w:trPr>
        <w:tc>
          <w:tcPr>
            <w:tcW w:w="10846" w:type="dxa"/>
            <w:gridSpan w:val="2"/>
          </w:tcPr>
          <w:p w14:paraId="5EA0E825" w14:textId="77777777" w:rsidR="00970A2A" w:rsidRPr="00E500F5" w:rsidRDefault="00970A2A" w:rsidP="00B9063D">
            <w:pPr>
              <w:jc w:val="both"/>
              <w:rPr>
                <w:rFonts w:eastAsia="楷体_GB2312"/>
                <w:bCs/>
                <w:color w:val="FFFFFF" w:themeColor="background1"/>
                <w:sz w:val="13"/>
                <w:szCs w:val="13"/>
                <w:lang w:eastAsia="zh-CN"/>
              </w:rPr>
            </w:pPr>
            <w:r w:rsidRPr="00E500F5">
              <w:rPr>
                <w:rFonts w:eastAsia="楷体_GB2312"/>
                <w:bCs/>
                <w:color w:val="FFFFFF" w:themeColor="background1"/>
                <w:sz w:val="13"/>
                <w:szCs w:val="13"/>
                <w:lang w:eastAsia="zh-CN"/>
              </w:rPr>
              <w:t>[Table_IndustryInvestDescription]</w:t>
            </w:r>
          </w:p>
        </w:tc>
      </w:tr>
      <w:tr w:rsidR="00970A2A" w:rsidRPr="000F49B8" w14:paraId="4F320956" w14:textId="77777777" w:rsidTr="00540879">
        <w:tc>
          <w:tcPr>
            <w:tcW w:w="10846" w:type="dxa"/>
            <w:gridSpan w:val="2"/>
            <w:tcBorders>
              <w:bottom w:val="single" w:sz="12" w:space="0" w:color="1F497D" w:themeColor="text2"/>
            </w:tcBorders>
          </w:tcPr>
          <w:p w14:paraId="5DC0F98A" w14:textId="77777777" w:rsidR="00970A2A" w:rsidRPr="000F49B8" w:rsidRDefault="00970A2A" w:rsidP="00B9063D">
            <w:pPr>
              <w:jc w:val="both"/>
              <w:rPr>
                <w:rFonts w:eastAsia="楷体_GB2312"/>
                <w:b/>
                <w:color w:val="1F497D" w:themeColor="text2"/>
                <w:lang w:eastAsia="zh-CN"/>
              </w:rPr>
            </w:pPr>
            <w:r w:rsidRPr="000F49B8">
              <w:rPr>
                <w:rFonts w:eastAsia="楷体_GB2312"/>
                <w:b/>
                <w:bCs/>
                <w:color w:val="1F497D" w:themeColor="text2"/>
                <w:lang w:eastAsia="zh-CN"/>
              </w:rPr>
              <w:t>广发证券</w:t>
            </w:r>
            <w:r w:rsidRPr="000F49B8">
              <w:rPr>
                <w:rFonts w:eastAsia="楷体_GB2312"/>
                <w:b/>
                <w:bCs/>
                <w:color w:val="1F497D" w:themeColor="text2"/>
                <w:lang w:eastAsia="zh-CN"/>
              </w:rPr>
              <w:t>—</w:t>
            </w:r>
            <w:r w:rsidRPr="000F49B8">
              <w:rPr>
                <w:rFonts w:eastAsia="楷体_GB2312"/>
                <w:b/>
                <w:bCs/>
                <w:color w:val="1F497D" w:themeColor="text2"/>
                <w:lang w:eastAsia="zh-CN"/>
              </w:rPr>
              <w:t>行业投资评级说明</w:t>
            </w:r>
          </w:p>
        </w:tc>
      </w:tr>
      <w:tr w:rsidR="00970A2A" w:rsidRPr="000F49B8" w14:paraId="3D3465EC" w14:textId="77777777" w:rsidTr="00540879">
        <w:tc>
          <w:tcPr>
            <w:tcW w:w="1101" w:type="dxa"/>
            <w:tcBorders>
              <w:top w:val="single" w:sz="12" w:space="0" w:color="1F497D" w:themeColor="text2"/>
            </w:tcBorders>
            <w:vAlign w:val="center"/>
          </w:tcPr>
          <w:p w14:paraId="4D9CF8CA" w14:textId="77777777" w:rsidR="00970A2A" w:rsidRPr="004C4272" w:rsidRDefault="00540879" w:rsidP="00317208">
            <w:pPr>
              <w:pStyle w:val="aff3"/>
              <w:jc w:val="right"/>
            </w:pPr>
            <w:r>
              <w:rPr>
                <w:rFonts w:hint="eastAsia"/>
              </w:rPr>
              <w:t>买入：</w:t>
            </w:r>
          </w:p>
        </w:tc>
        <w:tc>
          <w:tcPr>
            <w:tcW w:w="9745" w:type="dxa"/>
            <w:tcBorders>
              <w:top w:val="single" w:sz="12" w:space="0" w:color="1F497D" w:themeColor="text2"/>
            </w:tcBorders>
          </w:tcPr>
          <w:p w14:paraId="1A014157" w14:textId="77777777" w:rsidR="00970A2A" w:rsidRPr="004C4272" w:rsidRDefault="00540879" w:rsidP="00317208">
            <w:pPr>
              <w:pStyle w:val="aff3"/>
            </w:pPr>
            <w:r>
              <w:rPr>
                <w:rFonts w:hint="eastAsia"/>
              </w:rPr>
              <w:t>预期未来</w:t>
            </w:r>
            <w:r>
              <w:rPr>
                <w:rFonts w:hint="eastAsia"/>
              </w:rPr>
              <w:t>12</w:t>
            </w:r>
            <w:r>
              <w:rPr>
                <w:rFonts w:hint="eastAsia"/>
              </w:rPr>
              <w:t>个月内，股价表现强于大盘</w:t>
            </w:r>
            <w:r>
              <w:rPr>
                <w:rFonts w:hint="eastAsia"/>
              </w:rPr>
              <w:t>10%</w:t>
            </w:r>
            <w:r>
              <w:rPr>
                <w:rFonts w:hint="eastAsia"/>
              </w:rPr>
              <w:t>以上。</w:t>
            </w:r>
          </w:p>
        </w:tc>
      </w:tr>
      <w:tr w:rsidR="00540879" w:rsidRPr="000F49B8" w14:paraId="32FBE60C" w14:textId="77777777" w:rsidTr="00540879">
        <w:tc>
          <w:tcPr>
            <w:tcW w:w="1101" w:type="dxa"/>
            <w:shd w:val="clear" w:color="auto" w:fill="auto"/>
            <w:vAlign w:val="center"/>
          </w:tcPr>
          <w:p w14:paraId="1E36D4DF" w14:textId="77777777" w:rsidR="00540879" w:rsidRPr="004C4272" w:rsidRDefault="00540879" w:rsidP="00317208">
            <w:pPr>
              <w:pStyle w:val="aff3"/>
              <w:jc w:val="right"/>
            </w:pPr>
            <w:r>
              <w:rPr>
                <w:rFonts w:hint="eastAsia"/>
              </w:rPr>
              <w:t>持有：</w:t>
            </w:r>
          </w:p>
        </w:tc>
        <w:tc>
          <w:tcPr>
            <w:tcW w:w="9745" w:type="dxa"/>
            <w:shd w:val="clear" w:color="auto" w:fill="auto"/>
          </w:tcPr>
          <w:p w14:paraId="38912316" w14:textId="77777777" w:rsidR="00540879" w:rsidRPr="004C4272" w:rsidRDefault="00540879" w:rsidP="00317208">
            <w:pPr>
              <w:pStyle w:val="aff3"/>
            </w:pPr>
            <w:r>
              <w:rPr>
                <w:rFonts w:hint="eastAsia"/>
              </w:rPr>
              <w:t>预期未来</w:t>
            </w:r>
            <w:r>
              <w:rPr>
                <w:rFonts w:hint="eastAsia"/>
              </w:rPr>
              <w:t>12</w:t>
            </w:r>
            <w:r>
              <w:rPr>
                <w:rFonts w:hint="eastAsia"/>
              </w:rPr>
              <w:t>个月内，股价相对大盘的变动幅度介于</w:t>
            </w:r>
            <w:r>
              <w:rPr>
                <w:rFonts w:hint="eastAsia"/>
              </w:rPr>
              <w:t>-10%</w:t>
            </w:r>
            <w:r>
              <w:rPr>
                <w:rFonts w:hint="eastAsia"/>
              </w:rPr>
              <w:t>～</w:t>
            </w:r>
            <w:r>
              <w:rPr>
                <w:rFonts w:hint="eastAsia"/>
              </w:rPr>
              <w:t>+10%</w:t>
            </w:r>
            <w:r>
              <w:rPr>
                <w:rFonts w:hint="eastAsia"/>
              </w:rPr>
              <w:t>。</w:t>
            </w:r>
          </w:p>
        </w:tc>
      </w:tr>
      <w:tr w:rsidR="00540879" w:rsidRPr="000F49B8" w14:paraId="2ED87CB4" w14:textId="77777777" w:rsidTr="00540879">
        <w:tc>
          <w:tcPr>
            <w:tcW w:w="1101" w:type="dxa"/>
            <w:shd w:val="clear" w:color="auto" w:fill="auto"/>
            <w:vAlign w:val="center"/>
          </w:tcPr>
          <w:p w14:paraId="04B53926" w14:textId="77777777" w:rsidR="00540879" w:rsidRPr="004C4272" w:rsidRDefault="00540879" w:rsidP="00317208">
            <w:pPr>
              <w:pStyle w:val="aff3"/>
              <w:jc w:val="right"/>
            </w:pPr>
            <w:r>
              <w:rPr>
                <w:rFonts w:hint="eastAsia"/>
              </w:rPr>
              <w:t>卖出：</w:t>
            </w:r>
          </w:p>
        </w:tc>
        <w:tc>
          <w:tcPr>
            <w:tcW w:w="9745" w:type="dxa"/>
            <w:shd w:val="clear" w:color="auto" w:fill="auto"/>
          </w:tcPr>
          <w:p w14:paraId="375E11AA" w14:textId="77777777" w:rsidR="00540879" w:rsidRPr="004C4272" w:rsidRDefault="00540879" w:rsidP="00317208">
            <w:pPr>
              <w:pStyle w:val="aff3"/>
            </w:pPr>
            <w:r>
              <w:rPr>
                <w:rFonts w:hint="eastAsia"/>
              </w:rPr>
              <w:t>预期未来</w:t>
            </w:r>
            <w:r>
              <w:rPr>
                <w:rFonts w:hint="eastAsia"/>
              </w:rPr>
              <w:t>12</w:t>
            </w:r>
            <w:r>
              <w:rPr>
                <w:rFonts w:hint="eastAsia"/>
              </w:rPr>
              <w:t>个月内，股价表现弱于大盘</w:t>
            </w:r>
            <w:r>
              <w:rPr>
                <w:rFonts w:hint="eastAsia"/>
              </w:rPr>
              <w:t>10%</w:t>
            </w:r>
            <w:r>
              <w:rPr>
                <w:rFonts w:hint="eastAsia"/>
              </w:rPr>
              <w:t>以上。</w:t>
            </w:r>
          </w:p>
        </w:tc>
      </w:tr>
    </w:tbl>
    <w:p w14:paraId="4234C5FB" w14:textId="77777777" w:rsidR="00EE2B5E" w:rsidRDefault="00EE2B5E" w:rsidP="00EE2B5E">
      <w:pPr>
        <w:spacing w:line="240" w:lineRule="exact"/>
        <w:rPr>
          <w:rFonts w:eastAsia="楷体_GB2312"/>
          <w:b/>
          <w:color w:val="1F497D" w:themeColor="text2"/>
          <w:lang w:eastAsia="zh-CN"/>
        </w:rPr>
      </w:pPr>
    </w:p>
    <w:tbl>
      <w:tblPr>
        <w:tblW w:w="0" w:type="auto"/>
        <w:tblLook w:val="04A0" w:firstRow="1" w:lastRow="0" w:firstColumn="1" w:lastColumn="0" w:noHBand="0" w:noVBand="1"/>
      </w:tblPr>
      <w:tblGrid>
        <w:gridCol w:w="1101"/>
        <w:gridCol w:w="9745"/>
      </w:tblGrid>
      <w:tr w:rsidR="00970A2A" w:rsidRPr="009814E7" w14:paraId="6379FC0B" w14:textId="77777777" w:rsidTr="00540879">
        <w:trPr>
          <w:trHeight w:hRule="exact" w:val="23"/>
        </w:trPr>
        <w:tc>
          <w:tcPr>
            <w:tcW w:w="10846" w:type="dxa"/>
            <w:gridSpan w:val="2"/>
          </w:tcPr>
          <w:p w14:paraId="7D9BF7AF" w14:textId="77777777" w:rsidR="00970A2A" w:rsidRPr="00E500F5" w:rsidRDefault="00970A2A" w:rsidP="00B9063D">
            <w:pPr>
              <w:jc w:val="both"/>
              <w:rPr>
                <w:rFonts w:eastAsia="楷体_GB2312"/>
                <w:bCs/>
                <w:color w:val="FFFFFF" w:themeColor="background1"/>
                <w:sz w:val="13"/>
                <w:szCs w:val="13"/>
                <w:lang w:eastAsia="zh-CN"/>
              </w:rPr>
            </w:pPr>
            <w:r w:rsidRPr="00E500F5">
              <w:rPr>
                <w:rFonts w:eastAsia="楷体_GB2312"/>
                <w:bCs/>
                <w:color w:val="FFFFFF" w:themeColor="background1"/>
                <w:sz w:val="13"/>
                <w:szCs w:val="13"/>
                <w:lang w:eastAsia="zh-CN"/>
              </w:rPr>
              <w:t>[Table_CompanyInvestDescription]</w:t>
            </w:r>
          </w:p>
        </w:tc>
      </w:tr>
      <w:tr w:rsidR="00970A2A" w:rsidRPr="003F4A47" w14:paraId="4673C784" w14:textId="77777777" w:rsidTr="00540879">
        <w:tc>
          <w:tcPr>
            <w:tcW w:w="10846" w:type="dxa"/>
            <w:gridSpan w:val="2"/>
            <w:tcBorders>
              <w:bottom w:val="single" w:sz="12" w:space="0" w:color="1F497D" w:themeColor="text2"/>
            </w:tcBorders>
          </w:tcPr>
          <w:p w14:paraId="59C71B6B" w14:textId="77777777" w:rsidR="00970A2A" w:rsidRPr="003F4A47" w:rsidRDefault="00970A2A" w:rsidP="00B9063D">
            <w:pPr>
              <w:jc w:val="both"/>
              <w:rPr>
                <w:rFonts w:eastAsia="楷体_GB2312"/>
                <w:b/>
                <w:color w:val="1F497D" w:themeColor="text2"/>
                <w:lang w:eastAsia="zh-CN"/>
              </w:rPr>
            </w:pPr>
            <w:r w:rsidRPr="003F4A47">
              <w:rPr>
                <w:rFonts w:eastAsia="楷体_GB2312"/>
                <w:b/>
                <w:bCs/>
                <w:color w:val="1F497D" w:themeColor="text2"/>
                <w:lang w:eastAsia="zh-CN"/>
              </w:rPr>
              <w:t>广发证券</w:t>
            </w:r>
            <w:r w:rsidRPr="003F4A47">
              <w:rPr>
                <w:rFonts w:eastAsia="楷体_GB2312"/>
                <w:b/>
                <w:bCs/>
                <w:color w:val="1F497D" w:themeColor="text2"/>
                <w:lang w:eastAsia="zh-CN"/>
              </w:rPr>
              <w:t>—</w:t>
            </w:r>
            <w:r w:rsidRPr="003F4A47">
              <w:rPr>
                <w:rFonts w:eastAsia="楷体_GB2312"/>
                <w:b/>
                <w:bCs/>
                <w:color w:val="1F497D" w:themeColor="text2"/>
                <w:lang w:eastAsia="zh-CN"/>
              </w:rPr>
              <w:t>公司投资评级说明</w:t>
            </w:r>
          </w:p>
        </w:tc>
      </w:tr>
      <w:tr w:rsidR="00970A2A" w:rsidRPr="003F4A47" w14:paraId="5A070F29" w14:textId="77777777" w:rsidTr="00540879">
        <w:tc>
          <w:tcPr>
            <w:tcW w:w="1101" w:type="dxa"/>
            <w:tcBorders>
              <w:top w:val="single" w:sz="12" w:space="0" w:color="1F497D" w:themeColor="text2"/>
            </w:tcBorders>
            <w:vAlign w:val="center"/>
          </w:tcPr>
          <w:p w14:paraId="62B9DF27" w14:textId="77777777" w:rsidR="00970A2A" w:rsidRPr="00317208" w:rsidRDefault="00540879" w:rsidP="00317208">
            <w:pPr>
              <w:pStyle w:val="aff3"/>
              <w:jc w:val="right"/>
              <w:rPr>
                <w:bCs w:val="0"/>
              </w:rPr>
            </w:pPr>
            <w:r>
              <w:rPr>
                <w:rFonts w:hint="eastAsia"/>
                <w:bCs w:val="0"/>
              </w:rPr>
              <w:t>买入：</w:t>
            </w:r>
          </w:p>
        </w:tc>
        <w:tc>
          <w:tcPr>
            <w:tcW w:w="9745" w:type="dxa"/>
            <w:tcBorders>
              <w:top w:val="single" w:sz="12" w:space="0" w:color="1F497D" w:themeColor="text2"/>
            </w:tcBorders>
          </w:tcPr>
          <w:p w14:paraId="0FB2D0F5" w14:textId="77777777" w:rsidR="00970A2A" w:rsidRPr="004C4272" w:rsidRDefault="00540879" w:rsidP="00317208">
            <w:pPr>
              <w:pStyle w:val="aff3"/>
            </w:pPr>
            <w:r>
              <w:rPr>
                <w:rFonts w:hint="eastAsia"/>
              </w:rPr>
              <w:t>预期未来</w:t>
            </w:r>
            <w:r>
              <w:rPr>
                <w:rFonts w:hint="eastAsia"/>
              </w:rPr>
              <w:t>12</w:t>
            </w:r>
            <w:r>
              <w:rPr>
                <w:rFonts w:hint="eastAsia"/>
              </w:rPr>
              <w:t>个月内，股价表现强于大盘</w:t>
            </w:r>
            <w:r>
              <w:rPr>
                <w:rFonts w:hint="eastAsia"/>
              </w:rPr>
              <w:t>15%</w:t>
            </w:r>
            <w:r>
              <w:rPr>
                <w:rFonts w:hint="eastAsia"/>
              </w:rPr>
              <w:t>以上。</w:t>
            </w:r>
          </w:p>
        </w:tc>
      </w:tr>
      <w:tr w:rsidR="00540879" w:rsidRPr="003F4A47" w14:paraId="51A7AFF7" w14:textId="77777777" w:rsidTr="00540879">
        <w:tc>
          <w:tcPr>
            <w:tcW w:w="1101" w:type="dxa"/>
            <w:shd w:val="clear" w:color="auto" w:fill="auto"/>
            <w:vAlign w:val="center"/>
          </w:tcPr>
          <w:p w14:paraId="5BDD6EA9" w14:textId="77777777" w:rsidR="00540879" w:rsidRPr="00317208" w:rsidRDefault="00540879" w:rsidP="00317208">
            <w:pPr>
              <w:pStyle w:val="aff3"/>
              <w:jc w:val="right"/>
              <w:rPr>
                <w:bCs w:val="0"/>
              </w:rPr>
            </w:pPr>
            <w:r>
              <w:rPr>
                <w:rFonts w:hint="eastAsia"/>
                <w:bCs w:val="0"/>
              </w:rPr>
              <w:t>增持：</w:t>
            </w:r>
          </w:p>
        </w:tc>
        <w:tc>
          <w:tcPr>
            <w:tcW w:w="9745" w:type="dxa"/>
            <w:shd w:val="clear" w:color="auto" w:fill="auto"/>
          </w:tcPr>
          <w:p w14:paraId="58EB3045" w14:textId="77777777" w:rsidR="00540879" w:rsidRPr="004C4272" w:rsidRDefault="00540879" w:rsidP="00317208">
            <w:pPr>
              <w:pStyle w:val="aff3"/>
            </w:pPr>
            <w:r>
              <w:rPr>
                <w:rFonts w:hint="eastAsia"/>
              </w:rPr>
              <w:t>预期未来</w:t>
            </w:r>
            <w:r>
              <w:rPr>
                <w:rFonts w:hint="eastAsia"/>
              </w:rPr>
              <w:t>12</w:t>
            </w:r>
            <w:r>
              <w:rPr>
                <w:rFonts w:hint="eastAsia"/>
              </w:rPr>
              <w:t>个月内，股价表现强于大盘</w:t>
            </w:r>
            <w:r>
              <w:rPr>
                <w:rFonts w:hint="eastAsia"/>
              </w:rPr>
              <w:t>5%-15%</w:t>
            </w:r>
            <w:r>
              <w:rPr>
                <w:rFonts w:hint="eastAsia"/>
              </w:rPr>
              <w:t>。</w:t>
            </w:r>
          </w:p>
        </w:tc>
      </w:tr>
      <w:tr w:rsidR="00540879" w:rsidRPr="003F4A47" w14:paraId="7A4B98E2" w14:textId="77777777" w:rsidTr="00540879">
        <w:tc>
          <w:tcPr>
            <w:tcW w:w="1101" w:type="dxa"/>
            <w:shd w:val="clear" w:color="auto" w:fill="auto"/>
            <w:vAlign w:val="center"/>
          </w:tcPr>
          <w:p w14:paraId="29167BF6" w14:textId="77777777" w:rsidR="00540879" w:rsidRPr="00317208" w:rsidRDefault="00540879" w:rsidP="00317208">
            <w:pPr>
              <w:pStyle w:val="aff3"/>
              <w:jc w:val="right"/>
              <w:rPr>
                <w:bCs w:val="0"/>
              </w:rPr>
            </w:pPr>
            <w:r>
              <w:rPr>
                <w:rFonts w:hint="eastAsia"/>
                <w:bCs w:val="0"/>
              </w:rPr>
              <w:t>持有：</w:t>
            </w:r>
          </w:p>
        </w:tc>
        <w:tc>
          <w:tcPr>
            <w:tcW w:w="9745" w:type="dxa"/>
            <w:shd w:val="clear" w:color="auto" w:fill="auto"/>
          </w:tcPr>
          <w:p w14:paraId="5E9E4F0D" w14:textId="77777777" w:rsidR="00540879" w:rsidRPr="004C4272" w:rsidRDefault="00540879" w:rsidP="00317208">
            <w:pPr>
              <w:pStyle w:val="aff3"/>
            </w:pPr>
            <w:r>
              <w:rPr>
                <w:rFonts w:hint="eastAsia"/>
              </w:rPr>
              <w:t>预期未来</w:t>
            </w:r>
            <w:r>
              <w:rPr>
                <w:rFonts w:hint="eastAsia"/>
              </w:rPr>
              <w:t>12</w:t>
            </w:r>
            <w:r>
              <w:rPr>
                <w:rFonts w:hint="eastAsia"/>
              </w:rPr>
              <w:t>个月内，股价相对大盘的变动幅度介于</w:t>
            </w:r>
            <w:r>
              <w:rPr>
                <w:rFonts w:hint="eastAsia"/>
              </w:rPr>
              <w:t>-5%</w:t>
            </w:r>
            <w:r>
              <w:rPr>
                <w:rFonts w:hint="eastAsia"/>
              </w:rPr>
              <w:t>～</w:t>
            </w:r>
            <w:r>
              <w:rPr>
                <w:rFonts w:hint="eastAsia"/>
              </w:rPr>
              <w:t>+5%</w:t>
            </w:r>
            <w:r>
              <w:rPr>
                <w:rFonts w:hint="eastAsia"/>
              </w:rPr>
              <w:t>。</w:t>
            </w:r>
          </w:p>
        </w:tc>
      </w:tr>
      <w:tr w:rsidR="00540879" w:rsidRPr="003F4A47" w14:paraId="73C11DF2" w14:textId="77777777" w:rsidTr="00540879">
        <w:tc>
          <w:tcPr>
            <w:tcW w:w="1101" w:type="dxa"/>
            <w:shd w:val="clear" w:color="auto" w:fill="auto"/>
            <w:vAlign w:val="center"/>
          </w:tcPr>
          <w:p w14:paraId="41351D46" w14:textId="77777777" w:rsidR="00540879" w:rsidRPr="00317208" w:rsidRDefault="00540879" w:rsidP="00317208">
            <w:pPr>
              <w:pStyle w:val="aff3"/>
              <w:jc w:val="right"/>
              <w:rPr>
                <w:bCs w:val="0"/>
              </w:rPr>
            </w:pPr>
            <w:r>
              <w:rPr>
                <w:rFonts w:hint="eastAsia"/>
                <w:bCs w:val="0"/>
              </w:rPr>
              <w:t>卖出：</w:t>
            </w:r>
          </w:p>
        </w:tc>
        <w:tc>
          <w:tcPr>
            <w:tcW w:w="9745" w:type="dxa"/>
            <w:shd w:val="clear" w:color="auto" w:fill="auto"/>
          </w:tcPr>
          <w:p w14:paraId="2DB0D3FB" w14:textId="77777777" w:rsidR="00540879" w:rsidRPr="004C4272" w:rsidRDefault="00540879" w:rsidP="00317208">
            <w:pPr>
              <w:pStyle w:val="aff3"/>
            </w:pPr>
            <w:r>
              <w:rPr>
                <w:rFonts w:hint="eastAsia"/>
              </w:rPr>
              <w:t>预期未来</w:t>
            </w:r>
            <w:r>
              <w:rPr>
                <w:rFonts w:hint="eastAsia"/>
              </w:rPr>
              <w:t>12</w:t>
            </w:r>
            <w:r>
              <w:rPr>
                <w:rFonts w:hint="eastAsia"/>
              </w:rPr>
              <w:t>个月内，股价表现弱于大盘</w:t>
            </w:r>
            <w:r>
              <w:rPr>
                <w:rFonts w:hint="eastAsia"/>
              </w:rPr>
              <w:t>5%</w:t>
            </w:r>
            <w:r>
              <w:rPr>
                <w:rFonts w:hint="eastAsia"/>
              </w:rPr>
              <w:t>以上。</w:t>
            </w:r>
          </w:p>
        </w:tc>
      </w:tr>
    </w:tbl>
    <w:p w14:paraId="52A6BDFB" w14:textId="77777777" w:rsidR="00EE2B5E" w:rsidRDefault="00EE2B5E" w:rsidP="00EE2B5E">
      <w:pPr>
        <w:spacing w:line="240" w:lineRule="exact"/>
        <w:rPr>
          <w:rFonts w:eastAsia="楷体_GB2312"/>
          <w:b/>
          <w:color w:val="1F497D" w:themeColor="text2"/>
          <w:lang w:eastAsia="zh-CN"/>
        </w:rPr>
      </w:pPr>
    </w:p>
    <w:tbl>
      <w:tblPr>
        <w:tblW w:w="5000" w:type="pct"/>
        <w:tblBorders>
          <w:top w:val="single" w:sz="12" w:space="0" w:color="000000"/>
          <w:bottom w:val="single" w:sz="12" w:space="0" w:color="000000"/>
        </w:tblBorders>
        <w:tblLook w:val="01E0" w:firstRow="1" w:lastRow="1" w:firstColumn="1" w:lastColumn="1" w:noHBand="0" w:noVBand="0"/>
      </w:tblPr>
      <w:tblGrid>
        <w:gridCol w:w="1102"/>
        <w:gridCol w:w="1948"/>
        <w:gridCol w:w="1948"/>
        <w:gridCol w:w="1948"/>
        <w:gridCol w:w="1948"/>
        <w:gridCol w:w="1952"/>
      </w:tblGrid>
      <w:tr w:rsidR="003D227D" w14:paraId="7C101162" w14:textId="77777777" w:rsidTr="003D227D">
        <w:trPr>
          <w:trHeight w:hRule="exact" w:val="23"/>
        </w:trPr>
        <w:tc>
          <w:tcPr>
            <w:tcW w:w="5000" w:type="pct"/>
            <w:gridSpan w:val="6"/>
            <w:tcBorders>
              <w:top w:val="nil"/>
              <w:left w:val="nil"/>
              <w:bottom w:val="nil"/>
              <w:right w:val="nil"/>
            </w:tcBorders>
            <w:hideMark/>
          </w:tcPr>
          <w:p w14:paraId="61D323C4" w14:textId="77777777" w:rsidR="003D227D" w:rsidRDefault="003D227D">
            <w:pPr>
              <w:rPr>
                <w:rFonts w:eastAsia="楷体_GB2312"/>
                <w:color w:val="FFFFFF" w:themeColor="background1"/>
                <w:sz w:val="13"/>
                <w:szCs w:val="13"/>
              </w:rPr>
            </w:pPr>
            <w:r>
              <w:rPr>
                <w:rFonts w:eastAsia="楷体_GB2312"/>
                <w:color w:val="FFFFFF" w:themeColor="background1"/>
                <w:sz w:val="13"/>
                <w:szCs w:val="13"/>
              </w:rPr>
              <w:t>[Table_Address]</w:t>
            </w:r>
          </w:p>
        </w:tc>
      </w:tr>
      <w:tr w:rsidR="003D227D" w14:paraId="022B35EF" w14:textId="77777777" w:rsidTr="003D227D">
        <w:trPr>
          <w:trHeight w:val="140"/>
        </w:trPr>
        <w:tc>
          <w:tcPr>
            <w:tcW w:w="5000" w:type="pct"/>
            <w:gridSpan w:val="6"/>
            <w:tcBorders>
              <w:top w:val="nil"/>
              <w:left w:val="nil"/>
              <w:bottom w:val="single" w:sz="12" w:space="0" w:color="1F497D" w:themeColor="text2"/>
              <w:right w:val="nil"/>
            </w:tcBorders>
            <w:hideMark/>
          </w:tcPr>
          <w:p w14:paraId="0F77CE1F" w14:textId="77777777" w:rsidR="003D227D" w:rsidRDefault="003D227D">
            <w:pPr>
              <w:rPr>
                <w:rFonts w:eastAsia="楷体_GB2312"/>
                <w:b/>
                <w:color w:val="1F497D" w:themeColor="text2"/>
                <w:lang w:eastAsia="zh-CN"/>
              </w:rPr>
            </w:pPr>
            <w:r>
              <w:rPr>
                <w:rFonts w:eastAsia="楷体_GB2312" w:hint="eastAsia"/>
                <w:b/>
                <w:color w:val="1F497D" w:themeColor="text2"/>
                <w:lang w:eastAsia="zh-CN"/>
              </w:rPr>
              <w:t>联系我们</w:t>
            </w:r>
          </w:p>
        </w:tc>
      </w:tr>
      <w:tr w:rsidR="003D227D" w14:paraId="172A74D0" w14:textId="77777777" w:rsidTr="00540879">
        <w:trPr>
          <w:trHeight w:val="140"/>
        </w:trPr>
        <w:tc>
          <w:tcPr>
            <w:tcW w:w="508" w:type="pct"/>
            <w:tcBorders>
              <w:top w:val="single" w:sz="12" w:space="0" w:color="1F497D" w:themeColor="text2"/>
              <w:left w:val="nil"/>
              <w:bottom w:val="nil"/>
              <w:right w:val="nil"/>
            </w:tcBorders>
          </w:tcPr>
          <w:p w14:paraId="4EC0CDEB" w14:textId="77777777" w:rsidR="003D227D" w:rsidRDefault="003D227D">
            <w:pPr>
              <w:rPr>
                <w:rFonts w:ascii="Arial" w:eastAsia="楷体_GB2312" w:hAnsi="Arial"/>
                <w:b/>
                <w:color w:val="1F497D" w:themeColor="text2"/>
                <w:lang w:eastAsia="zh-CN"/>
              </w:rPr>
            </w:pPr>
          </w:p>
        </w:tc>
        <w:tc>
          <w:tcPr>
            <w:tcW w:w="898" w:type="pct"/>
            <w:tcBorders>
              <w:top w:val="single" w:sz="12" w:space="0" w:color="1F497D" w:themeColor="text2"/>
              <w:left w:val="nil"/>
              <w:bottom w:val="nil"/>
              <w:right w:val="nil"/>
            </w:tcBorders>
          </w:tcPr>
          <w:p w14:paraId="55A87DC6" w14:textId="77777777" w:rsidR="003D227D" w:rsidRPr="009A3785" w:rsidRDefault="00540879" w:rsidP="009A3785">
            <w:pPr>
              <w:pStyle w:val="aff4"/>
            </w:pPr>
            <w:r>
              <w:rPr>
                <w:rFonts w:hint="eastAsia"/>
              </w:rPr>
              <w:t>广州市</w:t>
            </w:r>
          </w:p>
        </w:tc>
        <w:tc>
          <w:tcPr>
            <w:tcW w:w="898" w:type="pct"/>
            <w:tcBorders>
              <w:top w:val="single" w:sz="12" w:space="0" w:color="1F497D" w:themeColor="text2"/>
              <w:left w:val="nil"/>
              <w:bottom w:val="nil"/>
              <w:right w:val="nil"/>
            </w:tcBorders>
          </w:tcPr>
          <w:p w14:paraId="3BEDF7C3" w14:textId="77777777" w:rsidR="003D227D" w:rsidRDefault="00540879" w:rsidP="009A3785">
            <w:pPr>
              <w:pStyle w:val="aff4"/>
            </w:pPr>
            <w:r>
              <w:rPr>
                <w:rFonts w:hint="eastAsia"/>
              </w:rPr>
              <w:t>深圳市</w:t>
            </w:r>
          </w:p>
        </w:tc>
        <w:tc>
          <w:tcPr>
            <w:tcW w:w="898" w:type="pct"/>
            <w:tcBorders>
              <w:top w:val="single" w:sz="12" w:space="0" w:color="1F497D" w:themeColor="text2"/>
              <w:left w:val="nil"/>
              <w:bottom w:val="nil"/>
              <w:right w:val="nil"/>
            </w:tcBorders>
          </w:tcPr>
          <w:p w14:paraId="3346BDB8" w14:textId="77777777" w:rsidR="003D227D" w:rsidRDefault="00540879" w:rsidP="009A3785">
            <w:pPr>
              <w:pStyle w:val="aff4"/>
            </w:pPr>
            <w:r>
              <w:rPr>
                <w:rFonts w:hint="eastAsia"/>
              </w:rPr>
              <w:t>北京市</w:t>
            </w:r>
          </w:p>
        </w:tc>
        <w:tc>
          <w:tcPr>
            <w:tcW w:w="898" w:type="pct"/>
            <w:tcBorders>
              <w:top w:val="single" w:sz="12" w:space="0" w:color="1F497D" w:themeColor="text2"/>
              <w:left w:val="nil"/>
              <w:bottom w:val="nil"/>
              <w:right w:val="nil"/>
            </w:tcBorders>
          </w:tcPr>
          <w:p w14:paraId="3BE9196E" w14:textId="77777777" w:rsidR="003D227D" w:rsidRDefault="00540879" w:rsidP="009A3785">
            <w:pPr>
              <w:pStyle w:val="aff4"/>
            </w:pPr>
            <w:r>
              <w:rPr>
                <w:rFonts w:hint="eastAsia"/>
              </w:rPr>
              <w:t>上海市</w:t>
            </w:r>
          </w:p>
        </w:tc>
        <w:tc>
          <w:tcPr>
            <w:tcW w:w="900" w:type="pct"/>
            <w:tcBorders>
              <w:top w:val="single" w:sz="12" w:space="0" w:color="1F497D" w:themeColor="text2"/>
              <w:left w:val="nil"/>
              <w:bottom w:val="nil"/>
              <w:right w:val="nil"/>
            </w:tcBorders>
          </w:tcPr>
          <w:p w14:paraId="788165C7" w14:textId="77777777" w:rsidR="003D227D" w:rsidRDefault="00540879" w:rsidP="009A3785">
            <w:pPr>
              <w:pStyle w:val="aff4"/>
            </w:pPr>
            <w:r>
              <w:rPr>
                <w:rFonts w:hint="eastAsia"/>
              </w:rPr>
              <w:t>香港</w:t>
            </w:r>
          </w:p>
        </w:tc>
      </w:tr>
      <w:tr w:rsidR="003D227D" w14:paraId="7895830C" w14:textId="77777777" w:rsidTr="00540879">
        <w:trPr>
          <w:trHeight w:val="73"/>
        </w:trPr>
        <w:tc>
          <w:tcPr>
            <w:tcW w:w="508" w:type="pct"/>
            <w:tcBorders>
              <w:top w:val="nil"/>
              <w:left w:val="nil"/>
              <w:bottom w:val="nil"/>
              <w:right w:val="nil"/>
            </w:tcBorders>
            <w:hideMark/>
          </w:tcPr>
          <w:p w14:paraId="52D00A3B" w14:textId="77777777" w:rsidR="003D227D" w:rsidRDefault="003D227D">
            <w:pPr>
              <w:rPr>
                <w:rFonts w:ascii="Arial" w:eastAsia="楷体_GB2312" w:hAnsi="Arial"/>
                <w:color w:val="1F497D" w:themeColor="text2"/>
                <w:sz w:val="18"/>
                <w:szCs w:val="18"/>
              </w:rPr>
            </w:pPr>
            <w:r>
              <w:rPr>
                <w:rFonts w:ascii="Arial" w:eastAsia="楷体_GB2312" w:hAnsi="Arial" w:hint="eastAsia"/>
                <w:color w:val="1F497D" w:themeColor="text2"/>
                <w:sz w:val="18"/>
                <w:szCs w:val="18"/>
              </w:rPr>
              <w:t>地址</w:t>
            </w:r>
          </w:p>
        </w:tc>
        <w:tc>
          <w:tcPr>
            <w:tcW w:w="898" w:type="pct"/>
            <w:tcBorders>
              <w:top w:val="nil"/>
              <w:left w:val="nil"/>
              <w:bottom w:val="nil"/>
              <w:right w:val="nil"/>
            </w:tcBorders>
          </w:tcPr>
          <w:p w14:paraId="12255BE4"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广州市天河区马场路</w:t>
            </w:r>
            <w:r>
              <w:rPr>
                <w:rFonts w:ascii="Arial" w:eastAsia="楷体_GB2312" w:hAnsi="Arial" w:hint="eastAsia"/>
                <w:color w:val="1F497D" w:themeColor="text2"/>
                <w:sz w:val="18"/>
                <w:szCs w:val="18"/>
                <w:lang w:eastAsia="zh-CN"/>
              </w:rPr>
              <w:t>26</w:t>
            </w:r>
            <w:r>
              <w:rPr>
                <w:rFonts w:ascii="Arial" w:eastAsia="楷体_GB2312" w:hAnsi="Arial" w:hint="eastAsia"/>
                <w:color w:val="1F497D" w:themeColor="text2"/>
                <w:sz w:val="18"/>
                <w:szCs w:val="18"/>
                <w:lang w:eastAsia="zh-CN"/>
              </w:rPr>
              <w:t>号广发证券大厦</w:t>
            </w:r>
            <w:r>
              <w:rPr>
                <w:rFonts w:ascii="Arial" w:eastAsia="楷体_GB2312" w:hAnsi="Arial" w:hint="eastAsia"/>
                <w:color w:val="1F497D" w:themeColor="text2"/>
                <w:sz w:val="18"/>
                <w:szCs w:val="18"/>
                <w:lang w:eastAsia="zh-CN"/>
              </w:rPr>
              <w:t>35</w:t>
            </w:r>
            <w:r>
              <w:rPr>
                <w:rFonts w:ascii="Arial" w:eastAsia="楷体_GB2312" w:hAnsi="Arial" w:hint="eastAsia"/>
                <w:color w:val="1F497D" w:themeColor="text2"/>
                <w:sz w:val="18"/>
                <w:szCs w:val="18"/>
                <w:lang w:eastAsia="zh-CN"/>
              </w:rPr>
              <w:t>楼</w:t>
            </w:r>
          </w:p>
        </w:tc>
        <w:tc>
          <w:tcPr>
            <w:tcW w:w="898" w:type="pct"/>
            <w:tcBorders>
              <w:top w:val="nil"/>
              <w:left w:val="nil"/>
              <w:bottom w:val="nil"/>
              <w:right w:val="nil"/>
            </w:tcBorders>
          </w:tcPr>
          <w:p w14:paraId="3E43073B"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深圳市福田区益田路</w:t>
            </w:r>
            <w:r>
              <w:rPr>
                <w:rFonts w:ascii="Arial" w:eastAsia="楷体_GB2312" w:hAnsi="Arial" w:hint="eastAsia"/>
                <w:color w:val="1F497D" w:themeColor="text2"/>
                <w:sz w:val="18"/>
                <w:szCs w:val="18"/>
                <w:lang w:eastAsia="zh-CN"/>
              </w:rPr>
              <w:t>6001</w:t>
            </w:r>
            <w:r>
              <w:rPr>
                <w:rFonts w:ascii="Arial" w:eastAsia="楷体_GB2312" w:hAnsi="Arial" w:hint="eastAsia"/>
                <w:color w:val="1F497D" w:themeColor="text2"/>
                <w:sz w:val="18"/>
                <w:szCs w:val="18"/>
                <w:lang w:eastAsia="zh-CN"/>
              </w:rPr>
              <w:t>号太平金融大厦</w:t>
            </w:r>
            <w:r>
              <w:rPr>
                <w:rFonts w:ascii="Arial" w:eastAsia="楷体_GB2312" w:hAnsi="Arial" w:hint="eastAsia"/>
                <w:color w:val="1F497D" w:themeColor="text2"/>
                <w:sz w:val="18"/>
                <w:szCs w:val="18"/>
                <w:lang w:eastAsia="zh-CN"/>
              </w:rPr>
              <w:t>31</w:t>
            </w:r>
            <w:r>
              <w:rPr>
                <w:rFonts w:ascii="Arial" w:eastAsia="楷体_GB2312" w:hAnsi="Arial" w:hint="eastAsia"/>
                <w:color w:val="1F497D" w:themeColor="text2"/>
                <w:sz w:val="18"/>
                <w:szCs w:val="18"/>
                <w:lang w:eastAsia="zh-CN"/>
              </w:rPr>
              <w:t>层</w:t>
            </w:r>
          </w:p>
        </w:tc>
        <w:tc>
          <w:tcPr>
            <w:tcW w:w="898" w:type="pct"/>
            <w:tcBorders>
              <w:top w:val="nil"/>
              <w:left w:val="nil"/>
              <w:bottom w:val="nil"/>
              <w:right w:val="nil"/>
            </w:tcBorders>
          </w:tcPr>
          <w:p w14:paraId="2C792E43"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北京市西城区月坛北街</w:t>
            </w:r>
            <w:r>
              <w:rPr>
                <w:rFonts w:ascii="Arial" w:eastAsia="楷体_GB2312" w:hAnsi="Arial" w:hint="eastAsia"/>
                <w:color w:val="1F497D" w:themeColor="text2"/>
                <w:sz w:val="18"/>
                <w:szCs w:val="18"/>
                <w:lang w:eastAsia="zh-CN"/>
              </w:rPr>
              <w:t>2</w:t>
            </w:r>
            <w:r>
              <w:rPr>
                <w:rFonts w:ascii="Arial" w:eastAsia="楷体_GB2312" w:hAnsi="Arial" w:hint="eastAsia"/>
                <w:color w:val="1F497D" w:themeColor="text2"/>
                <w:sz w:val="18"/>
                <w:szCs w:val="18"/>
                <w:lang w:eastAsia="zh-CN"/>
              </w:rPr>
              <w:t>号月坛大厦</w:t>
            </w:r>
            <w:r>
              <w:rPr>
                <w:rFonts w:ascii="Arial" w:eastAsia="楷体_GB2312" w:hAnsi="Arial" w:hint="eastAsia"/>
                <w:color w:val="1F497D" w:themeColor="text2"/>
                <w:sz w:val="18"/>
                <w:szCs w:val="18"/>
                <w:lang w:eastAsia="zh-CN"/>
              </w:rPr>
              <w:t>18</w:t>
            </w:r>
            <w:r>
              <w:rPr>
                <w:rFonts w:ascii="Arial" w:eastAsia="楷体_GB2312" w:hAnsi="Arial" w:hint="eastAsia"/>
                <w:color w:val="1F497D" w:themeColor="text2"/>
                <w:sz w:val="18"/>
                <w:szCs w:val="18"/>
                <w:lang w:eastAsia="zh-CN"/>
              </w:rPr>
              <w:t>层</w:t>
            </w:r>
          </w:p>
        </w:tc>
        <w:tc>
          <w:tcPr>
            <w:tcW w:w="898" w:type="pct"/>
            <w:tcBorders>
              <w:top w:val="nil"/>
              <w:left w:val="nil"/>
              <w:bottom w:val="nil"/>
              <w:right w:val="nil"/>
            </w:tcBorders>
          </w:tcPr>
          <w:p w14:paraId="3FF09349"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上海市浦东新区南泉北路</w:t>
            </w:r>
            <w:r>
              <w:rPr>
                <w:rFonts w:ascii="Arial" w:eastAsia="楷体_GB2312" w:hAnsi="Arial" w:hint="eastAsia"/>
                <w:color w:val="1F497D" w:themeColor="text2"/>
                <w:sz w:val="18"/>
                <w:szCs w:val="18"/>
                <w:lang w:eastAsia="zh-CN"/>
              </w:rPr>
              <w:t>429</w:t>
            </w:r>
            <w:r>
              <w:rPr>
                <w:rFonts w:ascii="Arial" w:eastAsia="楷体_GB2312" w:hAnsi="Arial" w:hint="eastAsia"/>
                <w:color w:val="1F497D" w:themeColor="text2"/>
                <w:sz w:val="18"/>
                <w:szCs w:val="18"/>
                <w:lang w:eastAsia="zh-CN"/>
              </w:rPr>
              <w:t>号泰康保险大厦</w:t>
            </w:r>
            <w:r>
              <w:rPr>
                <w:rFonts w:ascii="Arial" w:eastAsia="楷体_GB2312" w:hAnsi="Arial" w:hint="eastAsia"/>
                <w:color w:val="1F497D" w:themeColor="text2"/>
                <w:sz w:val="18"/>
                <w:szCs w:val="18"/>
                <w:lang w:eastAsia="zh-CN"/>
              </w:rPr>
              <w:t>37</w:t>
            </w:r>
            <w:r>
              <w:rPr>
                <w:rFonts w:ascii="Arial" w:eastAsia="楷体_GB2312" w:hAnsi="Arial" w:hint="eastAsia"/>
                <w:color w:val="1F497D" w:themeColor="text2"/>
                <w:sz w:val="18"/>
                <w:szCs w:val="18"/>
                <w:lang w:eastAsia="zh-CN"/>
              </w:rPr>
              <w:t>楼</w:t>
            </w:r>
          </w:p>
        </w:tc>
        <w:tc>
          <w:tcPr>
            <w:tcW w:w="900" w:type="pct"/>
            <w:tcBorders>
              <w:top w:val="nil"/>
              <w:left w:val="nil"/>
              <w:bottom w:val="nil"/>
              <w:right w:val="nil"/>
            </w:tcBorders>
          </w:tcPr>
          <w:p w14:paraId="0B4F3449" w14:textId="77777777"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香港德辅道中</w:t>
            </w:r>
            <w:r>
              <w:rPr>
                <w:rFonts w:ascii="Arial" w:eastAsia="楷体_GB2312" w:hAnsi="Arial" w:hint="eastAsia"/>
                <w:color w:val="1F497D" w:themeColor="text2"/>
                <w:sz w:val="18"/>
                <w:szCs w:val="18"/>
                <w:lang w:eastAsia="zh-CN"/>
              </w:rPr>
              <w:t>189</w:t>
            </w:r>
            <w:r>
              <w:rPr>
                <w:rFonts w:ascii="Arial" w:eastAsia="楷体_GB2312" w:hAnsi="Arial" w:hint="eastAsia"/>
                <w:color w:val="1F497D" w:themeColor="text2"/>
                <w:sz w:val="18"/>
                <w:szCs w:val="18"/>
                <w:lang w:eastAsia="zh-CN"/>
              </w:rPr>
              <w:t>号李宝椿大厦</w:t>
            </w:r>
            <w:r>
              <w:rPr>
                <w:rFonts w:ascii="Arial" w:eastAsia="楷体_GB2312" w:hAnsi="Arial" w:hint="eastAsia"/>
                <w:color w:val="1F497D" w:themeColor="text2"/>
                <w:sz w:val="18"/>
                <w:szCs w:val="18"/>
                <w:lang w:eastAsia="zh-CN"/>
              </w:rPr>
              <w:t>29</w:t>
            </w:r>
            <w:r>
              <w:rPr>
                <w:rFonts w:ascii="Arial" w:eastAsia="楷体_GB2312" w:hAnsi="Arial" w:hint="eastAsia"/>
                <w:color w:val="1F497D" w:themeColor="text2"/>
                <w:sz w:val="18"/>
                <w:szCs w:val="18"/>
                <w:lang w:eastAsia="zh-CN"/>
              </w:rPr>
              <w:t>及</w:t>
            </w:r>
            <w:r>
              <w:rPr>
                <w:rFonts w:ascii="Arial" w:eastAsia="楷体_GB2312" w:hAnsi="Arial" w:hint="eastAsia"/>
                <w:color w:val="1F497D" w:themeColor="text2"/>
                <w:sz w:val="18"/>
                <w:szCs w:val="18"/>
                <w:lang w:eastAsia="zh-CN"/>
              </w:rPr>
              <w:t>30</w:t>
            </w:r>
            <w:r>
              <w:rPr>
                <w:rFonts w:ascii="Arial" w:eastAsia="楷体_GB2312" w:hAnsi="Arial" w:hint="eastAsia"/>
                <w:color w:val="1F497D" w:themeColor="text2"/>
                <w:sz w:val="18"/>
                <w:szCs w:val="18"/>
                <w:lang w:eastAsia="zh-CN"/>
              </w:rPr>
              <w:t>楼</w:t>
            </w:r>
          </w:p>
        </w:tc>
      </w:tr>
      <w:tr w:rsidR="003D227D" w14:paraId="663FD18B" w14:textId="77777777" w:rsidTr="00540879">
        <w:trPr>
          <w:trHeight w:val="73"/>
        </w:trPr>
        <w:tc>
          <w:tcPr>
            <w:tcW w:w="508" w:type="pct"/>
            <w:tcBorders>
              <w:top w:val="nil"/>
              <w:left w:val="nil"/>
              <w:bottom w:val="nil"/>
              <w:right w:val="nil"/>
            </w:tcBorders>
            <w:hideMark/>
          </w:tcPr>
          <w:p w14:paraId="1AD15BD9" w14:textId="77777777" w:rsidR="003D227D" w:rsidRDefault="003D227D">
            <w:pPr>
              <w:rPr>
                <w:rFonts w:ascii="Arial" w:eastAsia="楷体_GB2312" w:hAnsi="Arial"/>
                <w:color w:val="1F497D" w:themeColor="text2"/>
                <w:sz w:val="18"/>
                <w:szCs w:val="18"/>
              </w:rPr>
            </w:pPr>
            <w:r>
              <w:rPr>
                <w:rFonts w:ascii="Arial" w:eastAsia="楷体_GB2312" w:hAnsi="Arial" w:hint="eastAsia"/>
                <w:color w:val="1F497D" w:themeColor="text2"/>
                <w:sz w:val="18"/>
                <w:szCs w:val="18"/>
              </w:rPr>
              <w:t>邮政编码</w:t>
            </w:r>
          </w:p>
        </w:tc>
        <w:tc>
          <w:tcPr>
            <w:tcW w:w="898" w:type="pct"/>
            <w:tcBorders>
              <w:top w:val="nil"/>
              <w:left w:val="nil"/>
              <w:bottom w:val="nil"/>
              <w:right w:val="nil"/>
            </w:tcBorders>
          </w:tcPr>
          <w:p w14:paraId="6CBD4A4D"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510627</w:t>
            </w:r>
          </w:p>
        </w:tc>
        <w:tc>
          <w:tcPr>
            <w:tcW w:w="898" w:type="pct"/>
            <w:tcBorders>
              <w:top w:val="nil"/>
              <w:left w:val="nil"/>
              <w:bottom w:val="nil"/>
              <w:right w:val="nil"/>
            </w:tcBorders>
          </w:tcPr>
          <w:p w14:paraId="34D86E33"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518026</w:t>
            </w:r>
          </w:p>
        </w:tc>
        <w:tc>
          <w:tcPr>
            <w:tcW w:w="898" w:type="pct"/>
            <w:tcBorders>
              <w:top w:val="nil"/>
              <w:left w:val="nil"/>
              <w:bottom w:val="nil"/>
              <w:right w:val="nil"/>
            </w:tcBorders>
          </w:tcPr>
          <w:p w14:paraId="6E0868AD"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100045</w:t>
            </w:r>
          </w:p>
        </w:tc>
        <w:tc>
          <w:tcPr>
            <w:tcW w:w="898" w:type="pct"/>
            <w:tcBorders>
              <w:top w:val="nil"/>
              <w:left w:val="nil"/>
              <w:bottom w:val="nil"/>
              <w:right w:val="nil"/>
            </w:tcBorders>
          </w:tcPr>
          <w:p w14:paraId="53A49FFF"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200120</w:t>
            </w:r>
          </w:p>
        </w:tc>
        <w:tc>
          <w:tcPr>
            <w:tcW w:w="900" w:type="pct"/>
            <w:tcBorders>
              <w:top w:val="nil"/>
              <w:left w:val="nil"/>
              <w:bottom w:val="nil"/>
              <w:right w:val="nil"/>
            </w:tcBorders>
          </w:tcPr>
          <w:p w14:paraId="6D9AC9E2" w14:textId="77777777"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w:t>
            </w:r>
          </w:p>
        </w:tc>
      </w:tr>
      <w:tr w:rsidR="00540879" w14:paraId="0F322FDA" w14:textId="77777777" w:rsidTr="00540879">
        <w:trPr>
          <w:trHeight w:val="73"/>
        </w:trPr>
        <w:tc>
          <w:tcPr>
            <w:tcW w:w="508" w:type="pct"/>
            <w:tcBorders>
              <w:top w:val="nil"/>
              <w:left w:val="nil"/>
              <w:bottom w:val="nil"/>
              <w:right w:val="nil"/>
            </w:tcBorders>
            <w:hideMark/>
          </w:tcPr>
          <w:p w14:paraId="3956B7CF" w14:textId="77777777" w:rsidR="00540879" w:rsidRDefault="00540879">
            <w:pPr>
              <w:rPr>
                <w:rFonts w:ascii="Arial" w:eastAsia="楷体_GB2312" w:hAnsi="Arial"/>
                <w:color w:val="1F497D" w:themeColor="text2"/>
                <w:sz w:val="18"/>
                <w:szCs w:val="18"/>
              </w:rPr>
            </w:pPr>
            <w:r>
              <w:rPr>
                <w:rFonts w:ascii="Arial" w:eastAsia="楷体_GB2312" w:hAnsi="Arial" w:hint="eastAsia"/>
                <w:color w:val="1F497D" w:themeColor="text2"/>
                <w:sz w:val="18"/>
                <w:szCs w:val="18"/>
              </w:rPr>
              <w:t>客服邮箱</w:t>
            </w:r>
          </w:p>
        </w:tc>
        <w:tc>
          <w:tcPr>
            <w:tcW w:w="4492" w:type="pct"/>
            <w:gridSpan w:val="5"/>
            <w:tcBorders>
              <w:top w:val="nil"/>
              <w:left w:val="nil"/>
              <w:bottom w:val="nil"/>
              <w:right w:val="nil"/>
            </w:tcBorders>
          </w:tcPr>
          <w:p w14:paraId="4ED652C5" w14:textId="77777777" w:rsidR="00540879"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gfzqyf@gf.com.cn</w:t>
            </w:r>
          </w:p>
        </w:tc>
      </w:tr>
    </w:tbl>
    <w:p w14:paraId="13628156" w14:textId="77777777" w:rsidR="00574C81" w:rsidRPr="003F4A47" w:rsidRDefault="00574C81" w:rsidP="00574C81">
      <w:pPr>
        <w:spacing w:line="240" w:lineRule="exact"/>
        <w:rPr>
          <w:rFonts w:eastAsia="宋体"/>
          <w:bCs/>
          <w:color w:val="1F497D" w:themeColor="text2"/>
          <w:lang w:eastAsia="zh-CN"/>
        </w:rPr>
      </w:pPr>
    </w:p>
    <w:tbl>
      <w:tblPr>
        <w:tblW w:w="0" w:type="auto"/>
        <w:tblLook w:val="04A0" w:firstRow="1" w:lastRow="0" w:firstColumn="1" w:lastColumn="0" w:noHBand="0" w:noVBand="1"/>
      </w:tblPr>
      <w:tblGrid>
        <w:gridCol w:w="10846"/>
      </w:tblGrid>
      <w:tr w:rsidR="00574C81" w:rsidRPr="00171F1D" w14:paraId="6EDC3C11" w14:textId="77777777" w:rsidTr="00B9063D">
        <w:trPr>
          <w:trHeight w:hRule="exact" w:val="23"/>
        </w:trPr>
        <w:tc>
          <w:tcPr>
            <w:tcW w:w="10846" w:type="dxa"/>
          </w:tcPr>
          <w:p w14:paraId="45086A21" w14:textId="77777777" w:rsidR="00574C81" w:rsidRPr="00171F1D" w:rsidRDefault="00574C81" w:rsidP="00B9063D">
            <w:pPr>
              <w:jc w:val="both"/>
              <w:rPr>
                <w:rFonts w:eastAsia="楷体_GB2312"/>
                <w:bCs/>
                <w:color w:val="FFFFFF" w:themeColor="background1"/>
                <w:sz w:val="13"/>
                <w:szCs w:val="13"/>
                <w:lang w:eastAsia="zh-CN"/>
              </w:rPr>
            </w:pPr>
            <w:r w:rsidRPr="00171F1D">
              <w:rPr>
                <w:rFonts w:eastAsia="楷体_GB2312"/>
                <w:bCs/>
                <w:color w:val="FFFFFF" w:themeColor="background1"/>
                <w:sz w:val="13"/>
                <w:szCs w:val="13"/>
                <w:lang w:eastAsia="zh-CN"/>
              </w:rPr>
              <w:t>[Table_LegalD</w:t>
            </w:r>
            <w:r w:rsidRPr="00171F1D">
              <w:rPr>
                <w:rFonts w:eastAsia="楷体_GB2312" w:hint="eastAsia"/>
                <w:bCs/>
                <w:color w:val="FFFFFF" w:themeColor="background1"/>
                <w:sz w:val="13"/>
                <w:szCs w:val="13"/>
                <w:lang w:eastAsia="zh-CN"/>
              </w:rPr>
              <w:t>isclaimer</w:t>
            </w:r>
            <w:r w:rsidRPr="00171F1D">
              <w:rPr>
                <w:rFonts w:eastAsia="楷体_GB2312"/>
                <w:bCs/>
                <w:color w:val="FFFFFF" w:themeColor="background1"/>
                <w:sz w:val="13"/>
                <w:szCs w:val="13"/>
                <w:lang w:eastAsia="zh-CN"/>
              </w:rPr>
              <w:t>]</w:t>
            </w:r>
          </w:p>
        </w:tc>
      </w:tr>
      <w:tr w:rsidR="00574C81" w:rsidRPr="003F4A47" w14:paraId="243F2451" w14:textId="77777777" w:rsidTr="00B9063D">
        <w:tc>
          <w:tcPr>
            <w:tcW w:w="10846" w:type="dxa"/>
            <w:tcBorders>
              <w:bottom w:val="single" w:sz="12" w:space="0" w:color="1F497D" w:themeColor="text2"/>
            </w:tcBorders>
          </w:tcPr>
          <w:p w14:paraId="11F94E57" w14:textId="77777777" w:rsidR="00574C81" w:rsidRPr="003F4A47" w:rsidRDefault="00574C81" w:rsidP="00B9063D">
            <w:pPr>
              <w:jc w:val="both"/>
              <w:rPr>
                <w:rFonts w:eastAsia="楷体_GB2312"/>
                <w:b/>
                <w:color w:val="1F497D" w:themeColor="text2"/>
                <w:lang w:eastAsia="zh-CN"/>
              </w:rPr>
            </w:pPr>
            <w:r>
              <w:rPr>
                <w:rFonts w:eastAsia="楷体_GB2312" w:hint="eastAsia"/>
                <w:b/>
                <w:bCs/>
                <w:color w:val="1F497D" w:themeColor="text2"/>
                <w:lang w:eastAsia="zh-CN"/>
              </w:rPr>
              <w:t>法律主体</w:t>
            </w:r>
            <w:r w:rsidRPr="003F4A47">
              <w:rPr>
                <w:rFonts w:eastAsia="楷体_GB2312"/>
                <w:b/>
                <w:bCs/>
                <w:color w:val="1F497D" w:themeColor="text2"/>
                <w:lang w:eastAsia="zh-CN"/>
              </w:rPr>
              <w:t>声明</w:t>
            </w:r>
          </w:p>
        </w:tc>
      </w:tr>
      <w:tr w:rsidR="00574C81" w:rsidRPr="003F4A47" w14:paraId="16EA2801" w14:textId="77777777" w:rsidTr="00B9063D">
        <w:tc>
          <w:tcPr>
            <w:tcW w:w="10846" w:type="dxa"/>
            <w:tcBorders>
              <w:top w:val="single" w:sz="12" w:space="0" w:color="1F497D" w:themeColor="text2"/>
            </w:tcBorders>
            <w:vAlign w:val="center"/>
          </w:tcPr>
          <w:p w14:paraId="2561008F"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由广发证券股份有限公司或其关联机构制作，广发证券股份有限公司及其关联机构以下统称为“广发证券”。本报告的分销依据不同国家、地区的法律、法规和监管要求由广发证券于该国家或地区的具有相关合法合规经营资质的子公司</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经营机构完成。</w:t>
            </w:r>
          </w:p>
          <w:p w14:paraId="155F2C38"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广发证券股份有限公司具备中国证监会批复的证券投资咨询业务资格，接受中国证监会监管，负责本报告于中国（港澳台地区除外）的分销。</w:t>
            </w:r>
          </w:p>
          <w:p w14:paraId="7F3011A5"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广发证券（香港）经纪有限公司具备香港证监会批复的就证券提供意见（</w:t>
            </w:r>
            <w:r>
              <w:rPr>
                <w:rStyle w:val="ArialNarrowRGB214297"/>
                <w:rFonts w:ascii="Arial" w:eastAsia="楷体_GB2312" w:hAnsi="Arial" w:hint="eastAsia"/>
                <w:bCs/>
                <w:color w:val="1F497D" w:themeColor="text2"/>
                <w:spacing w:val="-4"/>
                <w:kern w:val="2"/>
                <w:lang w:eastAsia="zh-CN"/>
              </w:rPr>
              <w:t xml:space="preserve">4 </w:t>
            </w:r>
            <w:r>
              <w:rPr>
                <w:rStyle w:val="ArialNarrowRGB214297"/>
                <w:rFonts w:ascii="Arial" w:eastAsia="楷体_GB2312" w:hAnsi="Arial" w:hint="eastAsia"/>
                <w:bCs/>
                <w:color w:val="1F497D" w:themeColor="text2"/>
                <w:spacing w:val="-4"/>
                <w:kern w:val="2"/>
                <w:lang w:eastAsia="zh-CN"/>
              </w:rPr>
              <w:t>号牌照）的牌照，接受香港证监会监管，负责本报告于中国香港地区的分销。</w:t>
            </w:r>
          </w:p>
          <w:p w14:paraId="7221D4B5" w14:textId="77777777" w:rsidR="00574C81"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本报告署名研究人员所持中国证券业协会注册分析师资质信息和香港证监会批复的牌照信息已于署名研究人员姓名处披露。</w:t>
            </w:r>
            <w:r>
              <w:rPr>
                <w:rStyle w:val="ArialNarrowRGB214297"/>
                <w:rFonts w:ascii="Arial" w:eastAsia="楷体_GB2312" w:hAnsi="Arial" w:hint="eastAsia"/>
                <w:bCs/>
                <w:color w:val="1F497D" w:themeColor="text2"/>
                <w:spacing w:val="-4"/>
                <w:kern w:val="2"/>
                <w:lang w:eastAsia="zh-CN"/>
              </w:rPr>
              <w:t xml:space="preserve"> </w:t>
            </w:r>
          </w:p>
        </w:tc>
      </w:tr>
    </w:tbl>
    <w:p w14:paraId="300D78C5" w14:textId="77777777" w:rsidR="00574C81" w:rsidRDefault="00574C81"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846"/>
      </w:tblGrid>
      <w:tr w:rsidR="00574C81" w:rsidRPr="00C642B5" w14:paraId="7425AC39" w14:textId="77777777" w:rsidTr="00B9063D">
        <w:trPr>
          <w:trHeight w:hRule="exact" w:val="23"/>
        </w:trPr>
        <w:tc>
          <w:tcPr>
            <w:tcW w:w="10846" w:type="dxa"/>
          </w:tcPr>
          <w:p w14:paraId="0FDEDF35" w14:textId="77777777" w:rsidR="00574C81" w:rsidRPr="00C642B5" w:rsidRDefault="00574C81" w:rsidP="00B9063D">
            <w:pPr>
              <w:jc w:val="both"/>
              <w:rPr>
                <w:rFonts w:eastAsia="楷体_GB2312"/>
                <w:bCs/>
                <w:sz w:val="13"/>
                <w:szCs w:val="13"/>
                <w:lang w:eastAsia="zh-CN"/>
              </w:rPr>
            </w:pPr>
            <w:r w:rsidRPr="00C642B5">
              <w:rPr>
                <w:rFonts w:eastAsia="楷体_GB2312"/>
                <w:bCs/>
                <w:sz w:val="13"/>
                <w:szCs w:val="13"/>
                <w:lang w:eastAsia="zh-CN"/>
              </w:rPr>
              <w:t>[Table_I</w:t>
            </w:r>
            <w:r w:rsidRPr="00C642B5">
              <w:rPr>
                <w:rFonts w:eastAsia="楷体_GB2312" w:hint="eastAsia"/>
                <w:bCs/>
                <w:sz w:val="13"/>
                <w:szCs w:val="13"/>
                <w:lang w:eastAsia="zh-CN"/>
              </w:rPr>
              <w:t>mportant</w:t>
            </w:r>
            <w:r w:rsidRPr="00C642B5">
              <w:rPr>
                <w:rFonts w:eastAsia="楷体_GB2312"/>
                <w:bCs/>
                <w:sz w:val="13"/>
                <w:szCs w:val="13"/>
                <w:lang w:eastAsia="zh-CN"/>
              </w:rPr>
              <w:t>N</w:t>
            </w:r>
            <w:r w:rsidRPr="00C642B5">
              <w:rPr>
                <w:rFonts w:eastAsia="楷体_GB2312" w:hint="eastAsia"/>
                <w:bCs/>
                <w:sz w:val="13"/>
                <w:szCs w:val="13"/>
                <w:lang w:eastAsia="zh-CN"/>
              </w:rPr>
              <w:t>otices</w:t>
            </w:r>
            <w:r w:rsidRPr="00C642B5">
              <w:rPr>
                <w:rFonts w:eastAsia="楷体_GB2312"/>
                <w:bCs/>
                <w:sz w:val="13"/>
                <w:szCs w:val="13"/>
                <w:lang w:eastAsia="zh-CN"/>
              </w:rPr>
              <w:t>]</w:t>
            </w:r>
          </w:p>
        </w:tc>
      </w:tr>
      <w:tr w:rsidR="00574C81" w:rsidRPr="003F4A47" w14:paraId="78401F49" w14:textId="77777777" w:rsidTr="00B9063D">
        <w:tc>
          <w:tcPr>
            <w:tcW w:w="10846" w:type="dxa"/>
            <w:tcBorders>
              <w:bottom w:val="single" w:sz="12" w:space="0" w:color="1F497D" w:themeColor="text2"/>
            </w:tcBorders>
          </w:tcPr>
          <w:p w14:paraId="644CFAD8" w14:textId="77777777" w:rsidR="00574C81" w:rsidRPr="003F4A47" w:rsidRDefault="00574C81" w:rsidP="00B9063D">
            <w:pPr>
              <w:jc w:val="both"/>
              <w:rPr>
                <w:rFonts w:eastAsia="楷体_GB2312"/>
                <w:b/>
                <w:color w:val="1F497D" w:themeColor="text2"/>
                <w:lang w:eastAsia="zh-CN"/>
              </w:rPr>
            </w:pPr>
            <w:r>
              <w:rPr>
                <w:rFonts w:eastAsia="楷体_GB2312" w:hint="eastAsia"/>
                <w:b/>
                <w:bCs/>
                <w:color w:val="1F497D" w:themeColor="text2"/>
                <w:lang w:eastAsia="zh-CN"/>
              </w:rPr>
              <w:t>重要</w:t>
            </w:r>
            <w:r w:rsidRPr="003F4A47">
              <w:rPr>
                <w:rFonts w:eastAsia="楷体_GB2312"/>
                <w:b/>
                <w:bCs/>
                <w:color w:val="1F497D" w:themeColor="text2"/>
                <w:lang w:eastAsia="zh-CN"/>
              </w:rPr>
              <w:t>声明</w:t>
            </w:r>
          </w:p>
        </w:tc>
      </w:tr>
      <w:tr w:rsidR="00574C81" w:rsidRPr="003F4A47" w14:paraId="6BF78E0C" w14:textId="77777777" w:rsidTr="00B9063D">
        <w:trPr>
          <w:trHeight w:val="1716"/>
        </w:trPr>
        <w:tc>
          <w:tcPr>
            <w:tcW w:w="10846" w:type="dxa"/>
            <w:tcBorders>
              <w:top w:val="single" w:sz="12" w:space="0" w:color="1F497D" w:themeColor="text2"/>
            </w:tcBorders>
            <w:vAlign w:val="center"/>
          </w:tcPr>
          <w:p w14:paraId="4EFD2629"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lastRenderedPageBreak/>
              <w:t>广发证券股份有限公司及其关联机构可能与本报告中提及的公司寻求或正在建立业务关系，因此，投资者应当考虑广发证券股份有限公司及其关联机构因可能存在的潜在利益冲突而对本报告的独立性产生影响。投资者不应仅依据本报告内容作出任何投资决策。投资者应自主作出投资决策并自行承担投资风险，任何形式的分享证券投资收益或者分担证券投资损失的书面或者口头承诺均为无效。</w:t>
            </w:r>
          </w:p>
          <w:p w14:paraId="60ADC96F"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本报告署名研究人员、联系人（以下均简称“研究人员”）针对本报告中相关公司或证券的研究分析内容，在此声明：（</w:t>
            </w:r>
            <w:r>
              <w:rPr>
                <w:rStyle w:val="ArialNarrowRGB214297"/>
                <w:rFonts w:ascii="Arial" w:eastAsia="楷体_GB2312" w:hAnsi="Arial" w:hint="eastAsia"/>
                <w:bCs/>
                <w:color w:val="1F497D" w:themeColor="text2"/>
                <w:spacing w:val="-4"/>
                <w:kern w:val="2"/>
                <w:lang w:eastAsia="zh-CN"/>
              </w:rPr>
              <w:t>1</w:t>
            </w:r>
            <w:r>
              <w:rPr>
                <w:rStyle w:val="ArialNarrowRGB214297"/>
                <w:rFonts w:ascii="Arial" w:eastAsia="楷体_GB2312" w:hAnsi="Arial" w:hint="eastAsia"/>
                <w:bCs/>
                <w:color w:val="1F497D" w:themeColor="text2"/>
                <w:spacing w:val="-4"/>
                <w:kern w:val="2"/>
                <w:lang w:eastAsia="zh-CN"/>
              </w:rPr>
              <w:t>）本报告的全部分析结论、研究观点均精确反映研究人员于本报告发出当日的关于相关公司或证券的所有个人观点，并不代表广发证券的立场；（</w:t>
            </w:r>
            <w:r>
              <w:rPr>
                <w:rStyle w:val="ArialNarrowRGB214297"/>
                <w:rFonts w:ascii="Arial" w:eastAsia="楷体_GB2312" w:hAnsi="Arial" w:hint="eastAsia"/>
                <w:bCs/>
                <w:color w:val="1F497D" w:themeColor="text2"/>
                <w:spacing w:val="-4"/>
                <w:kern w:val="2"/>
                <w:lang w:eastAsia="zh-CN"/>
              </w:rPr>
              <w:t>2</w:t>
            </w:r>
            <w:r>
              <w:rPr>
                <w:rStyle w:val="ArialNarrowRGB214297"/>
                <w:rFonts w:ascii="Arial" w:eastAsia="楷体_GB2312" w:hAnsi="Arial" w:hint="eastAsia"/>
                <w:bCs/>
                <w:color w:val="1F497D" w:themeColor="text2"/>
                <w:spacing w:val="-4"/>
                <w:kern w:val="2"/>
                <w:lang w:eastAsia="zh-CN"/>
              </w:rPr>
              <w:t>）研究人员的部分或全部的报酬无论在过去、现在还是将来均不会与本报告所述特定分析结论、研究观点具有直接或间接的联系。</w:t>
            </w:r>
          </w:p>
          <w:p w14:paraId="06159FAA"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研究人员制作本报告的报酬标准依据研究质量、客户评价、工作量等多种因素确定，其影响因素亦包括广发证券的整体经营收入，该等经营收入部分来源于广发证券的投资银行类业务。</w:t>
            </w:r>
          </w:p>
          <w:p w14:paraId="069AE54C"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本报告仅面向经广发证券授权使用的客户</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特定合作机构发送，不对外公开发布，只有接收人才可以使用，且对于接收人而言具有保密义务。广发证券并不因相关人员通过其他途径收到或阅读本报告而视其为广发证券的客户。在特定国家或地区传播或者发布本报告可能违反当地法律，广发证券并未采取任何行动以允许于该等国家或地区传播或者分销本报告。</w:t>
            </w:r>
          </w:p>
          <w:p w14:paraId="7F5B5259"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所提及证券可能不被允许在某些国家或地区内出售。请注意，投资涉及风险，证券价格可能会波动，因此投资回报可能会有所变化，过去的业绩并不保证未来的表现。本报告的内容、观点或建议并未考虑任何个别客户的具体投资目标、财务状况和特殊需求，不应被视为对特定客户关于特定证券或金融工具的投资建议。本报告发送给某客户是基于该客户被认为有能力独立评估投资风险、独立行使投资决策并独立承担相应风险。</w:t>
            </w:r>
          </w:p>
          <w:p w14:paraId="6D7313F2"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所载资料的来源及观点的出处皆被广发证券认为可靠，但广发证券不对其准确性、完整性做出任何保证。报告内容仅供参考，报告中的信息或所表达观点不构成所涉证券买卖的出价或询价。广发证券不对因使用本报告的内容而引致的损失承担任何责任，除非法律法规有明确规定。客户不应以本报告取代其独立判断或仅根据本报告做出决策，如有需要，应先咨询专业意见。</w:t>
            </w:r>
          </w:p>
          <w:p w14:paraId="72D10F3E" w14:textId="77777777" w:rsidR="00540879"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可发出其它与本报告所载信息不一致及有不同结论的报告。本报告反映研究人员的不同观点、见解及分析方法，并不代表广发证券的立场。广发证券的销售人员、交易员或其他专业人士可能以书面或口头形式，向其客户或自营交易部门提供与本报告观点相反的市场评论或交易策略，广发证券的自营交易部门亦可能会有与本报告观点不一致，甚至相反的投资策略。报告所载资料、意见及推测仅反映研究人员于发出本报告当日的判断，可随时更改且无需另行通告。广发证券或其证券研究报告业务的相关董事、高级职员、分析师和员工可能拥有本报告所提及证券的权益。在阅读本报告时，收件人应了解相关的权益披露（若有）。</w:t>
            </w:r>
          </w:p>
          <w:p w14:paraId="59429FC1" w14:textId="77777777" w:rsidR="00574C81"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本研究报告可能包括和</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或描述</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呈列期货合约价格的事实历史信息（“信息”）。请注意此信息仅供用作组成我们的研究方法</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分析中的部分论点</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依据</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证据，以支持我们对所述相关行业</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公司的观点的结论。在任何情况下，它并不（明示或暗示）与香港证监会第</w:t>
            </w:r>
            <w:r>
              <w:rPr>
                <w:rStyle w:val="ArialNarrowRGB214297"/>
                <w:rFonts w:ascii="Arial" w:eastAsia="楷体_GB2312" w:hAnsi="Arial" w:hint="eastAsia"/>
                <w:bCs/>
                <w:color w:val="1F497D" w:themeColor="text2"/>
                <w:spacing w:val="-4"/>
                <w:kern w:val="2"/>
                <w:lang w:eastAsia="zh-CN"/>
              </w:rPr>
              <w:t>5</w:t>
            </w:r>
            <w:r>
              <w:rPr>
                <w:rStyle w:val="ArialNarrowRGB214297"/>
                <w:rFonts w:ascii="Arial" w:eastAsia="楷体_GB2312" w:hAnsi="Arial" w:hint="eastAsia"/>
                <w:bCs/>
                <w:color w:val="1F497D" w:themeColor="text2"/>
                <w:spacing w:val="-4"/>
                <w:kern w:val="2"/>
                <w:lang w:eastAsia="zh-CN"/>
              </w:rPr>
              <w:t>类受规管活动（就期货合约提供意见）有关联或构成此活动。</w:t>
            </w:r>
          </w:p>
        </w:tc>
      </w:tr>
    </w:tbl>
    <w:p w14:paraId="13114185" w14:textId="77777777" w:rsidR="00574C81" w:rsidRDefault="00574C81"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846"/>
      </w:tblGrid>
      <w:tr w:rsidR="007566F5" w:rsidRPr="008C6C73" w14:paraId="066895E6" w14:textId="77777777" w:rsidTr="00B9063D">
        <w:trPr>
          <w:trHeight w:hRule="exact" w:val="23"/>
        </w:trPr>
        <w:tc>
          <w:tcPr>
            <w:tcW w:w="10846" w:type="dxa"/>
          </w:tcPr>
          <w:p w14:paraId="180B592B" w14:textId="77777777" w:rsidR="007566F5" w:rsidRPr="008C6C73" w:rsidRDefault="007566F5" w:rsidP="00B9063D">
            <w:pPr>
              <w:jc w:val="both"/>
              <w:rPr>
                <w:rFonts w:eastAsia="楷体_GB2312"/>
                <w:bCs/>
                <w:sz w:val="10"/>
                <w:szCs w:val="10"/>
                <w:lang w:eastAsia="zh-CN"/>
              </w:rPr>
            </w:pPr>
            <w:r w:rsidRPr="008C6C73">
              <w:rPr>
                <w:rFonts w:eastAsia="楷体_GB2312"/>
                <w:bCs/>
                <w:color w:val="FFFFFF" w:themeColor="background1"/>
                <w:sz w:val="10"/>
                <w:szCs w:val="10"/>
                <w:lang w:eastAsia="zh-CN"/>
              </w:rPr>
              <w:t>[Table_Interest</w:t>
            </w:r>
            <w:r w:rsidRPr="008C6C73">
              <w:rPr>
                <w:rFonts w:eastAsia="楷体_GB2312" w:hint="eastAsia"/>
                <w:bCs/>
                <w:color w:val="FFFFFF" w:themeColor="background1"/>
                <w:sz w:val="10"/>
                <w:szCs w:val="10"/>
                <w:lang w:eastAsia="zh-CN"/>
              </w:rPr>
              <w:t>D</w:t>
            </w:r>
            <w:r w:rsidRPr="008C6C73">
              <w:rPr>
                <w:rFonts w:eastAsia="楷体_GB2312"/>
                <w:bCs/>
                <w:color w:val="FFFFFF" w:themeColor="background1"/>
                <w:sz w:val="10"/>
                <w:szCs w:val="10"/>
                <w:lang w:eastAsia="zh-CN"/>
              </w:rPr>
              <w:t>isclosure]</w:t>
            </w:r>
          </w:p>
        </w:tc>
      </w:tr>
      <w:tr w:rsidR="007566F5" w:rsidRPr="003F4A47" w14:paraId="65B354F0" w14:textId="77777777" w:rsidTr="00B9063D">
        <w:tc>
          <w:tcPr>
            <w:tcW w:w="10846" w:type="dxa"/>
            <w:tcBorders>
              <w:bottom w:val="single" w:sz="12" w:space="0" w:color="1F497D" w:themeColor="text2"/>
            </w:tcBorders>
          </w:tcPr>
          <w:p w14:paraId="754B52C5" w14:textId="77777777" w:rsidR="007566F5" w:rsidRPr="003F4A47" w:rsidRDefault="007566F5" w:rsidP="00B9063D">
            <w:pPr>
              <w:jc w:val="both"/>
              <w:rPr>
                <w:rFonts w:eastAsia="楷体_GB2312"/>
                <w:b/>
                <w:color w:val="1F497D" w:themeColor="text2"/>
                <w:lang w:eastAsia="zh-CN"/>
              </w:rPr>
            </w:pPr>
            <w:r>
              <w:rPr>
                <w:rFonts w:eastAsia="楷体_GB2312" w:hint="eastAsia"/>
                <w:b/>
                <w:bCs/>
                <w:color w:val="1F497D" w:themeColor="text2"/>
                <w:lang w:eastAsia="zh-CN"/>
              </w:rPr>
              <w:t>权益披露</w:t>
            </w:r>
          </w:p>
        </w:tc>
      </w:tr>
      <w:tr w:rsidR="007566F5" w:rsidRPr="003F4A47" w14:paraId="27782A02" w14:textId="77777777" w:rsidTr="00B9063D">
        <w:tc>
          <w:tcPr>
            <w:tcW w:w="10846" w:type="dxa"/>
            <w:tcBorders>
              <w:top w:val="single" w:sz="12" w:space="0" w:color="1F497D" w:themeColor="text2"/>
            </w:tcBorders>
            <w:vAlign w:val="center"/>
          </w:tcPr>
          <w:p w14:paraId="2BCE6151" w14:textId="77777777" w:rsidR="007566F5"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(1)</w:t>
            </w:r>
            <w:r>
              <w:rPr>
                <w:rStyle w:val="ArialNarrowRGB214297"/>
                <w:rFonts w:ascii="Arial" w:eastAsia="楷体_GB2312" w:hAnsi="Arial" w:hint="eastAsia"/>
                <w:bCs/>
                <w:color w:val="1F497D" w:themeColor="text2"/>
                <w:spacing w:val="-4"/>
                <w:kern w:val="2"/>
                <w:lang w:eastAsia="zh-CN"/>
              </w:rPr>
              <w:t>广发证券（香港）跟本研究报告所述公司在过去</w:t>
            </w:r>
            <w:r>
              <w:rPr>
                <w:rStyle w:val="ArialNarrowRGB214297"/>
                <w:rFonts w:ascii="Arial" w:eastAsia="楷体_GB2312" w:hAnsi="Arial" w:hint="eastAsia"/>
                <w:bCs/>
                <w:color w:val="1F497D" w:themeColor="text2"/>
                <w:spacing w:val="-4"/>
                <w:kern w:val="2"/>
                <w:lang w:eastAsia="zh-CN"/>
              </w:rPr>
              <w:t xml:space="preserve">12 </w:t>
            </w:r>
            <w:r>
              <w:rPr>
                <w:rStyle w:val="ArialNarrowRGB214297"/>
                <w:rFonts w:ascii="Arial" w:eastAsia="楷体_GB2312" w:hAnsi="Arial" w:hint="eastAsia"/>
                <w:bCs/>
                <w:color w:val="1F497D" w:themeColor="text2"/>
                <w:spacing w:val="-4"/>
                <w:kern w:val="2"/>
                <w:lang w:eastAsia="zh-CN"/>
              </w:rPr>
              <w:t>个月内并没有任何投资银行业务的关系。</w:t>
            </w:r>
          </w:p>
        </w:tc>
      </w:tr>
    </w:tbl>
    <w:p w14:paraId="47F05070" w14:textId="77777777" w:rsidR="007566F5" w:rsidRPr="007566F5" w:rsidRDefault="007566F5"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846"/>
      </w:tblGrid>
      <w:tr w:rsidR="00574C81" w:rsidRPr="003369ED" w14:paraId="736782ED" w14:textId="77777777" w:rsidTr="00B9063D">
        <w:trPr>
          <w:trHeight w:hRule="exact" w:val="23"/>
        </w:trPr>
        <w:tc>
          <w:tcPr>
            <w:tcW w:w="10846" w:type="dxa"/>
          </w:tcPr>
          <w:p w14:paraId="694ABDFD" w14:textId="77777777" w:rsidR="00574C81" w:rsidRPr="003369ED" w:rsidRDefault="00574C81" w:rsidP="00B9063D">
            <w:pPr>
              <w:jc w:val="both"/>
              <w:rPr>
                <w:rFonts w:eastAsia="楷体_GB2312"/>
                <w:bCs/>
                <w:color w:val="FFFFFF" w:themeColor="background1"/>
                <w:sz w:val="13"/>
                <w:szCs w:val="13"/>
                <w:lang w:eastAsia="zh-CN"/>
              </w:rPr>
            </w:pPr>
            <w:r w:rsidRPr="003369ED">
              <w:rPr>
                <w:rFonts w:eastAsia="楷体_GB2312"/>
                <w:bCs/>
                <w:color w:val="FFFFFF" w:themeColor="background1"/>
                <w:sz w:val="13"/>
                <w:szCs w:val="13"/>
                <w:lang w:eastAsia="zh-CN"/>
              </w:rPr>
              <w:t>[Table_Copyright]</w:t>
            </w:r>
          </w:p>
        </w:tc>
      </w:tr>
      <w:tr w:rsidR="00574C81" w:rsidRPr="003F4A47" w14:paraId="31FD1F69" w14:textId="77777777" w:rsidTr="00B9063D">
        <w:tc>
          <w:tcPr>
            <w:tcW w:w="10846" w:type="dxa"/>
            <w:tcBorders>
              <w:bottom w:val="single" w:sz="12" w:space="0" w:color="1F497D" w:themeColor="text2"/>
            </w:tcBorders>
          </w:tcPr>
          <w:p w14:paraId="6516AD24" w14:textId="77777777" w:rsidR="00574C81" w:rsidRPr="003F4A47" w:rsidRDefault="00574C81" w:rsidP="00B9063D">
            <w:pPr>
              <w:jc w:val="both"/>
              <w:rPr>
                <w:rFonts w:eastAsia="楷体_GB2312"/>
                <w:b/>
                <w:color w:val="1F497D" w:themeColor="text2"/>
                <w:lang w:eastAsia="zh-CN"/>
              </w:rPr>
            </w:pPr>
            <w:r>
              <w:rPr>
                <w:rFonts w:eastAsia="楷体_GB2312" w:hint="eastAsia"/>
                <w:b/>
                <w:bCs/>
                <w:color w:val="1F497D" w:themeColor="text2"/>
                <w:lang w:eastAsia="zh-CN"/>
              </w:rPr>
              <w:t>版权声明</w:t>
            </w:r>
          </w:p>
        </w:tc>
      </w:tr>
      <w:tr w:rsidR="00574C81" w:rsidRPr="003F4A47" w14:paraId="730B3073" w14:textId="77777777" w:rsidTr="00B9063D">
        <w:tc>
          <w:tcPr>
            <w:tcW w:w="10846" w:type="dxa"/>
            <w:tcBorders>
              <w:top w:val="single" w:sz="12" w:space="0" w:color="1F497D" w:themeColor="text2"/>
            </w:tcBorders>
            <w:vAlign w:val="center"/>
          </w:tcPr>
          <w:p w14:paraId="56AAD71C" w14:textId="77777777" w:rsidR="00574C81" w:rsidRPr="001754D6" w:rsidRDefault="00540879" w:rsidP="00B9063D">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未经广发证券事先书面许可，任何机构或个人不得以任何形式翻版、复制、刊登、转载和引用，否则由此造成的一切不良后果及法律责任由私自翻版、复制、刊登、转载和引用者承担。</w:t>
            </w:r>
          </w:p>
        </w:tc>
      </w:tr>
      <w:bookmarkEnd w:id="72"/>
    </w:tbl>
    <w:p w14:paraId="0F4E9F78" w14:textId="77777777" w:rsidR="00EE2B5E" w:rsidRPr="00614B52" w:rsidRDefault="00EE2B5E" w:rsidP="00EE2B5E">
      <w:pPr>
        <w:autoSpaceDE w:val="0"/>
        <w:autoSpaceDN w:val="0"/>
        <w:adjustRightInd w:val="0"/>
        <w:rPr>
          <w:rFonts w:ascii="Arial" w:eastAsia="楷体_GB2312" w:hAnsi="Arial" w:cs="Arial"/>
          <w:color w:val="1F497D" w:themeColor="text2"/>
          <w:sz w:val="21"/>
          <w:szCs w:val="28"/>
          <w:lang w:eastAsia="zh-CN"/>
        </w:rPr>
      </w:pPr>
    </w:p>
    <w:sectPr w:rsidR="00EE2B5E" w:rsidRPr="00614B52" w:rsidSect="00267FF4">
      <w:type w:val="continuous"/>
      <w:pgSz w:w="11906" w:h="16838" w:code="9"/>
      <w:pgMar w:top="1134" w:right="641" w:bottom="720" w:left="635" w:header="794" w:footer="737" w:gutter="0"/>
      <w:cols w:space="142"/>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0FD31" w14:textId="77777777" w:rsidR="00895DD1" w:rsidRDefault="00895DD1">
      <w:r>
        <w:separator/>
      </w:r>
    </w:p>
  </w:endnote>
  <w:endnote w:type="continuationSeparator" w:id="0">
    <w:p w14:paraId="78736A93" w14:textId="77777777" w:rsidR="00895DD1" w:rsidRDefault="00895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582E6" w14:textId="77777777" w:rsidR="00430157" w:rsidRPr="00557EC3" w:rsidRDefault="00430157" w:rsidP="00AF73BF">
    <w:pPr>
      <w:pStyle w:val="a5"/>
      <w:ind w:right="-1"/>
      <w:rPr>
        <w:rFonts w:ascii="黑体" w:eastAsia="黑体" w:hAnsi="黑体"/>
        <w:color w:val="003F8A"/>
        <w:lang w:eastAsia="zh-CN"/>
      </w:rPr>
    </w:pPr>
    <w:r>
      <w:rPr>
        <w:rFonts w:ascii="黑体" w:eastAsia="黑体" w:hAnsi="黑体"/>
        <w:noProof/>
        <w:color w:val="003F8A"/>
        <w:lang w:eastAsia="zh-CN"/>
      </w:rPr>
      <mc:AlternateContent>
        <mc:Choice Requires="wps">
          <w:drawing>
            <wp:anchor distT="4294967293" distB="4294967293" distL="114300" distR="114300" simplePos="0" relativeHeight="251666432" behindDoc="0" locked="0" layoutInCell="1" allowOverlap="1" wp14:anchorId="03B7E0A3" wp14:editId="3D535259">
              <wp:simplePos x="0" y="0"/>
              <wp:positionH relativeFrom="column">
                <wp:posOffset>-7620</wp:posOffset>
              </wp:positionH>
              <wp:positionV relativeFrom="paragraph">
                <wp:posOffset>-20321</wp:posOffset>
              </wp:positionV>
              <wp:extent cx="6725285" cy="0"/>
              <wp:effectExtent l="0" t="0" r="0" b="0"/>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F9347B" id="_x0000_t32" coordsize="21600,21600" o:spt="32" o:oned="t" path="m,l21600,21600e" filled="f">
              <v:path arrowok="t" fillok="f" o:connecttype="none"/>
              <o:lock v:ext="edit" shapetype="t"/>
            </v:shapetype>
            <v:shape id="AutoShape 4" o:spid="_x0000_s1026" type="#_x0000_t32" style="position:absolute;left:0;text-align:left;margin-left:-.6pt;margin-top:-1.6pt;width:529.55pt;height:0;z-index:2516664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" strokecolor="#009ee1" strokeweight="1pt"/>
          </w:pict>
        </mc:Fallback>
      </mc:AlternateContent>
    </w:r>
    <w:r>
      <w:rPr>
        <w:rStyle w:val="af1"/>
        <w:rFonts w:ascii="黑体" w:eastAsia="黑体" w:hAnsi="黑体" w:cs="Arial Unicode MS" w:hint="eastAsia"/>
        <w:color w:val="003F8A"/>
        <w:lang w:eastAsia="zh-CN"/>
      </w:rPr>
      <w:t>识别风险，</w:t>
    </w:r>
    <w:r w:rsidRPr="00557EC3">
      <w:rPr>
        <w:rStyle w:val="af1"/>
        <w:rFonts w:ascii="黑体" w:eastAsia="黑体" w:hAnsi="黑体" w:cs="Arial Unicode MS" w:hint="eastAsia"/>
        <w:color w:val="003F8A"/>
        <w:lang w:eastAsia="zh-CN"/>
      </w:rPr>
      <w:t>发现价值</w:t>
    </w:r>
    <w:r>
      <w:rPr>
        <w:rStyle w:val="af1"/>
        <w:rFonts w:ascii="黑体" w:eastAsia="黑体" w:hAnsi="黑体" w:cs="Arial Unicode MS" w:hint="eastAsia"/>
        <w:color w:val="003F8A"/>
        <w:lang w:eastAsia="zh-CN"/>
      </w:rPr>
      <w:t xml:space="preserve">　　　　　　　　　　　　　　　　　　　　　　　　　　　　　　　　　　　　　　</w:t>
    </w:r>
    <w:r w:rsidRPr="00557EC3">
      <w:rPr>
        <w:rFonts w:ascii="黑体" w:eastAsia="黑体" w:hAnsi="黑体" w:cs="Arial Unicode MS" w:hint="eastAsia"/>
        <w:color w:val="004892"/>
        <w:lang w:eastAsia="zh-CN"/>
      </w:rPr>
      <w:t>请务必阅读末页的免责声明</w:t>
    </w:r>
  </w:p>
  <w:p w14:paraId="522B9FA0" w14:textId="77777777" w:rsidR="00430157" w:rsidRPr="005B23A7" w:rsidRDefault="00430157" w:rsidP="00685482">
    <w:pPr>
      <w:pStyle w:val="a5"/>
      <w:ind w:right="168"/>
      <w:jc w:val="center"/>
      <w:rPr>
        <w:rFonts w:ascii="Arial Unicode MS" w:eastAsia="Arial Unicode MS" w:hAnsi="Arial Unicode MS" w:cs="Arial Unicode MS"/>
        <w:color w:val="003F8A"/>
        <w:sz w:val="16"/>
        <w:lang w:eastAsia="zh-CN"/>
      </w:rPr>
    </w:pPr>
    <w:r w:rsidRPr="005B23A7">
      <w:rPr>
        <w:rFonts w:ascii="Arial Unicode MS" w:eastAsia="Arial Unicode MS" w:hAnsi="Arial Unicode MS" w:cs="Arial Unicode MS"/>
        <w:b/>
        <w:color w:val="003F8A"/>
        <w:sz w:val="22"/>
        <w:szCs w:val="24"/>
      </w:rPr>
      <w:fldChar w:fldCharType="begin"/>
    </w:r>
    <w:r w:rsidRPr="005B23A7">
      <w:rPr>
        <w:rFonts w:ascii="Arial Unicode MS" w:eastAsia="Arial Unicode MS" w:hAnsi="Arial Unicode MS" w:cs="Arial Unicode MS"/>
        <w:b/>
        <w:color w:val="003F8A"/>
        <w:sz w:val="16"/>
      </w:rPr>
      <w:instrText>PAGE</w:instrText>
    </w:r>
    <w:r w:rsidRPr="005B23A7">
      <w:rPr>
        <w:rFonts w:ascii="Arial Unicode MS" w:eastAsia="Arial Unicode MS" w:hAnsi="Arial Unicode MS" w:cs="Arial Unicode MS"/>
        <w:b/>
        <w:color w:val="003F8A"/>
        <w:sz w:val="22"/>
        <w:szCs w:val="24"/>
      </w:rPr>
      <w:fldChar w:fldCharType="separate"/>
    </w:r>
    <w:r>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r w:rsidRPr="005B23A7">
      <w:rPr>
        <w:rFonts w:ascii="Arial Unicode MS" w:eastAsia="Arial Unicode MS" w:hAnsi="Arial Unicode MS" w:cs="Arial Unicode MS"/>
        <w:color w:val="003F8A"/>
        <w:sz w:val="16"/>
        <w:lang w:val="zh-CN"/>
      </w:rPr>
      <w:t xml:space="preserve"> / </w:t>
    </w:r>
    <w:r w:rsidRPr="005B23A7">
      <w:rPr>
        <w:rFonts w:ascii="Arial Unicode MS" w:eastAsia="Arial Unicode MS" w:hAnsi="Arial Unicode MS" w:cs="Arial Unicode MS"/>
        <w:b/>
        <w:color w:val="003F8A"/>
        <w:sz w:val="22"/>
        <w:szCs w:val="24"/>
      </w:rPr>
      <w:fldChar w:fldCharType="begin"/>
    </w:r>
    <w:r w:rsidRPr="005B23A7">
      <w:rPr>
        <w:rFonts w:ascii="Arial Unicode MS" w:eastAsia="Arial Unicode MS" w:hAnsi="Arial Unicode MS" w:cs="Arial Unicode MS"/>
        <w:b/>
        <w:color w:val="003F8A"/>
        <w:sz w:val="16"/>
      </w:rPr>
      <w:instrText>NUMPAGES</w:instrText>
    </w:r>
    <w:r w:rsidRPr="005B23A7">
      <w:rPr>
        <w:rFonts w:ascii="Arial Unicode MS" w:eastAsia="Arial Unicode MS" w:hAnsi="Arial Unicode MS" w:cs="Arial Unicode MS"/>
        <w:b/>
        <w:color w:val="003F8A"/>
        <w:sz w:val="22"/>
        <w:szCs w:val="24"/>
      </w:rPr>
      <w:fldChar w:fldCharType="separate"/>
    </w:r>
    <w:r>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DAF04" w14:textId="77777777" w:rsidR="00430157" w:rsidRPr="00557EC3" w:rsidRDefault="00430157" w:rsidP="00AF73BF">
    <w:pPr>
      <w:pStyle w:val="a5"/>
      <w:ind w:right="-1"/>
      <w:rPr>
        <w:rFonts w:ascii="黑体" w:eastAsia="黑体" w:hAnsi="黑体"/>
        <w:color w:val="003F8A"/>
        <w:lang w:eastAsia="zh-CN"/>
      </w:rPr>
    </w:pPr>
    <w:r>
      <w:rPr>
        <w:rFonts w:ascii="黑体" w:eastAsia="黑体" w:hAnsi="黑体"/>
        <w:noProof/>
        <w:color w:val="003F8A"/>
        <w:lang w:eastAsia="zh-CN"/>
      </w:rPr>
      <mc:AlternateContent>
        <mc:Choice Requires="wps">
          <w:drawing>
            <wp:anchor distT="4294967293" distB="4294967293" distL="114300" distR="114300" simplePos="0" relativeHeight="251654144" behindDoc="0" locked="0" layoutInCell="1" allowOverlap="1" wp14:anchorId="37AEE5B6" wp14:editId="48258A26">
              <wp:simplePos x="0" y="0"/>
              <wp:positionH relativeFrom="column">
                <wp:posOffset>-7620</wp:posOffset>
              </wp:positionH>
              <wp:positionV relativeFrom="paragraph">
                <wp:posOffset>-20321</wp:posOffset>
              </wp:positionV>
              <wp:extent cx="6725285" cy="0"/>
              <wp:effectExtent l="0" t="0" r="0" b="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E1D672" id="_x0000_t32" coordsize="21600,21600" o:spt="32" o:oned="t" path="m,l21600,21600e" filled="f">
              <v:path arrowok="t" fillok="f" o:connecttype="none"/>
              <o:lock v:ext="edit" shapetype="t"/>
            </v:shapetype>
            <v:shape id="AutoShape 4" o:spid="_x0000_s1026" type="#_x0000_t32" style="position:absolute;left:0;text-align:left;margin-left:-.6pt;margin-top:-1.6pt;width:529.55pt;height:0;z-index:2516541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" strokecolor="#009ee1" strokeweight="1pt"/>
          </w:pict>
        </mc:Fallback>
      </mc:AlternateContent>
    </w:r>
    <w:r>
      <w:rPr>
        <w:rStyle w:val="af1"/>
        <w:rFonts w:ascii="黑体" w:eastAsia="黑体" w:hAnsi="黑体" w:cs="Arial Unicode MS" w:hint="eastAsia"/>
        <w:color w:val="003F8A"/>
        <w:lang w:eastAsia="zh-CN"/>
      </w:rPr>
      <w:t>识别风险，</w:t>
    </w:r>
    <w:r w:rsidRPr="00557EC3">
      <w:rPr>
        <w:rStyle w:val="af1"/>
        <w:rFonts w:ascii="黑体" w:eastAsia="黑体" w:hAnsi="黑体" w:cs="Arial Unicode MS" w:hint="eastAsia"/>
        <w:color w:val="003F8A"/>
        <w:lang w:eastAsia="zh-CN"/>
      </w:rPr>
      <w:t>发现价值</w:t>
    </w:r>
    <w:r>
      <w:rPr>
        <w:rStyle w:val="af1"/>
        <w:rFonts w:ascii="黑体" w:eastAsia="黑体" w:hAnsi="黑体" w:cs="Arial Unicode MS" w:hint="eastAsia"/>
        <w:color w:val="003F8A"/>
        <w:lang w:eastAsia="zh-CN"/>
      </w:rPr>
      <w:t xml:space="preserve">　　　　　　　　　　　　　　　　　　　　　　　　　　　　　　　　　　　　　　</w:t>
    </w:r>
    <w:r w:rsidRPr="00557EC3">
      <w:rPr>
        <w:rFonts w:ascii="黑体" w:eastAsia="黑体" w:hAnsi="黑体" w:cs="Arial Unicode MS" w:hint="eastAsia"/>
        <w:color w:val="004892"/>
        <w:lang w:eastAsia="zh-CN"/>
      </w:rPr>
      <w:t>请务必阅读末页的免责声明</w:t>
    </w:r>
  </w:p>
  <w:p w14:paraId="1830004D" w14:textId="77777777" w:rsidR="00430157" w:rsidRPr="005B23A7" w:rsidRDefault="00430157" w:rsidP="00685482">
    <w:pPr>
      <w:pStyle w:val="a5"/>
      <w:ind w:right="168"/>
      <w:jc w:val="center"/>
      <w:rPr>
        <w:rFonts w:ascii="Arial Unicode MS" w:eastAsia="Arial Unicode MS" w:hAnsi="Arial Unicode MS" w:cs="Arial Unicode MS"/>
        <w:color w:val="003F8A"/>
        <w:sz w:val="16"/>
        <w:lang w:eastAsia="zh-CN"/>
      </w:rPr>
    </w:pPr>
    <w:r w:rsidRPr="005B23A7">
      <w:rPr>
        <w:rFonts w:ascii="Arial Unicode MS" w:eastAsia="Arial Unicode MS" w:hAnsi="Arial Unicode MS" w:cs="Arial Unicode MS"/>
        <w:b/>
        <w:color w:val="003F8A"/>
        <w:sz w:val="22"/>
        <w:szCs w:val="24"/>
      </w:rPr>
      <w:fldChar w:fldCharType="begin"/>
    </w:r>
    <w:r w:rsidRPr="005B23A7">
      <w:rPr>
        <w:rFonts w:ascii="Arial Unicode MS" w:eastAsia="Arial Unicode MS" w:hAnsi="Arial Unicode MS" w:cs="Arial Unicode MS"/>
        <w:b/>
        <w:color w:val="003F8A"/>
        <w:sz w:val="16"/>
      </w:rPr>
      <w:instrText>PAGE</w:instrText>
    </w:r>
    <w:r w:rsidRPr="005B23A7">
      <w:rPr>
        <w:rFonts w:ascii="Arial Unicode MS" w:eastAsia="Arial Unicode MS" w:hAnsi="Arial Unicode MS" w:cs="Arial Unicode MS"/>
        <w:b/>
        <w:color w:val="003F8A"/>
        <w:sz w:val="22"/>
        <w:szCs w:val="24"/>
      </w:rPr>
      <w:fldChar w:fldCharType="separate"/>
    </w:r>
    <w:r>
      <w:rPr>
        <w:rFonts w:ascii="Arial Unicode MS" w:eastAsia="Arial Unicode MS" w:hAnsi="Arial Unicode MS" w:cs="Arial Unicode MS"/>
        <w:b/>
        <w:noProof/>
        <w:color w:val="003F8A"/>
        <w:sz w:val="16"/>
      </w:rPr>
      <w:t>1</w:t>
    </w:r>
    <w:r w:rsidRPr="005B23A7">
      <w:rPr>
        <w:rFonts w:ascii="Arial Unicode MS" w:eastAsia="Arial Unicode MS" w:hAnsi="Arial Unicode MS" w:cs="Arial Unicode MS"/>
        <w:b/>
        <w:color w:val="003F8A"/>
        <w:sz w:val="22"/>
        <w:szCs w:val="24"/>
      </w:rPr>
      <w:fldChar w:fldCharType="end"/>
    </w:r>
    <w:r w:rsidRPr="005B23A7">
      <w:rPr>
        <w:rFonts w:ascii="Arial Unicode MS" w:eastAsia="Arial Unicode MS" w:hAnsi="Arial Unicode MS" w:cs="Arial Unicode MS"/>
        <w:color w:val="003F8A"/>
        <w:sz w:val="16"/>
        <w:lang w:val="zh-CN"/>
      </w:rPr>
      <w:t xml:space="preserve"> / </w:t>
    </w:r>
    <w:r w:rsidRPr="005B23A7">
      <w:rPr>
        <w:rFonts w:ascii="Arial Unicode MS" w:eastAsia="Arial Unicode MS" w:hAnsi="Arial Unicode MS" w:cs="Arial Unicode MS"/>
        <w:b/>
        <w:color w:val="003F8A"/>
        <w:sz w:val="22"/>
        <w:szCs w:val="24"/>
      </w:rPr>
      <w:fldChar w:fldCharType="begin"/>
    </w:r>
    <w:r w:rsidRPr="005B23A7">
      <w:rPr>
        <w:rFonts w:ascii="Arial Unicode MS" w:eastAsia="Arial Unicode MS" w:hAnsi="Arial Unicode MS" w:cs="Arial Unicode MS"/>
        <w:b/>
        <w:color w:val="003F8A"/>
        <w:sz w:val="16"/>
      </w:rPr>
      <w:instrText>NUMPAGES</w:instrText>
    </w:r>
    <w:r w:rsidRPr="005B23A7">
      <w:rPr>
        <w:rFonts w:ascii="Arial Unicode MS" w:eastAsia="Arial Unicode MS" w:hAnsi="Arial Unicode MS" w:cs="Arial Unicode MS"/>
        <w:b/>
        <w:color w:val="003F8A"/>
        <w:sz w:val="22"/>
        <w:szCs w:val="24"/>
      </w:rPr>
      <w:fldChar w:fldCharType="separate"/>
    </w:r>
    <w:r>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A34D2" w14:textId="77777777" w:rsidR="00895DD1" w:rsidRDefault="00895DD1">
      <w:r>
        <w:separator/>
      </w:r>
    </w:p>
  </w:footnote>
  <w:footnote w:type="continuationSeparator" w:id="0">
    <w:p w14:paraId="41D99AAD" w14:textId="77777777" w:rsidR="00895DD1" w:rsidRDefault="00895DD1">
      <w:r>
        <w:continuationSeparator/>
      </w:r>
    </w:p>
  </w:footnote>
  <w:footnote w:id="1">
    <w:p w14:paraId="307BDB70" w14:textId="77777777" w:rsidR="00430157" w:rsidRPr="00D54BE2" w:rsidRDefault="00430157" w:rsidP="009A63B1">
      <w:pPr>
        <w:pStyle w:val="aff5"/>
        <w:rPr>
          <w:rFonts w:eastAsiaTheme="minorEastAsia"/>
          <w:lang w:eastAsia="zh-CN"/>
        </w:rPr>
      </w:pPr>
      <w:r>
        <w:rPr>
          <w:rStyle w:val="aff7"/>
        </w:rPr>
        <w:footnoteRef/>
      </w:r>
      <w:r>
        <w:t xml:space="preserve"> </w:t>
      </w:r>
      <w:r>
        <w:rPr>
          <w:rFonts w:eastAsiaTheme="minorEastAsia" w:hint="eastAsia"/>
          <w:lang w:eastAsia="zh-CN"/>
        </w:rPr>
        <w:t>来自</w:t>
      </w:r>
      <w:r>
        <w:rPr>
          <w:rFonts w:eastAsiaTheme="minorEastAsia" w:hint="eastAsia"/>
          <w:lang w:eastAsia="zh-CN"/>
        </w:rPr>
        <w:t>C</w:t>
      </w:r>
      <w:r>
        <w:rPr>
          <w:rFonts w:eastAsiaTheme="minorEastAsia"/>
          <w:lang w:eastAsia="zh-CN"/>
        </w:rPr>
        <w:t xml:space="preserve">FA </w:t>
      </w:r>
      <w:r>
        <w:rPr>
          <w:rFonts w:eastAsiaTheme="minorEastAsia" w:hint="eastAsia"/>
          <w:lang w:eastAsia="zh-CN"/>
        </w:rPr>
        <w:t>institute</w:t>
      </w:r>
    </w:p>
  </w:footnote>
  <w:footnote w:id="2">
    <w:p w14:paraId="1A9E211F" w14:textId="77777777" w:rsidR="00430157" w:rsidRPr="007252B0" w:rsidRDefault="00430157" w:rsidP="009A63B1">
      <w:pPr>
        <w:pStyle w:val="aff5"/>
        <w:rPr>
          <w:rFonts w:eastAsiaTheme="minorEastAsia"/>
          <w:lang w:eastAsia="zh-CN"/>
        </w:rPr>
      </w:pPr>
      <w:r>
        <w:rPr>
          <w:rStyle w:val="aff7"/>
        </w:rPr>
        <w:footnoteRef/>
      </w:r>
      <w:r>
        <w:t xml:space="preserve"> </w:t>
      </w:r>
      <w:r w:rsidRPr="007252B0">
        <w:t>Tierney, David, E, et al. Benchmark Orthogonality Properties[J]. Journal of Portfolio Management, 1995.</w:t>
      </w:r>
      <w:r>
        <w:t xml:space="preserve"> </w:t>
      </w:r>
    </w:p>
  </w:footnote>
  <w:footnote w:id="3">
    <w:p w14:paraId="3F69560A" w14:textId="77777777" w:rsidR="00430157" w:rsidRPr="006C74C4" w:rsidRDefault="00430157" w:rsidP="009A63B1">
      <w:pPr>
        <w:pStyle w:val="aff5"/>
        <w:rPr>
          <w:rFonts w:eastAsiaTheme="minorEastAsia"/>
          <w:lang w:eastAsia="zh-CN"/>
        </w:rPr>
      </w:pPr>
      <w:r>
        <w:rPr>
          <w:rStyle w:val="aff7"/>
        </w:rPr>
        <w:footnoteRef/>
      </w:r>
      <w:r>
        <w:t xml:space="preserve"> </w:t>
      </w:r>
      <w:r w:rsidRPr="006C74C4">
        <w:t>Broeders D , Haan L D . Benchmark Selection and Performance[J]. SSRN Electronic Journal, 2018.</w:t>
      </w:r>
    </w:p>
  </w:footnote>
  <w:footnote w:id="4">
    <w:p w14:paraId="471684D1" w14:textId="77777777" w:rsidR="00430157" w:rsidRDefault="00430157" w:rsidP="009A63B1">
      <w:pPr>
        <w:pStyle w:val="aff5"/>
      </w:pPr>
      <w:r>
        <w:rPr>
          <w:rStyle w:val="aff7"/>
        </w:rPr>
        <w:footnoteRef/>
      </w:r>
      <w:r>
        <w:t xml:space="preserve"> Brinson GP, Hood LR and Beebower GL (1986) Determinants of portfolio performance. Financial Analysts Journal 42, 39–44.</w:t>
      </w:r>
    </w:p>
    <w:p w14:paraId="45F20ED5" w14:textId="77777777" w:rsidR="00430157" w:rsidRPr="00632132" w:rsidRDefault="00430157" w:rsidP="009A63B1">
      <w:pPr>
        <w:pStyle w:val="aff5"/>
      </w:pPr>
      <w:bookmarkStart w:id="13" w:name="OLE_LINK1"/>
      <w:bookmarkStart w:id="14" w:name="OLE_LINK2"/>
      <w:bookmarkStart w:id="15" w:name="OLE_LINK5"/>
      <w:r>
        <w:t xml:space="preserve">Brinson GP, Singer BD and Beebower GL (1991) </w:t>
      </w:r>
      <w:bookmarkStart w:id="16" w:name="OLE_LINK3"/>
      <w:bookmarkStart w:id="17" w:name="OLE_LINK4"/>
      <w:r>
        <w:t>Determinants of portfolio performance II: an update.</w:t>
      </w:r>
      <w:bookmarkEnd w:id="16"/>
      <w:bookmarkEnd w:id="17"/>
      <w:r>
        <w:t xml:space="preserve"> Financial Analysts Journal 47, 40–48.</w:t>
      </w:r>
      <w:bookmarkEnd w:id="13"/>
      <w:bookmarkEnd w:id="14"/>
      <w:bookmarkEnd w:id="15"/>
    </w:p>
  </w:footnote>
  <w:footnote w:id="5">
    <w:p w14:paraId="722FD11A" w14:textId="77777777" w:rsidR="00430157" w:rsidRPr="00632132" w:rsidRDefault="00430157" w:rsidP="009A63B1">
      <w:pPr>
        <w:pStyle w:val="aff5"/>
      </w:pPr>
      <w:r>
        <w:rPr>
          <w:rStyle w:val="aff7"/>
        </w:rPr>
        <w:footnoteRef/>
      </w:r>
      <w:r>
        <w:t xml:space="preserve"> Brown KC, Garlappi L and Tiu C (2010) Asset allocation and portfolio performance: evidence from university endowment funds. Journal of Financial Markets 13, 268–294.</w:t>
      </w:r>
    </w:p>
  </w:footnote>
  <w:footnote w:id="6">
    <w:p w14:paraId="2F75B67A" w14:textId="77777777" w:rsidR="00430157" w:rsidRPr="00632132" w:rsidRDefault="00430157" w:rsidP="009A63B1">
      <w:pPr>
        <w:pStyle w:val="aff5"/>
      </w:pPr>
      <w:r>
        <w:rPr>
          <w:rStyle w:val="aff7"/>
        </w:rPr>
        <w:footnoteRef/>
      </w:r>
      <w:r>
        <w:t xml:space="preserve"> Andonov A, Bauer RMMJ and Cremers KJM (2012) Can large pension funds beat the market? Asset allocation, market timing, security selection and the limits of liquidity. Available at ssrn.com/abstract=1885536.</w:t>
      </w:r>
    </w:p>
  </w:footnote>
  <w:footnote w:id="7">
    <w:p w14:paraId="0D6FD725" w14:textId="5948F2D2" w:rsidR="00A82F2A" w:rsidRPr="00A82F2A" w:rsidRDefault="00A82F2A">
      <w:pPr>
        <w:pStyle w:val="aff5"/>
        <w:rPr>
          <w:rFonts w:eastAsiaTheme="minorEastAsia" w:hint="eastAsia"/>
          <w:lang w:eastAsia="zh-CN"/>
        </w:rPr>
      </w:pPr>
      <w:r>
        <w:rPr>
          <w:rStyle w:val="aff7"/>
        </w:rPr>
        <w:footnoteRef/>
      </w:r>
      <w:r>
        <w:t xml:space="preserve"> </w:t>
      </w:r>
      <w:r w:rsidRPr="00A82F2A">
        <w:t>Bülent Baygün, Tzucker R . Bond Portfolio Strategies for Outperforming a Benchmark[M]// Handbook of Finance.</w:t>
      </w:r>
    </w:p>
  </w:footnote>
  <w:footnote w:id="8">
    <w:p w14:paraId="70ACEEF1" w14:textId="26E6E984" w:rsidR="005812D9" w:rsidRPr="005812D9" w:rsidRDefault="005812D9">
      <w:pPr>
        <w:pStyle w:val="aff5"/>
        <w:rPr>
          <w:rFonts w:eastAsiaTheme="minorEastAsia" w:hint="eastAsia"/>
          <w:lang w:eastAsia="zh-CN"/>
        </w:rPr>
      </w:pPr>
      <w:r>
        <w:rPr>
          <w:rStyle w:val="aff7"/>
        </w:rPr>
        <w:footnoteRef/>
      </w:r>
      <w:r>
        <w:t xml:space="preserve"> </w:t>
      </w:r>
      <w:r w:rsidRPr="005812D9">
        <w:t>Daniel K E A . Measuring Mutual Fund Performance with Characteristic-Based Benchmarks[J]. Journal of Finance, 1997, 52(3):1035-1058.</w:t>
      </w:r>
    </w:p>
  </w:footnote>
  <w:footnote w:id="9">
    <w:p w14:paraId="55357286" w14:textId="6F0B39D5" w:rsidR="00967830" w:rsidRPr="00967830" w:rsidRDefault="00967830">
      <w:pPr>
        <w:pStyle w:val="aff5"/>
        <w:rPr>
          <w:rFonts w:eastAsiaTheme="minorEastAsia" w:hint="eastAsia"/>
          <w:lang w:eastAsia="zh-CN"/>
        </w:rPr>
      </w:pPr>
      <w:r>
        <w:rPr>
          <w:rStyle w:val="aff7"/>
        </w:rPr>
        <w:footnoteRef/>
      </w:r>
      <w:r>
        <w:t xml:space="preserve"> </w:t>
      </w:r>
      <w:r w:rsidRPr="00967830">
        <w:t xml:space="preserve">Fong K , Gallagher D R , Lee A D . Benchmarking benchmarks: measuring characteristic selectivity using portfolio holdings data[J]. Accounting &amp; Finance, 2014, 48(5):761-781.  </w:t>
      </w:r>
    </w:p>
  </w:footnote>
  <w:footnote w:id="10">
    <w:p w14:paraId="05946C20" w14:textId="346C0E86" w:rsidR="0023442E" w:rsidRPr="0023442E" w:rsidRDefault="0023442E">
      <w:pPr>
        <w:pStyle w:val="aff5"/>
        <w:rPr>
          <w:rFonts w:eastAsiaTheme="minorEastAsia" w:hint="eastAsia"/>
          <w:lang w:eastAsia="zh-CN"/>
        </w:rPr>
      </w:pPr>
      <w:r>
        <w:rPr>
          <w:rStyle w:val="aff7"/>
        </w:rPr>
        <w:footnoteRef/>
      </w:r>
      <w:r>
        <w:t xml:space="preserve"> </w:t>
      </w:r>
      <w:r w:rsidRPr="0023442E">
        <w:t>Natter, Markus. Options-based benchmark indicesA review of performance and (in)appropriate measures[J]. Journal of Futures Markets,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22628" w14:textId="77777777" w:rsidR="00430157" w:rsidRPr="008919F6" w:rsidRDefault="00430157" w:rsidP="007C00E7">
    <w:pPr>
      <w:rPr>
        <w:rFonts w:ascii="楷体_GB2312" w:eastAsia="楷体_GB2312" w:hAnsi="宋体"/>
        <w:color w:val="004892"/>
        <w:sz w:val="13"/>
        <w:szCs w:val="13"/>
        <w:lang w:eastAsia="zh-CN"/>
      </w:rPr>
    </w:pPr>
    <w:r>
      <w:rPr>
        <w:rFonts w:ascii="楷体_GB2312" w:eastAsia="楷体_GB2312" w:hAnsi="宋体"/>
        <w:noProof/>
        <w:color w:val="004892"/>
        <w:sz w:val="18"/>
        <w:szCs w:val="18"/>
        <w:lang w:eastAsia="zh-CN"/>
      </w:rPr>
      <mc:AlternateContent>
        <mc:Choice Requires="wps">
          <w:drawing>
            <wp:anchor distT="0" distB="0" distL="114300" distR="114300" simplePos="0" relativeHeight="251678720" behindDoc="0" locked="0" layoutInCell="1" allowOverlap="1" wp14:anchorId="7FFFE2D7" wp14:editId="5B6050C3">
              <wp:simplePos x="0" y="0"/>
              <wp:positionH relativeFrom="column">
                <wp:posOffset>4140200</wp:posOffset>
              </wp:positionH>
              <wp:positionV relativeFrom="paragraph">
                <wp:posOffset>57785</wp:posOffset>
              </wp:positionV>
              <wp:extent cx="2686050" cy="304800"/>
              <wp:effectExtent l="0" t="0" r="0" b="0"/>
              <wp:wrapNone/>
              <wp:docPr id="20" name="HeaderShape_StockIndustry"/>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60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7"/>
                          </w:tblGrid>
                          <w:tr w:rsidR="00430157" w:rsidRPr="00364554" w14:paraId="1A62E004" w14:textId="77777777" w:rsidTr="00364554">
                            <w:trPr>
                              <w:trHeight w:hRule="exact" w:val="23"/>
                            </w:trPr>
                            <w:tc>
                              <w:tcPr>
                                <w:tcW w:w="4147" w:type="dxa"/>
                              </w:tcPr>
                              <w:p w14:paraId="1E5768F9" w14:textId="77777777" w:rsidR="00430157" w:rsidRPr="00364554" w:rsidRDefault="00430157" w:rsidP="00B9063D">
                                <w:pPr>
                                  <w:rPr>
                                    <w:rFonts w:eastAsiaTheme="minorEastAsia"/>
                                    <w:color w:val="FFFFFF" w:themeColor="background1"/>
                                    <w:sz w:val="15"/>
                                    <w:szCs w:val="15"/>
                                    <w:lang w:eastAsia="zh-CN"/>
                                  </w:rPr>
                                </w:pPr>
                                <w:r w:rsidRPr="00364554">
                                  <w:rPr>
                                    <w:rFonts w:eastAsiaTheme="minorEastAsia" w:hint="eastAsia"/>
                                    <w:color w:val="FFFFFF" w:themeColor="background1"/>
                                    <w:sz w:val="15"/>
                                    <w:szCs w:val="15"/>
                                    <w:lang w:eastAsia="zh-CN"/>
                                  </w:rPr>
                                  <w:t>[Table_PageText]</w:t>
                                </w:r>
                              </w:p>
                            </w:tc>
                          </w:tr>
                          <w:tr w:rsidR="00430157" w14:paraId="41FDF939" w14:textId="77777777" w:rsidTr="00B9063D">
                            <w:trPr>
                              <w:trHeight w:hRule="exact" w:val="386"/>
                            </w:trPr>
                            <w:tc>
                              <w:tcPr>
                                <w:tcW w:w="4147" w:type="dxa"/>
                                <w:vAlign w:val="bottom"/>
                              </w:tcPr>
                              <w:p w14:paraId="5E38BED6" w14:textId="77777777" w:rsidR="00430157" w:rsidRPr="00A703E3" w:rsidRDefault="00430157" w:rsidP="00B9063D">
                                <w:pPr>
                                  <w:jc w:val="right"/>
                                  <w:rPr>
                                    <w:rFonts w:ascii="黑体" w:eastAsia="黑体"/>
                                    <w:color w:val="1F497D"/>
                                    <w:sz w:val="21"/>
                                    <w:szCs w:val="21"/>
                                    <w:lang w:eastAsia="zh-CN"/>
                                  </w:rPr>
                                </w:pPr>
                                <w:r>
                                  <w:rPr>
                                    <w:rFonts w:ascii="黑体" w:eastAsia="黑体" w:hint="eastAsia"/>
                                    <w:color w:val="1F497D"/>
                                    <w:sz w:val="21"/>
                                    <w:szCs w:val="21"/>
                                    <w:lang w:eastAsia="zh-CN"/>
                                  </w:rPr>
                                  <w:t>金融工程|量化投资专题</w:t>
                                </w:r>
                              </w:p>
                            </w:tc>
                          </w:tr>
                        </w:tbl>
                        <w:p w14:paraId="474EE59C" w14:textId="77777777" w:rsidR="00430157" w:rsidRPr="00E81E90" w:rsidRDefault="00430157" w:rsidP="00DF4863">
                          <w:pPr>
                            <w:jc w:val="right"/>
                            <w:rPr>
                              <w:rFonts w:ascii="黑体" w:eastAsia="黑体"/>
                              <w:color w:val="1F497D"/>
                              <w:sz w:val="21"/>
                              <w:szCs w:val="21"/>
                              <w:lang w:eastAsia="zh-CN"/>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FE2D7" id="_x0000_t202" coordsize="21600,21600" o:spt="202" path="m,l,21600r21600,l21600,xe">
              <v:stroke joinstyle="miter"/>
              <v:path gradientshapeok="t" o:connecttype="rect"/>
            </v:shapetype>
            <v:shape id="HeaderShape_StockIndustry" o:spid="_x0000_s1026" type="#_x0000_t202" style="position:absolute;margin-left:326pt;margin-top:4.55pt;width:211.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" filled="f" stroked="f" strokeweight=".5pt">
              <v:textbox inset=",0,,0">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7"/>
                    </w:tblGrid>
                    <w:tr w:rsidR="00430157" w:rsidRPr="00364554" w14:paraId="1A62E004" w14:textId="77777777" w:rsidTr="00364554">
                      <w:trPr>
                        <w:trHeight w:hRule="exact" w:val="23"/>
                      </w:trPr>
                      <w:tc>
                        <w:tcPr>
                          <w:tcW w:w="4147" w:type="dxa"/>
                        </w:tcPr>
                        <w:p w14:paraId="1E5768F9" w14:textId="77777777" w:rsidR="00430157" w:rsidRPr="00364554" w:rsidRDefault="00430157" w:rsidP="00B9063D">
                          <w:pPr>
                            <w:rPr>
                              <w:rFonts w:eastAsiaTheme="minorEastAsia"/>
                              <w:color w:val="FFFFFF" w:themeColor="background1"/>
                              <w:sz w:val="15"/>
                              <w:szCs w:val="15"/>
                              <w:lang w:eastAsia="zh-CN"/>
                            </w:rPr>
                          </w:pPr>
                          <w:r w:rsidRPr="00364554">
                            <w:rPr>
                              <w:rFonts w:eastAsiaTheme="minorEastAsia" w:hint="eastAsia"/>
                              <w:color w:val="FFFFFF" w:themeColor="background1"/>
                              <w:sz w:val="15"/>
                              <w:szCs w:val="15"/>
                              <w:lang w:eastAsia="zh-CN"/>
                            </w:rPr>
                            <w:t>[Table_PageText]</w:t>
                          </w:r>
                        </w:p>
                      </w:tc>
                    </w:tr>
                    <w:tr w:rsidR="00430157" w14:paraId="41FDF939" w14:textId="77777777" w:rsidTr="00B9063D">
                      <w:trPr>
                        <w:trHeight w:hRule="exact" w:val="386"/>
                      </w:trPr>
                      <w:tc>
                        <w:tcPr>
                          <w:tcW w:w="4147" w:type="dxa"/>
                          <w:vAlign w:val="bottom"/>
                        </w:tcPr>
                        <w:p w14:paraId="5E38BED6" w14:textId="77777777" w:rsidR="00430157" w:rsidRPr="00A703E3" w:rsidRDefault="00430157" w:rsidP="00B9063D">
                          <w:pPr>
                            <w:jc w:val="right"/>
                            <w:rPr>
                              <w:rFonts w:ascii="黑体" w:eastAsia="黑体"/>
                              <w:color w:val="1F497D"/>
                              <w:sz w:val="21"/>
                              <w:szCs w:val="21"/>
                              <w:lang w:eastAsia="zh-CN"/>
                            </w:rPr>
                          </w:pPr>
                          <w:r>
                            <w:rPr>
                              <w:rFonts w:ascii="黑体" w:eastAsia="黑体" w:hint="eastAsia"/>
                              <w:color w:val="1F497D"/>
                              <w:sz w:val="21"/>
                              <w:szCs w:val="21"/>
                              <w:lang w:eastAsia="zh-CN"/>
                            </w:rPr>
                            <w:t>金融工程|量化投资专题</w:t>
                          </w:r>
                        </w:p>
                      </w:tc>
                    </w:tr>
                  </w:tbl>
                  <w:p w14:paraId="474EE59C" w14:textId="77777777" w:rsidR="00430157" w:rsidRPr="00E81E90" w:rsidRDefault="00430157" w:rsidP="00DF4863">
                    <w:pPr>
                      <w:jc w:val="right"/>
                      <w:rPr>
                        <w:rFonts w:ascii="黑体" w:eastAsia="黑体"/>
                        <w:color w:val="1F497D"/>
                        <w:sz w:val="21"/>
                        <w:szCs w:val="21"/>
                        <w:lang w:eastAsia="zh-CN"/>
                      </w:rPr>
                    </w:pPr>
                  </w:p>
                </w:txbxContent>
              </v:textbox>
            </v:shape>
          </w:pict>
        </mc:Fallback>
      </mc:AlternateContent>
    </w:r>
    <w:r>
      <w:rPr>
        <w:rFonts w:eastAsia="宋体" w:hint="eastAsia"/>
        <w:noProof/>
        <w:lang w:eastAsia="zh-CN"/>
      </w:rPr>
      <w:drawing>
        <wp:inline distT="0" distB="0" distL="0" distR="0" wp14:anchorId="3875F400" wp14:editId="19073D82">
          <wp:extent cx="1162050" cy="352425"/>
          <wp:effectExtent l="19050" t="0" r="0" b="0"/>
          <wp:docPr id="11" name="图片 11" descr="2011622022349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16220223490203"/>
                  <pic:cNvPicPr>
                    <a:picLocks noChangeAspect="1" noChangeArrowheads="1"/>
                  </pic:cNvPicPr>
                </pic:nvPicPr>
                <pic:blipFill>
                  <a:blip r:embed="rId1"/>
                  <a:srcRect/>
                  <a:stretch>
                    <a:fillRect/>
                  </a:stretch>
                </pic:blipFill>
                <pic:spPr bwMode="auto">
                  <a:xfrm>
                    <a:off x="0" y="0"/>
                    <a:ext cx="1162050" cy="352425"/>
                  </a:xfrm>
                  <a:prstGeom prst="rect">
                    <a:avLst/>
                  </a:prstGeom>
                  <a:noFill/>
                  <a:ln w="9525">
                    <a:noFill/>
                    <a:miter lim="800000"/>
                    <a:headEnd/>
                    <a:tailEnd/>
                  </a:ln>
                </pic:spPr>
              </pic:pic>
            </a:graphicData>
          </a:graphic>
        </wp:inline>
      </w:drawing>
    </w:r>
  </w:p>
  <w:p w14:paraId="36DE936A" w14:textId="77777777" w:rsidR="00430157" w:rsidRPr="007C00E7" w:rsidRDefault="00430157" w:rsidP="007C00E7">
    <w:pPr>
      <w:rPr>
        <w:rFonts w:ascii="楷体_GB2312" w:eastAsia="楷体_GB2312" w:hAnsi="宋体"/>
        <w:color w:val="004892"/>
        <w:sz w:val="2"/>
        <w:szCs w:val="21"/>
        <w:lang w:eastAsia="zh-CN"/>
      </w:rPr>
    </w:pPr>
    <w:r>
      <w:rPr>
        <w:rFonts w:eastAsia="宋体"/>
        <w:noProof/>
        <w:lang w:eastAsia="zh-CN"/>
      </w:rPr>
      <mc:AlternateContent>
        <mc:Choice Requires="wps">
          <w:drawing>
            <wp:anchor distT="4294967293" distB="4294967293" distL="114300" distR="114300" simplePos="0" relativeHeight="251641856" behindDoc="0" locked="0" layoutInCell="1" allowOverlap="1" wp14:anchorId="49B2369A" wp14:editId="45CF5096">
              <wp:simplePos x="0" y="0"/>
              <wp:positionH relativeFrom="column">
                <wp:posOffset>1905</wp:posOffset>
              </wp:positionH>
              <wp:positionV relativeFrom="paragraph">
                <wp:posOffset>15874</wp:posOffset>
              </wp:positionV>
              <wp:extent cx="6725285" cy="0"/>
              <wp:effectExtent l="0" t="0" r="0" b="0"/>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77D38C" id="_x0000_t32" coordsize="21600,21600" o:spt="32" o:oned="t" path="m,l21600,21600e" filled="f">
              <v:path arrowok="t" fillok="f" o:connecttype="none"/>
              <o:lock v:ext="edit" shapetype="t"/>
            </v:shapetype>
            <v:shape id="AutoShape 5" o:spid="_x0000_s1026" type="#_x0000_t32" style="position:absolute;left:0;text-align:left;margin-left:.15pt;margin-top:1.25pt;width:529.55pt;height:0;z-index:2516418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" strokecolor="#009ee1"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D3EA7" w14:textId="77777777" w:rsidR="00430157" w:rsidRPr="00C04C01" w:rsidRDefault="00430157" w:rsidP="00C04C01">
    <w:pPr>
      <w:rPr>
        <w:rFonts w:ascii="黑体" w:eastAsia="黑体" w:hAnsi="黑体"/>
        <w:color w:val="1F497D" w:themeColor="text2"/>
        <w:sz w:val="18"/>
        <w:szCs w:val="18"/>
        <w:lang w:eastAsia="zh-CN"/>
      </w:rPr>
    </w:pPr>
    <w:r>
      <w:rPr>
        <w:noProof/>
        <w:lang w:eastAsia="zh-CN"/>
      </w:rPr>
      <mc:AlternateContent>
        <mc:Choice Requires="wps">
          <w:drawing>
            <wp:anchor distT="0" distB="0" distL="114300" distR="114300" simplePos="0" relativeHeight="251672576" behindDoc="0" locked="0" layoutInCell="1" allowOverlap="1" wp14:anchorId="467BF3F7" wp14:editId="408B0197">
              <wp:simplePos x="0" y="0"/>
              <wp:positionH relativeFrom="column">
                <wp:posOffset>3559175</wp:posOffset>
              </wp:positionH>
              <wp:positionV relativeFrom="paragraph">
                <wp:posOffset>-85090</wp:posOffset>
              </wp:positionV>
              <wp:extent cx="3260725" cy="752475"/>
              <wp:effectExtent l="0" t="0" r="0" b="9525"/>
              <wp:wrapNone/>
              <wp:docPr id="1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0725"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4"/>
                          </w:tblGrid>
                          <w:tr w:rsidR="00430157" w14:paraId="460F4BFB" w14:textId="77777777" w:rsidTr="00B9063D">
                            <w:trPr>
                              <w:trHeight w:hRule="exact" w:val="23"/>
                            </w:trPr>
                            <w:tc>
                              <w:tcPr>
                                <w:tcW w:w="5064" w:type="dxa"/>
                              </w:tcPr>
                              <w:p w14:paraId="6F165031" w14:textId="77777777" w:rsidR="00430157" w:rsidRPr="00D717D2" w:rsidRDefault="00430157" w:rsidP="00B9063D">
                                <w:pPr>
                                  <w:rPr>
                                    <w:rFonts w:eastAsiaTheme="minorEastAsia"/>
                                    <w:color w:val="FFFFFF" w:themeColor="background1"/>
                                    <w:sz w:val="15"/>
                                    <w:szCs w:val="15"/>
                                    <w:lang w:eastAsia="zh-CN"/>
                                  </w:rPr>
                                </w:pPr>
                                <w:r w:rsidRPr="00D717D2">
                                  <w:rPr>
                                    <w:rFonts w:eastAsiaTheme="minorEastAsia" w:hint="eastAsia"/>
                                    <w:color w:val="FFFFFF" w:themeColor="background1"/>
                                    <w:sz w:val="15"/>
                                    <w:szCs w:val="15"/>
                                    <w:lang w:eastAsia="zh-CN"/>
                                  </w:rPr>
                                  <w:t>[Table_Page]</w:t>
                                </w:r>
                              </w:p>
                            </w:tc>
                          </w:tr>
                          <w:tr w:rsidR="00430157" w14:paraId="3A991F6C" w14:textId="77777777" w:rsidTr="00DF4863">
                            <w:trPr>
                              <w:trHeight w:hRule="exact" w:val="386"/>
                            </w:trPr>
                            <w:tc>
                              <w:tcPr>
                                <w:tcW w:w="5064" w:type="dxa"/>
                              </w:tcPr>
                              <w:p w14:paraId="53E2B07A" w14:textId="77777777" w:rsidR="00430157" w:rsidRPr="00FC6D34" w:rsidRDefault="00430157" w:rsidP="000A47E0">
                                <w:pPr>
                                  <w:jc w:val="right"/>
                                  <w:rPr>
                                    <w:rFonts w:ascii="黑体" w:eastAsia="黑体"/>
                                    <w:color w:val="1F497D"/>
                                    <w:lang w:eastAsia="zh-CN"/>
                                  </w:rPr>
                                </w:pPr>
                                <w:r>
                                  <w:rPr>
                                    <w:rFonts w:ascii="黑体" w:eastAsia="黑体" w:hint="eastAsia"/>
                                    <w:color w:val="1F497D"/>
                                    <w:lang w:eastAsia="zh-CN"/>
                                  </w:rPr>
                                  <w:t>金融工程|量化投资专题</w:t>
                                </w:r>
                              </w:p>
                            </w:tc>
                          </w:tr>
                          <w:tr w:rsidR="00430157" w14:paraId="72B24AB6" w14:textId="77777777" w:rsidTr="00DF4863">
                            <w:trPr>
                              <w:trHeight w:hRule="exact" w:val="284"/>
                            </w:trPr>
                            <w:tc>
                              <w:tcPr>
                                <w:tcW w:w="5064" w:type="dxa"/>
                              </w:tcPr>
                              <w:p w14:paraId="1F5749AE" w14:textId="3EAF2E20" w:rsidR="00430157" w:rsidRPr="005B547D" w:rsidRDefault="00430157" w:rsidP="00DF4863">
                                <w:pPr>
                                  <w:jc w:val="right"/>
                                  <w:rPr>
                                    <w:rFonts w:ascii="黑体" w:eastAsia="黑体"/>
                                    <w:color w:val="1F497D"/>
                                    <w:sz w:val="21"/>
                                    <w:szCs w:val="21"/>
                                    <w:lang w:eastAsia="zh-CN"/>
                                  </w:rPr>
                                </w:pPr>
                                <w:r>
                                  <w:rPr>
                                    <w:rFonts w:ascii="黑体" w:eastAsia="黑体" w:hint="eastAsia"/>
                                    <w:color w:val="1F497D"/>
                                    <w:sz w:val="21"/>
                                    <w:szCs w:val="21"/>
                                    <w:lang w:eastAsia="zh-CN"/>
                                  </w:rPr>
                                  <w:t>2021年2月2</w:t>
                                </w:r>
                                <w:r>
                                  <w:rPr>
                                    <w:rFonts w:ascii="黑体" w:eastAsia="黑体"/>
                                    <w:color w:val="1F497D"/>
                                    <w:sz w:val="21"/>
                                    <w:szCs w:val="21"/>
                                    <w:lang w:eastAsia="zh-CN"/>
                                  </w:rPr>
                                  <w:t>6</w:t>
                                </w:r>
                                <w:r>
                                  <w:rPr>
                                    <w:rFonts w:ascii="黑体" w:eastAsia="黑体" w:hint="eastAsia"/>
                                    <w:color w:val="1F497D"/>
                                    <w:sz w:val="21"/>
                                    <w:szCs w:val="21"/>
                                    <w:lang w:eastAsia="zh-CN"/>
                                  </w:rPr>
                                  <w:t>日</w:t>
                                </w:r>
                              </w:p>
                            </w:tc>
                          </w:tr>
                          <w:tr w:rsidR="00430157" w14:paraId="546F898F" w14:textId="77777777" w:rsidTr="00DF4863">
                            <w:trPr>
                              <w:trHeight w:hRule="exact" w:val="284"/>
                            </w:trPr>
                            <w:tc>
                              <w:tcPr>
                                <w:tcW w:w="5064" w:type="dxa"/>
                                <w:vAlign w:val="bottom"/>
                              </w:tcPr>
                              <w:p w14:paraId="3CE9124B" w14:textId="77777777" w:rsidR="00430157" w:rsidRDefault="00430157" w:rsidP="00DF4863">
                                <w:pPr>
                                  <w:jc w:val="right"/>
                                  <w:rPr>
                                    <w:rFonts w:ascii="黑体" w:eastAsia="黑体"/>
                                    <w:color w:val="1F497D"/>
                                    <w:sz w:val="18"/>
                                    <w:szCs w:val="18"/>
                                    <w:lang w:eastAsia="zh-CN"/>
                                  </w:rPr>
                                </w:pPr>
                                <w:r>
                                  <w:rPr>
                                    <w:rFonts w:ascii="黑体" w:eastAsia="黑体" w:hint="eastAsia"/>
                                    <w:color w:val="1F497D"/>
                                    <w:sz w:val="18"/>
                                    <w:szCs w:val="18"/>
                                    <w:lang w:eastAsia="zh-CN"/>
                                  </w:rPr>
                                  <w:t>证券研究报告</w:t>
                                </w:r>
                              </w:p>
                            </w:tc>
                          </w:tr>
                        </w:tbl>
                        <w:p w14:paraId="55FD0345" w14:textId="77777777" w:rsidR="00430157" w:rsidRPr="00C52609" w:rsidRDefault="00430157" w:rsidP="00DF4863">
                          <w:pPr>
                            <w:rPr>
                              <w:rFonts w:ascii="黑体" w:eastAsia="黑体"/>
                              <w:sz w:val="18"/>
                              <w:szCs w:val="18"/>
                              <w:lang w:eastAsia="zh-CN"/>
                            </w:rPr>
                          </w:pPr>
                        </w:p>
                      </w:txbxContent>
                    </wps:txbx>
                    <wps:bodyPr rot="0" spcFirstLastPara="0" vertOverflow="overflow" horzOverflow="overflow" vert="horz" wrap="square" lIns="72000" tIns="18000" rIns="36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7BF3F7" id="_x0000_t202" coordsize="21600,21600" o:spt="202" path="m,l,21600r21600,l21600,xe">
              <v:stroke joinstyle="miter"/>
              <v:path gradientshapeok="t" o:connecttype="rect"/>
            </v:shapetype>
            <v:shape id="文本框 3" o:spid="_x0000_s1027" type="#_x0000_t202" style="position:absolute;margin-left:280.25pt;margin-top:-6.7pt;width:256.75pt;height:5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" filled="f" stroked="f" strokeweight=".5pt">
              <v:textbox inset="2mm,.5mm,1mm,.5mm">
                <w:txbxContent>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4"/>
                    </w:tblGrid>
                    <w:tr w:rsidR="00430157" w14:paraId="460F4BFB" w14:textId="77777777" w:rsidTr="00B9063D">
                      <w:trPr>
                        <w:trHeight w:hRule="exact" w:val="23"/>
                      </w:trPr>
                      <w:tc>
                        <w:tcPr>
                          <w:tcW w:w="5064" w:type="dxa"/>
                        </w:tcPr>
                        <w:p w14:paraId="6F165031" w14:textId="77777777" w:rsidR="00430157" w:rsidRPr="00D717D2" w:rsidRDefault="00430157" w:rsidP="00B9063D">
                          <w:pPr>
                            <w:rPr>
                              <w:rFonts w:eastAsiaTheme="minorEastAsia"/>
                              <w:color w:val="FFFFFF" w:themeColor="background1"/>
                              <w:sz w:val="15"/>
                              <w:szCs w:val="15"/>
                              <w:lang w:eastAsia="zh-CN"/>
                            </w:rPr>
                          </w:pPr>
                          <w:r w:rsidRPr="00D717D2">
                            <w:rPr>
                              <w:rFonts w:eastAsiaTheme="minorEastAsia" w:hint="eastAsia"/>
                              <w:color w:val="FFFFFF" w:themeColor="background1"/>
                              <w:sz w:val="15"/>
                              <w:szCs w:val="15"/>
                              <w:lang w:eastAsia="zh-CN"/>
                            </w:rPr>
                            <w:t>[Table_Page]</w:t>
                          </w:r>
                        </w:p>
                      </w:tc>
                    </w:tr>
                    <w:tr w:rsidR="00430157" w14:paraId="3A991F6C" w14:textId="77777777" w:rsidTr="00DF4863">
                      <w:trPr>
                        <w:trHeight w:hRule="exact" w:val="386"/>
                      </w:trPr>
                      <w:tc>
                        <w:tcPr>
                          <w:tcW w:w="5064" w:type="dxa"/>
                        </w:tcPr>
                        <w:p w14:paraId="53E2B07A" w14:textId="77777777" w:rsidR="00430157" w:rsidRPr="00FC6D34" w:rsidRDefault="00430157" w:rsidP="000A47E0">
                          <w:pPr>
                            <w:jc w:val="right"/>
                            <w:rPr>
                              <w:rFonts w:ascii="黑体" w:eastAsia="黑体"/>
                              <w:color w:val="1F497D"/>
                              <w:lang w:eastAsia="zh-CN"/>
                            </w:rPr>
                          </w:pPr>
                          <w:r>
                            <w:rPr>
                              <w:rFonts w:ascii="黑体" w:eastAsia="黑体" w:hint="eastAsia"/>
                              <w:color w:val="1F497D"/>
                              <w:lang w:eastAsia="zh-CN"/>
                            </w:rPr>
                            <w:t>金融工程|量化投资专题</w:t>
                          </w:r>
                        </w:p>
                      </w:tc>
                    </w:tr>
                    <w:tr w:rsidR="00430157" w14:paraId="72B24AB6" w14:textId="77777777" w:rsidTr="00DF4863">
                      <w:trPr>
                        <w:trHeight w:hRule="exact" w:val="284"/>
                      </w:trPr>
                      <w:tc>
                        <w:tcPr>
                          <w:tcW w:w="5064" w:type="dxa"/>
                        </w:tcPr>
                        <w:p w14:paraId="1F5749AE" w14:textId="3EAF2E20" w:rsidR="00430157" w:rsidRPr="005B547D" w:rsidRDefault="00430157" w:rsidP="00DF4863">
                          <w:pPr>
                            <w:jc w:val="right"/>
                            <w:rPr>
                              <w:rFonts w:ascii="黑体" w:eastAsia="黑体"/>
                              <w:color w:val="1F497D"/>
                              <w:sz w:val="21"/>
                              <w:szCs w:val="21"/>
                              <w:lang w:eastAsia="zh-CN"/>
                            </w:rPr>
                          </w:pPr>
                          <w:r>
                            <w:rPr>
                              <w:rFonts w:ascii="黑体" w:eastAsia="黑体" w:hint="eastAsia"/>
                              <w:color w:val="1F497D"/>
                              <w:sz w:val="21"/>
                              <w:szCs w:val="21"/>
                              <w:lang w:eastAsia="zh-CN"/>
                            </w:rPr>
                            <w:t>2021年2月2</w:t>
                          </w:r>
                          <w:r>
                            <w:rPr>
                              <w:rFonts w:ascii="黑体" w:eastAsia="黑体"/>
                              <w:color w:val="1F497D"/>
                              <w:sz w:val="21"/>
                              <w:szCs w:val="21"/>
                              <w:lang w:eastAsia="zh-CN"/>
                            </w:rPr>
                            <w:t>6</w:t>
                          </w:r>
                          <w:r>
                            <w:rPr>
                              <w:rFonts w:ascii="黑体" w:eastAsia="黑体" w:hint="eastAsia"/>
                              <w:color w:val="1F497D"/>
                              <w:sz w:val="21"/>
                              <w:szCs w:val="21"/>
                              <w:lang w:eastAsia="zh-CN"/>
                            </w:rPr>
                            <w:t>日</w:t>
                          </w:r>
                        </w:p>
                      </w:tc>
                    </w:tr>
                    <w:tr w:rsidR="00430157" w14:paraId="546F898F" w14:textId="77777777" w:rsidTr="00DF4863">
                      <w:trPr>
                        <w:trHeight w:hRule="exact" w:val="284"/>
                      </w:trPr>
                      <w:tc>
                        <w:tcPr>
                          <w:tcW w:w="5064" w:type="dxa"/>
                          <w:vAlign w:val="bottom"/>
                        </w:tcPr>
                        <w:p w14:paraId="3CE9124B" w14:textId="77777777" w:rsidR="00430157" w:rsidRDefault="00430157" w:rsidP="00DF4863">
                          <w:pPr>
                            <w:jc w:val="right"/>
                            <w:rPr>
                              <w:rFonts w:ascii="黑体" w:eastAsia="黑体"/>
                              <w:color w:val="1F497D"/>
                              <w:sz w:val="18"/>
                              <w:szCs w:val="18"/>
                              <w:lang w:eastAsia="zh-CN"/>
                            </w:rPr>
                          </w:pPr>
                          <w:r>
                            <w:rPr>
                              <w:rFonts w:ascii="黑体" w:eastAsia="黑体" w:hint="eastAsia"/>
                              <w:color w:val="1F497D"/>
                              <w:sz w:val="18"/>
                              <w:szCs w:val="18"/>
                              <w:lang w:eastAsia="zh-CN"/>
                            </w:rPr>
                            <w:t>证券研究报告</w:t>
                          </w:r>
                        </w:p>
                      </w:tc>
                    </w:tr>
                  </w:tbl>
                  <w:p w14:paraId="55FD0345" w14:textId="77777777" w:rsidR="00430157" w:rsidRPr="00C52609" w:rsidRDefault="00430157" w:rsidP="00DF4863">
                    <w:pPr>
                      <w:rPr>
                        <w:rFonts w:ascii="黑体" w:eastAsia="黑体"/>
                        <w:sz w:val="18"/>
                        <w:szCs w:val="18"/>
                        <w:lang w:eastAsia="zh-CN"/>
                      </w:rPr>
                    </w:pPr>
                  </w:p>
                </w:txbxContent>
              </v:textbox>
            </v:shape>
          </w:pict>
        </mc:Fallback>
      </mc:AlternateContent>
    </w:r>
    <w:r>
      <w:rPr>
        <w:noProof/>
        <w:lang w:eastAsia="zh-CN"/>
      </w:rPr>
      <mc:AlternateContent>
        <mc:Choice Requires="wps">
          <w:drawing>
            <wp:anchor distT="0" distB="0" distL="114300" distR="114300" simplePos="0" relativeHeight="251660288" behindDoc="0" locked="0" layoutInCell="1" allowOverlap="1" wp14:anchorId="07CFBD59" wp14:editId="2FC8CEDB">
              <wp:simplePos x="0" y="0"/>
              <wp:positionH relativeFrom="column">
                <wp:posOffset>612140</wp:posOffset>
              </wp:positionH>
              <wp:positionV relativeFrom="paragraph">
                <wp:posOffset>-170180</wp:posOffset>
              </wp:positionV>
              <wp:extent cx="457200" cy="171450"/>
              <wp:effectExtent l="0" t="0" r="0" b="0"/>
              <wp:wrapNone/>
              <wp:docPr id="12" name="HeaderShape_Temp"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171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C315C" w14:textId="77777777" w:rsidR="00430157" w:rsidRPr="0087508B" w:rsidRDefault="00430157" w:rsidP="001A044F">
                          <w:pPr>
                            <w:rPr>
                              <w:rFonts w:eastAsiaTheme="minorEastAsia"/>
                              <w:color w:val="FFFFFF" w:themeColor="background1"/>
                              <w:lang w:eastAsia="zh-CN"/>
                            </w:rPr>
                          </w:pPr>
                          <w:r w:rsidRPr="00DE3360">
                            <w:rPr>
                              <w:rFonts w:ascii="Arial" w:eastAsiaTheme="minorEastAsia" w:hAnsi="Arial"/>
                              <w:color w:val="FFFFFF" w:themeColor="background1"/>
                              <w:lang w:eastAsia="zh-CN"/>
                            </w:rPr>
                            <w:t>X</w:t>
                          </w:r>
                          <w:r w:rsidRPr="00DE3360">
                            <w:rPr>
                              <w:rFonts w:ascii="Arial" w:eastAsiaTheme="minorEastAsia" w:hAnsi="Arial" w:hint="eastAsia"/>
                              <w:color w:val="FFFFFF" w:themeColor="background1"/>
                              <w:lang w:eastAsia="zh-CN"/>
                            </w:rPr>
                            <w:t>ml</w:t>
                          </w:r>
                        </w:p>
                        <w:p w14:paraId="15BE81CC" w14:textId="77777777" w:rsidR="00430157" w:rsidRPr="0087508B" w:rsidRDefault="00430157" w:rsidP="001A044F">
                          <w:pPr>
                            <w:rPr>
                              <w:rFonts w:eastAsiaTheme="minorEastAsia"/>
                              <w:color w:val="FFFFFF" w:themeColor="background1"/>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FBD59" id="HeaderShape_Temp" o:spid="_x0000_s1028" type="#_x0000_t202" style="position:absolute;margin-left:48.2pt;margin-top:-13.4pt;width:36pt;height:13.5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" fillcolor="white [3201]" stroked="f" strokeweight=".5pt">
              <v:textbox>
                <w:txbxContent>
                  <w:p w14:paraId="73BC315C" w14:textId="77777777" w:rsidR="00430157" w:rsidRPr="0087508B" w:rsidRDefault="00430157" w:rsidP="001A044F">
                    <w:pPr>
                      <w:rPr>
                        <w:rFonts w:eastAsiaTheme="minorEastAsia"/>
                        <w:color w:val="FFFFFF" w:themeColor="background1"/>
                        <w:lang w:eastAsia="zh-CN"/>
                      </w:rPr>
                    </w:pPr>
                    <w:r w:rsidRPr="00DE3360">
                      <w:rPr>
                        <w:rFonts w:ascii="Arial" w:eastAsiaTheme="minorEastAsia" w:hAnsi="Arial"/>
                        <w:color w:val="FFFFFF" w:themeColor="background1"/>
                        <w:lang w:eastAsia="zh-CN"/>
                      </w:rPr>
                      <w:t>X</w:t>
                    </w:r>
                    <w:r w:rsidRPr="00DE3360">
                      <w:rPr>
                        <w:rFonts w:ascii="Arial" w:eastAsiaTheme="minorEastAsia" w:hAnsi="Arial" w:hint="eastAsia"/>
                        <w:color w:val="FFFFFF" w:themeColor="background1"/>
                        <w:lang w:eastAsia="zh-CN"/>
                      </w:rPr>
                      <w:t>ml</w:t>
                    </w:r>
                  </w:p>
                  <w:p w14:paraId="15BE81CC" w14:textId="77777777" w:rsidR="00430157" w:rsidRPr="0087508B" w:rsidRDefault="00430157" w:rsidP="001A044F">
                    <w:pPr>
                      <w:rPr>
                        <w:rFonts w:eastAsiaTheme="minorEastAsia"/>
                        <w:color w:val="FFFFFF" w:themeColor="background1"/>
                        <w:lang w:eastAsia="zh-CN"/>
                      </w:rPr>
                    </w:pPr>
                  </w:p>
                </w:txbxContent>
              </v:textbox>
            </v:shape>
          </w:pict>
        </mc:Fallback>
      </mc:AlternateContent>
    </w:r>
    <w:r>
      <w:rPr>
        <w:rFonts w:eastAsia="宋体"/>
        <w:noProof/>
        <w:lang w:eastAsia="zh-CN"/>
      </w:rPr>
      <w:drawing>
        <wp:inline distT="0" distB="0" distL="0" distR="0" wp14:anchorId="53622EF7" wp14:editId="45B46899">
          <wp:extent cx="1645200" cy="550800"/>
          <wp:effectExtent l="0" t="0" r="0" b="0"/>
          <wp:docPr id="18" name="图片 18" descr="C:\Users\Dan\Desktop\广发证券新设计.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Dan\Desktop\广发证券新设计.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200" cy="550800"/>
                  </a:xfrm>
                  <a:prstGeom prst="rect">
                    <a:avLst/>
                  </a:prstGeom>
                  <a:noFill/>
                  <a:ln>
                    <a:noFill/>
                  </a:ln>
                </pic:spPr>
              </pic:pic>
            </a:graphicData>
          </a:graphic>
        </wp:inline>
      </w:drawing>
    </w:r>
  </w:p>
  <w:p w14:paraId="10A97366" w14:textId="77777777" w:rsidR="00430157" w:rsidRDefault="00430157" w:rsidP="00452493">
    <w:pPr>
      <w:pStyle w:val="a3"/>
      <w:jc w:val="left"/>
      <w:rPr>
        <w:rFonts w:eastAsia="宋体"/>
        <w:sz w:val="2"/>
        <w:lang w:eastAsia="zh-CN"/>
      </w:rPr>
    </w:pPr>
  </w:p>
  <w:p w14:paraId="4FBCC4A7" w14:textId="77777777" w:rsidR="00430157" w:rsidRPr="00452493" w:rsidRDefault="00430157" w:rsidP="00452493">
    <w:pPr>
      <w:pStyle w:val="a3"/>
      <w:jc w:val="left"/>
      <w:rPr>
        <w:rFonts w:eastAsia="宋体"/>
        <w:sz w:val="2"/>
        <w:lang w:eastAsia="zh-CN"/>
      </w:rPr>
    </w:pPr>
    <w:r>
      <w:rPr>
        <w:rFonts w:eastAsia="宋体"/>
        <w:noProof/>
        <w:lang w:eastAsia="zh-CN"/>
      </w:rPr>
      <mc:AlternateContent>
        <mc:Choice Requires="wps">
          <w:drawing>
            <wp:anchor distT="4294967293" distB="4294967293" distL="114300" distR="114300" simplePos="0" relativeHeight="251648000" behindDoc="0" locked="0" layoutInCell="1" allowOverlap="1" wp14:anchorId="2D1C4B8B" wp14:editId="351D8289">
              <wp:simplePos x="0" y="0"/>
              <wp:positionH relativeFrom="column">
                <wp:posOffset>-6985</wp:posOffset>
              </wp:positionH>
              <wp:positionV relativeFrom="paragraph">
                <wp:posOffset>13969</wp:posOffset>
              </wp:positionV>
              <wp:extent cx="6725285" cy="0"/>
              <wp:effectExtent l="0" t="0" r="0" b="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C6D937" id="_x0000_t32" coordsize="21600,21600" o:spt="32" o:oned="t" path="m,l21600,21600e" filled="f">
              <v:path arrowok="t" fillok="f" o:connecttype="none"/>
              <o:lock v:ext="edit" shapetype="t"/>
            </v:shapetype>
            <v:shape id="AutoShape 18" o:spid="_x0000_s1026" type="#_x0000_t32" style="position:absolute;left:0;text-align:left;margin-left:-.55pt;margin-top:1.1pt;width:529.55pt;height:0;z-index:2516480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" strokecolor="#009ee1"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4381E"/>
    <w:multiLevelType w:val="hybridMultilevel"/>
    <w:tmpl w:val="0CC6576A"/>
    <w:lvl w:ilvl="0" w:tplc="A0568322">
      <w:start w:val="1"/>
      <w:numFmt w:val="bullet"/>
      <w:lvlText w:val=""/>
      <w:lvlJc w:val="left"/>
      <w:pPr>
        <w:ind w:left="420" w:hanging="420"/>
      </w:pPr>
      <w:rPr>
        <w:rFonts w:ascii="Wingdings" w:hAnsi="Wingdings" w:hint="default"/>
        <w:color w:val="5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155BFE"/>
    <w:multiLevelType w:val="hybridMultilevel"/>
    <w:tmpl w:val="61661E12"/>
    <w:lvl w:ilvl="0" w:tplc="7B1A1E36">
      <w:start w:val="1"/>
      <w:numFmt w:val="decimal"/>
      <w:lvlText w:val="%1."/>
      <w:lvlJc w:val="left"/>
      <w:pPr>
        <w:ind w:left="3797" w:hanging="360"/>
      </w:pPr>
      <w:rPr>
        <w:rFonts w:hint="default"/>
      </w:rPr>
    </w:lvl>
    <w:lvl w:ilvl="1" w:tplc="04090019" w:tentative="1">
      <w:start w:val="1"/>
      <w:numFmt w:val="lowerLetter"/>
      <w:lvlText w:val="%2)"/>
      <w:lvlJc w:val="left"/>
      <w:pPr>
        <w:ind w:left="4277" w:hanging="420"/>
      </w:pPr>
    </w:lvl>
    <w:lvl w:ilvl="2" w:tplc="0409001B" w:tentative="1">
      <w:start w:val="1"/>
      <w:numFmt w:val="lowerRoman"/>
      <w:lvlText w:val="%3."/>
      <w:lvlJc w:val="right"/>
      <w:pPr>
        <w:ind w:left="4697" w:hanging="420"/>
      </w:pPr>
    </w:lvl>
    <w:lvl w:ilvl="3" w:tplc="0409000F" w:tentative="1">
      <w:start w:val="1"/>
      <w:numFmt w:val="decimal"/>
      <w:lvlText w:val="%4."/>
      <w:lvlJc w:val="left"/>
      <w:pPr>
        <w:ind w:left="5117" w:hanging="420"/>
      </w:pPr>
    </w:lvl>
    <w:lvl w:ilvl="4" w:tplc="04090019" w:tentative="1">
      <w:start w:val="1"/>
      <w:numFmt w:val="lowerLetter"/>
      <w:lvlText w:val="%5)"/>
      <w:lvlJc w:val="left"/>
      <w:pPr>
        <w:ind w:left="5537" w:hanging="420"/>
      </w:pPr>
    </w:lvl>
    <w:lvl w:ilvl="5" w:tplc="0409001B" w:tentative="1">
      <w:start w:val="1"/>
      <w:numFmt w:val="lowerRoman"/>
      <w:lvlText w:val="%6."/>
      <w:lvlJc w:val="right"/>
      <w:pPr>
        <w:ind w:left="5957" w:hanging="420"/>
      </w:pPr>
    </w:lvl>
    <w:lvl w:ilvl="6" w:tplc="0409000F" w:tentative="1">
      <w:start w:val="1"/>
      <w:numFmt w:val="decimal"/>
      <w:lvlText w:val="%7."/>
      <w:lvlJc w:val="left"/>
      <w:pPr>
        <w:ind w:left="6377" w:hanging="420"/>
      </w:pPr>
    </w:lvl>
    <w:lvl w:ilvl="7" w:tplc="04090019" w:tentative="1">
      <w:start w:val="1"/>
      <w:numFmt w:val="lowerLetter"/>
      <w:lvlText w:val="%8)"/>
      <w:lvlJc w:val="left"/>
      <w:pPr>
        <w:ind w:left="6797" w:hanging="420"/>
      </w:pPr>
    </w:lvl>
    <w:lvl w:ilvl="8" w:tplc="0409001B" w:tentative="1">
      <w:start w:val="1"/>
      <w:numFmt w:val="lowerRoman"/>
      <w:lvlText w:val="%9."/>
      <w:lvlJc w:val="right"/>
      <w:pPr>
        <w:ind w:left="7217" w:hanging="420"/>
      </w:pPr>
    </w:lvl>
  </w:abstractNum>
  <w:abstractNum w:abstractNumId="2" w15:restartNumberingAfterBreak="0">
    <w:nsid w:val="2F4822CF"/>
    <w:multiLevelType w:val="hybridMultilevel"/>
    <w:tmpl w:val="44B8A1A4"/>
    <w:lvl w:ilvl="0" w:tplc="8EF02ADA">
      <w:start w:val="1"/>
      <w:numFmt w:val="bullet"/>
      <w:lvlText w:val=""/>
      <w:lvlJc w:val="left"/>
      <w:pPr>
        <w:ind w:left="420" w:hanging="420"/>
      </w:pPr>
      <w:rPr>
        <w:rFonts w:ascii="Wingdings" w:hAnsi="Wingdings" w:hint="default"/>
        <w:color w:val="AC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0D11C9B"/>
    <w:multiLevelType w:val="hybridMultilevel"/>
    <w:tmpl w:val="3CBC6214"/>
    <w:lvl w:ilvl="0" w:tplc="2AB26ADA">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9D92BBB"/>
    <w:multiLevelType w:val="hybridMultilevel"/>
    <w:tmpl w:val="1736D51A"/>
    <w:lvl w:ilvl="0" w:tplc="B452478C">
      <w:start w:val="1"/>
      <w:numFmt w:val="decimal"/>
      <w:lvlText w:val="%1."/>
      <w:lvlJc w:val="left"/>
      <w:pPr>
        <w:ind w:left="3379" w:hanging="360"/>
      </w:pPr>
      <w:rPr>
        <w:rFonts w:hint="default"/>
      </w:rPr>
    </w:lvl>
    <w:lvl w:ilvl="1" w:tplc="04090019" w:tentative="1">
      <w:start w:val="1"/>
      <w:numFmt w:val="lowerLetter"/>
      <w:lvlText w:val="%2)"/>
      <w:lvlJc w:val="left"/>
      <w:pPr>
        <w:ind w:left="3859" w:hanging="420"/>
      </w:pPr>
    </w:lvl>
    <w:lvl w:ilvl="2" w:tplc="0409001B" w:tentative="1">
      <w:start w:val="1"/>
      <w:numFmt w:val="lowerRoman"/>
      <w:lvlText w:val="%3."/>
      <w:lvlJc w:val="right"/>
      <w:pPr>
        <w:ind w:left="4279" w:hanging="420"/>
      </w:pPr>
    </w:lvl>
    <w:lvl w:ilvl="3" w:tplc="0409000F" w:tentative="1">
      <w:start w:val="1"/>
      <w:numFmt w:val="decimal"/>
      <w:lvlText w:val="%4."/>
      <w:lvlJc w:val="left"/>
      <w:pPr>
        <w:ind w:left="4699" w:hanging="420"/>
      </w:pPr>
    </w:lvl>
    <w:lvl w:ilvl="4" w:tplc="04090019" w:tentative="1">
      <w:start w:val="1"/>
      <w:numFmt w:val="lowerLetter"/>
      <w:lvlText w:val="%5)"/>
      <w:lvlJc w:val="left"/>
      <w:pPr>
        <w:ind w:left="5119" w:hanging="420"/>
      </w:pPr>
    </w:lvl>
    <w:lvl w:ilvl="5" w:tplc="0409001B" w:tentative="1">
      <w:start w:val="1"/>
      <w:numFmt w:val="lowerRoman"/>
      <w:lvlText w:val="%6."/>
      <w:lvlJc w:val="right"/>
      <w:pPr>
        <w:ind w:left="5539" w:hanging="420"/>
      </w:pPr>
    </w:lvl>
    <w:lvl w:ilvl="6" w:tplc="0409000F" w:tentative="1">
      <w:start w:val="1"/>
      <w:numFmt w:val="decimal"/>
      <w:lvlText w:val="%7."/>
      <w:lvlJc w:val="left"/>
      <w:pPr>
        <w:ind w:left="5959" w:hanging="420"/>
      </w:pPr>
    </w:lvl>
    <w:lvl w:ilvl="7" w:tplc="04090019" w:tentative="1">
      <w:start w:val="1"/>
      <w:numFmt w:val="lowerLetter"/>
      <w:lvlText w:val="%8)"/>
      <w:lvlJc w:val="left"/>
      <w:pPr>
        <w:ind w:left="6379" w:hanging="420"/>
      </w:pPr>
    </w:lvl>
    <w:lvl w:ilvl="8" w:tplc="0409001B" w:tentative="1">
      <w:start w:val="1"/>
      <w:numFmt w:val="lowerRoman"/>
      <w:lvlText w:val="%9."/>
      <w:lvlJc w:val="right"/>
      <w:pPr>
        <w:ind w:left="6799" w:hanging="420"/>
      </w:pPr>
    </w:lvl>
  </w:abstractNum>
  <w:abstractNum w:abstractNumId="5" w15:restartNumberingAfterBreak="0">
    <w:nsid w:val="74D317A9"/>
    <w:multiLevelType w:val="hybridMultilevel"/>
    <w:tmpl w:val="A3C2B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7292626"/>
    <w:multiLevelType w:val="hybridMultilevel"/>
    <w:tmpl w:val="8696CAC8"/>
    <w:lvl w:ilvl="0" w:tplc="D534B25C">
      <w:start w:val="1"/>
      <w:numFmt w:val="bullet"/>
      <w:lvlText w:val=""/>
      <w:lvlJc w:val="left"/>
      <w:pPr>
        <w:ind w:left="420" w:hanging="420"/>
      </w:pPr>
      <w:rPr>
        <w:rFonts w:ascii="Wingdings" w:hAnsi="Wingdings" w:hint="default"/>
        <w:color w:val="C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E195DD5"/>
    <w:multiLevelType w:val="hybridMultilevel"/>
    <w:tmpl w:val="FB72CBC0"/>
    <w:lvl w:ilvl="0" w:tplc="F6023216">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2"/>
  </w:num>
  <w:num w:numId="4">
    <w:abstractNumId w:val="7"/>
  </w:num>
  <w:num w:numId="5">
    <w:abstractNumId w:val="3"/>
  </w:num>
  <w:num w:numId="6">
    <w:abstractNumId w:val="5"/>
  </w:num>
  <w:num w:numId="7">
    <w:abstractNumId w:val="1"/>
  </w:num>
  <w:num w:numId="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0"/>
  <w:doNotHyphenateCap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o:colormru v:ext="edit" colors="gray,#969696,#009ee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156E"/>
    <w:rsid w:val="00000700"/>
    <w:rsid w:val="0000089F"/>
    <w:rsid w:val="00001544"/>
    <w:rsid w:val="00002B21"/>
    <w:rsid w:val="0000644D"/>
    <w:rsid w:val="000066EA"/>
    <w:rsid w:val="000067BB"/>
    <w:rsid w:val="0000687C"/>
    <w:rsid w:val="00007975"/>
    <w:rsid w:val="00007BD9"/>
    <w:rsid w:val="00011393"/>
    <w:rsid w:val="0001243E"/>
    <w:rsid w:val="00012E8A"/>
    <w:rsid w:val="00014681"/>
    <w:rsid w:val="000147AA"/>
    <w:rsid w:val="00014850"/>
    <w:rsid w:val="00015056"/>
    <w:rsid w:val="000207AE"/>
    <w:rsid w:val="000219C6"/>
    <w:rsid w:val="000224E7"/>
    <w:rsid w:val="00022731"/>
    <w:rsid w:val="00023AAC"/>
    <w:rsid w:val="00031716"/>
    <w:rsid w:val="00031FEF"/>
    <w:rsid w:val="00032566"/>
    <w:rsid w:val="000332A5"/>
    <w:rsid w:val="00034084"/>
    <w:rsid w:val="0003413A"/>
    <w:rsid w:val="00035C9B"/>
    <w:rsid w:val="00035CAF"/>
    <w:rsid w:val="000379E8"/>
    <w:rsid w:val="00041B08"/>
    <w:rsid w:val="00046883"/>
    <w:rsid w:val="00051C14"/>
    <w:rsid w:val="0005305A"/>
    <w:rsid w:val="00053911"/>
    <w:rsid w:val="0005417A"/>
    <w:rsid w:val="00055A42"/>
    <w:rsid w:val="00055CA5"/>
    <w:rsid w:val="00057C76"/>
    <w:rsid w:val="000646CE"/>
    <w:rsid w:val="0006514E"/>
    <w:rsid w:val="00067BCD"/>
    <w:rsid w:val="0007179D"/>
    <w:rsid w:val="00071E14"/>
    <w:rsid w:val="0007236E"/>
    <w:rsid w:val="000723B5"/>
    <w:rsid w:val="00072D31"/>
    <w:rsid w:val="00072F19"/>
    <w:rsid w:val="00072F52"/>
    <w:rsid w:val="00073E49"/>
    <w:rsid w:val="000774F6"/>
    <w:rsid w:val="00081048"/>
    <w:rsid w:val="0009086D"/>
    <w:rsid w:val="0009228F"/>
    <w:rsid w:val="0009320C"/>
    <w:rsid w:val="00093CE3"/>
    <w:rsid w:val="00093F9B"/>
    <w:rsid w:val="00096F7B"/>
    <w:rsid w:val="000A00E4"/>
    <w:rsid w:val="000A079C"/>
    <w:rsid w:val="000A207A"/>
    <w:rsid w:val="000A288F"/>
    <w:rsid w:val="000A2A99"/>
    <w:rsid w:val="000A2E22"/>
    <w:rsid w:val="000A40BC"/>
    <w:rsid w:val="000A47E0"/>
    <w:rsid w:val="000B02AE"/>
    <w:rsid w:val="000B1807"/>
    <w:rsid w:val="000B1FC6"/>
    <w:rsid w:val="000B445A"/>
    <w:rsid w:val="000B45F0"/>
    <w:rsid w:val="000B67AB"/>
    <w:rsid w:val="000B6BD4"/>
    <w:rsid w:val="000B6ED3"/>
    <w:rsid w:val="000C0617"/>
    <w:rsid w:val="000C10EC"/>
    <w:rsid w:val="000C1A65"/>
    <w:rsid w:val="000C63A6"/>
    <w:rsid w:val="000C6884"/>
    <w:rsid w:val="000C7888"/>
    <w:rsid w:val="000D00E0"/>
    <w:rsid w:val="000D1A70"/>
    <w:rsid w:val="000D1E71"/>
    <w:rsid w:val="000D33F4"/>
    <w:rsid w:val="000D4CC2"/>
    <w:rsid w:val="000D7251"/>
    <w:rsid w:val="000D7EC6"/>
    <w:rsid w:val="000E0AE1"/>
    <w:rsid w:val="000E267C"/>
    <w:rsid w:val="000E2BDD"/>
    <w:rsid w:val="000E3107"/>
    <w:rsid w:val="000E4006"/>
    <w:rsid w:val="000E4225"/>
    <w:rsid w:val="000E531E"/>
    <w:rsid w:val="000E74BA"/>
    <w:rsid w:val="000F2BC8"/>
    <w:rsid w:val="000F3F47"/>
    <w:rsid w:val="000F46C3"/>
    <w:rsid w:val="000F7E19"/>
    <w:rsid w:val="00100079"/>
    <w:rsid w:val="0010073D"/>
    <w:rsid w:val="00101037"/>
    <w:rsid w:val="00102593"/>
    <w:rsid w:val="00102DC7"/>
    <w:rsid w:val="00103779"/>
    <w:rsid w:val="0010512F"/>
    <w:rsid w:val="00105375"/>
    <w:rsid w:val="0010763F"/>
    <w:rsid w:val="00107E2B"/>
    <w:rsid w:val="00107EA9"/>
    <w:rsid w:val="001101DB"/>
    <w:rsid w:val="00110F29"/>
    <w:rsid w:val="0011411B"/>
    <w:rsid w:val="00121663"/>
    <w:rsid w:val="0012170D"/>
    <w:rsid w:val="0012272A"/>
    <w:rsid w:val="00123506"/>
    <w:rsid w:val="00125D97"/>
    <w:rsid w:val="00126DB3"/>
    <w:rsid w:val="00127158"/>
    <w:rsid w:val="001324C8"/>
    <w:rsid w:val="001324DC"/>
    <w:rsid w:val="00132568"/>
    <w:rsid w:val="0013476E"/>
    <w:rsid w:val="001349D9"/>
    <w:rsid w:val="00135792"/>
    <w:rsid w:val="00137683"/>
    <w:rsid w:val="00140E8A"/>
    <w:rsid w:val="00141D9F"/>
    <w:rsid w:val="001431AC"/>
    <w:rsid w:val="001436CE"/>
    <w:rsid w:val="001437E1"/>
    <w:rsid w:val="00143AEB"/>
    <w:rsid w:val="0014614D"/>
    <w:rsid w:val="00147438"/>
    <w:rsid w:val="001475B4"/>
    <w:rsid w:val="0015115F"/>
    <w:rsid w:val="001521B2"/>
    <w:rsid w:val="00152206"/>
    <w:rsid w:val="00152E21"/>
    <w:rsid w:val="00154721"/>
    <w:rsid w:val="00155913"/>
    <w:rsid w:val="00157020"/>
    <w:rsid w:val="001571BA"/>
    <w:rsid w:val="00157223"/>
    <w:rsid w:val="00160375"/>
    <w:rsid w:val="00163CE7"/>
    <w:rsid w:val="0016411A"/>
    <w:rsid w:val="001643D5"/>
    <w:rsid w:val="00165A7F"/>
    <w:rsid w:val="00166D11"/>
    <w:rsid w:val="00170B96"/>
    <w:rsid w:val="001752D6"/>
    <w:rsid w:val="001758D8"/>
    <w:rsid w:val="0017594A"/>
    <w:rsid w:val="00176693"/>
    <w:rsid w:val="001767D4"/>
    <w:rsid w:val="00176F83"/>
    <w:rsid w:val="001779F8"/>
    <w:rsid w:val="0018214A"/>
    <w:rsid w:val="0018279D"/>
    <w:rsid w:val="00182E6E"/>
    <w:rsid w:val="001838F3"/>
    <w:rsid w:val="0018423C"/>
    <w:rsid w:val="00184F75"/>
    <w:rsid w:val="001865EF"/>
    <w:rsid w:val="0018670F"/>
    <w:rsid w:val="0019177C"/>
    <w:rsid w:val="00191839"/>
    <w:rsid w:val="001919E3"/>
    <w:rsid w:val="00196361"/>
    <w:rsid w:val="00196380"/>
    <w:rsid w:val="00196D2C"/>
    <w:rsid w:val="001A0028"/>
    <w:rsid w:val="001A044F"/>
    <w:rsid w:val="001A1761"/>
    <w:rsid w:val="001A27D2"/>
    <w:rsid w:val="001A2C1F"/>
    <w:rsid w:val="001A5569"/>
    <w:rsid w:val="001A5D5B"/>
    <w:rsid w:val="001A6B39"/>
    <w:rsid w:val="001A715E"/>
    <w:rsid w:val="001B007C"/>
    <w:rsid w:val="001B0B99"/>
    <w:rsid w:val="001B2925"/>
    <w:rsid w:val="001B2C98"/>
    <w:rsid w:val="001B324F"/>
    <w:rsid w:val="001B470E"/>
    <w:rsid w:val="001B50BF"/>
    <w:rsid w:val="001B65C0"/>
    <w:rsid w:val="001B6E1E"/>
    <w:rsid w:val="001B7248"/>
    <w:rsid w:val="001C2641"/>
    <w:rsid w:val="001C2A0B"/>
    <w:rsid w:val="001C3295"/>
    <w:rsid w:val="001C388B"/>
    <w:rsid w:val="001C4A35"/>
    <w:rsid w:val="001C6673"/>
    <w:rsid w:val="001D0205"/>
    <w:rsid w:val="001D075A"/>
    <w:rsid w:val="001D1863"/>
    <w:rsid w:val="001D18F9"/>
    <w:rsid w:val="001D29C6"/>
    <w:rsid w:val="001D42C0"/>
    <w:rsid w:val="001D53C4"/>
    <w:rsid w:val="001D54BB"/>
    <w:rsid w:val="001D6E34"/>
    <w:rsid w:val="001D712A"/>
    <w:rsid w:val="001E44E2"/>
    <w:rsid w:val="001E5939"/>
    <w:rsid w:val="001E5C80"/>
    <w:rsid w:val="001E6325"/>
    <w:rsid w:val="001E639B"/>
    <w:rsid w:val="001E68F2"/>
    <w:rsid w:val="001F2B49"/>
    <w:rsid w:val="001F40B9"/>
    <w:rsid w:val="001F5784"/>
    <w:rsid w:val="001F6DE5"/>
    <w:rsid w:val="00200616"/>
    <w:rsid w:val="002020BA"/>
    <w:rsid w:val="002041F7"/>
    <w:rsid w:val="002063E3"/>
    <w:rsid w:val="00206681"/>
    <w:rsid w:val="00206EA9"/>
    <w:rsid w:val="00207126"/>
    <w:rsid w:val="00207E54"/>
    <w:rsid w:val="0021131B"/>
    <w:rsid w:val="00215B3E"/>
    <w:rsid w:val="00215DD1"/>
    <w:rsid w:val="0021637E"/>
    <w:rsid w:val="00217ECF"/>
    <w:rsid w:val="00220CB0"/>
    <w:rsid w:val="00220E93"/>
    <w:rsid w:val="00222605"/>
    <w:rsid w:val="0022353F"/>
    <w:rsid w:val="0022494C"/>
    <w:rsid w:val="00226886"/>
    <w:rsid w:val="00230346"/>
    <w:rsid w:val="0023094C"/>
    <w:rsid w:val="002311E7"/>
    <w:rsid w:val="00233CD6"/>
    <w:rsid w:val="0023442E"/>
    <w:rsid w:val="00236472"/>
    <w:rsid w:val="002378AB"/>
    <w:rsid w:val="00240C94"/>
    <w:rsid w:val="00240E5E"/>
    <w:rsid w:val="00242D1D"/>
    <w:rsid w:val="0024324D"/>
    <w:rsid w:val="00243566"/>
    <w:rsid w:val="00243ECF"/>
    <w:rsid w:val="00244C44"/>
    <w:rsid w:val="00244EA1"/>
    <w:rsid w:val="00245E5C"/>
    <w:rsid w:val="00246BFE"/>
    <w:rsid w:val="00251160"/>
    <w:rsid w:val="00252399"/>
    <w:rsid w:val="00252475"/>
    <w:rsid w:val="00252968"/>
    <w:rsid w:val="0025299E"/>
    <w:rsid w:val="002554E0"/>
    <w:rsid w:val="00256A2D"/>
    <w:rsid w:val="002603D8"/>
    <w:rsid w:val="00261041"/>
    <w:rsid w:val="0026165D"/>
    <w:rsid w:val="00262111"/>
    <w:rsid w:val="002628B3"/>
    <w:rsid w:val="00263EF0"/>
    <w:rsid w:val="00264078"/>
    <w:rsid w:val="00264C4B"/>
    <w:rsid w:val="00267FF4"/>
    <w:rsid w:val="002728A4"/>
    <w:rsid w:val="00272BA8"/>
    <w:rsid w:val="0027384F"/>
    <w:rsid w:val="002751BB"/>
    <w:rsid w:val="002775E1"/>
    <w:rsid w:val="002860EF"/>
    <w:rsid w:val="0028625B"/>
    <w:rsid w:val="00286F1A"/>
    <w:rsid w:val="0029085A"/>
    <w:rsid w:val="00291F1E"/>
    <w:rsid w:val="00293940"/>
    <w:rsid w:val="00294884"/>
    <w:rsid w:val="002951EB"/>
    <w:rsid w:val="0029546A"/>
    <w:rsid w:val="002964E5"/>
    <w:rsid w:val="002A05DF"/>
    <w:rsid w:val="002A064E"/>
    <w:rsid w:val="002A1FA6"/>
    <w:rsid w:val="002A1FFF"/>
    <w:rsid w:val="002A379E"/>
    <w:rsid w:val="002A409C"/>
    <w:rsid w:val="002A59AA"/>
    <w:rsid w:val="002A6AB0"/>
    <w:rsid w:val="002A6B2C"/>
    <w:rsid w:val="002B059D"/>
    <w:rsid w:val="002B1F0C"/>
    <w:rsid w:val="002B5C48"/>
    <w:rsid w:val="002B5F63"/>
    <w:rsid w:val="002B64E5"/>
    <w:rsid w:val="002B7A11"/>
    <w:rsid w:val="002C115A"/>
    <w:rsid w:val="002C4359"/>
    <w:rsid w:val="002C6014"/>
    <w:rsid w:val="002C6056"/>
    <w:rsid w:val="002D0239"/>
    <w:rsid w:val="002D449A"/>
    <w:rsid w:val="002D5427"/>
    <w:rsid w:val="002D57D9"/>
    <w:rsid w:val="002D6EFA"/>
    <w:rsid w:val="002D7C64"/>
    <w:rsid w:val="002D7FA2"/>
    <w:rsid w:val="002E045D"/>
    <w:rsid w:val="002E3FE2"/>
    <w:rsid w:val="002E52F0"/>
    <w:rsid w:val="002E5A31"/>
    <w:rsid w:val="002E6D2F"/>
    <w:rsid w:val="002E7981"/>
    <w:rsid w:val="002F3141"/>
    <w:rsid w:val="002F3742"/>
    <w:rsid w:val="002F415C"/>
    <w:rsid w:val="002F44BC"/>
    <w:rsid w:val="002F462E"/>
    <w:rsid w:val="002F58B9"/>
    <w:rsid w:val="002F5DFF"/>
    <w:rsid w:val="002F5E6E"/>
    <w:rsid w:val="002F705A"/>
    <w:rsid w:val="002F78D7"/>
    <w:rsid w:val="003017FC"/>
    <w:rsid w:val="003019A8"/>
    <w:rsid w:val="003056C4"/>
    <w:rsid w:val="0030589D"/>
    <w:rsid w:val="003059E4"/>
    <w:rsid w:val="00305CCE"/>
    <w:rsid w:val="0031087D"/>
    <w:rsid w:val="00312975"/>
    <w:rsid w:val="00314A11"/>
    <w:rsid w:val="00317208"/>
    <w:rsid w:val="00317943"/>
    <w:rsid w:val="003179A1"/>
    <w:rsid w:val="00322B0E"/>
    <w:rsid w:val="00322FDD"/>
    <w:rsid w:val="003243F9"/>
    <w:rsid w:val="00324EE6"/>
    <w:rsid w:val="003264CE"/>
    <w:rsid w:val="0032673B"/>
    <w:rsid w:val="00326FB3"/>
    <w:rsid w:val="00327CA4"/>
    <w:rsid w:val="0033024E"/>
    <w:rsid w:val="003307E0"/>
    <w:rsid w:val="0033122A"/>
    <w:rsid w:val="003322A3"/>
    <w:rsid w:val="00332354"/>
    <w:rsid w:val="003341CB"/>
    <w:rsid w:val="003348EE"/>
    <w:rsid w:val="00337551"/>
    <w:rsid w:val="00340E77"/>
    <w:rsid w:val="00340EE8"/>
    <w:rsid w:val="0034445F"/>
    <w:rsid w:val="003446C4"/>
    <w:rsid w:val="00344861"/>
    <w:rsid w:val="00345E48"/>
    <w:rsid w:val="00346D66"/>
    <w:rsid w:val="00347413"/>
    <w:rsid w:val="003500C8"/>
    <w:rsid w:val="00350B3C"/>
    <w:rsid w:val="00352DF5"/>
    <w:rsid w:val="003532EC"/>
    <w:rsid w:val="00353568"/>
    <w:rsid w:val="00353D8F"/>
    <w:rsid w:val="00354362"/>
    <w:rsid w:val="00355F3A"/>
    <w:rsid w:val="00357E85"/>
    <w:rsid w:val="0036043C"/>
    <w:rsid w:val="00361136"/>
    <w:rsid w:val="0036198F"/>
    <w:rsid w:val="003626BC"/>
    <w:rsid w:val="00362A1C"/>
    <w:rsid w:val="00362D7F"/>
    <w:rsid w:val="00363D52"/>
    <w:rsid w:val="00364554"/>
    <w:rsid w:val="00364681"/>
    <w:rsid w:val="00367A71"/>
    <w:rsid w:val="00372854"/>
    <w:rsid w:val="00372F4B"/>
    <w:rsid w:val="00373154"/>
    <w:rsid w:val="00382569"/>
    <w:rsid w:val="00382B15"/>
    <w:rsid w:val="003838F2"/>
    <w:rsid w:val="00383C49"/>
    <w:rsid w:val="003843DB"/>
    <w:rsid w:val="00386403"/>
    <w:rsid w:val="00387A68"/>
    <w:rsid w:val="00387BC7"/>
    <w:rsid w:val="00390048"/>
    <w:rsid w:val="003910B5"/>
    <w:rsid w:val="00393715"/>
    <w:rsid w:val="00393837"/>
    <w:rsid w:val="003938D4"/>
    <w:rsid w:val="003953E2"/>
    <w:rsid w:val="00395C3B"/>
    <w:rsid w:val="00395C86"/>
    <w:rsid w:val="00397616"/>
    <w:rsid w:val="003A0A37"/>
    <w:rsid w:val="003A11DD"/>
    <w:rsid w:val="003A154F"/>
    <w:rsid w:val="003A16BA"/>
    <w:rsid w:val="003A249A"/>
    <w:rsid w:val="003A29DC"/>
    <w:rsid w:val="003A2F44"/>
    <w:rsid w:val="003A2FB3"/>
    <w:rsid w:val="003A54FF"/>
    <w:rsid w:val="003A6BA4"/>
    <w:rsid w:val="003B02C8"/>
    <w:rsid w:val="003B20C5"/>
    <w:rsid w:val="003B4F10"/>
    <w:rsid w:val="003B57A4"/>
    <w:rsid w:val="003B59F2"/>
    <w:rsid w:val="003B5F06"/>
    <w:rsid w:val="003B651A"/>
    <w:rsid w:val="003B66A2"/>
    <w:rsid w:val="003B6DD5"/>
    <w:rsid w:val="003B7678"/>
    <w:rsid w:val="003B7780"/>
    <w:rsid w:val="003C02F1"/>
    <w:rsid w:val="003C0E37"/>
    <w:rsid w:val="003C24FC"/>
    <w:rsid w:val="003C27C8"/>
    <w:rsid w:val="003C4D74"/>
    <w:rsid w:val="003C6F07"/>
    <w:rsid w:val="003C7180"/>
    <w:rsid w:val="003D0C0B"/>
    <w:rsid w:val="003D227D"/>
    <w:rsid w:val="003D4D00"/>
    <w:rsid w:val="003D5059"/>
    <w:rsid w:val="003D54AA"/>
    <w:rsid w:val="003D5D20"/>
    <w:rsid w:val="003D7861"/>
    <w:rsid w:val="003E188E"/>
    <w:rsid w:val="003E2059"/>
    <w:rsid w:val="003E2B56"/>
    <w:rsid w:val="003E44EB"/>
    <w:rsid w:val="003E5AF5"/>
    <w:rsid w:val="003E5EE2"/>
    <w:rsid w:val="003E7204"/>
    <w:rsid w:val="003E7D62"/>
    <w:rsid w:val="003F29DA"/>
    <w:rsid w:val="003F4896"/>
    <w:rsid w:val="003F4A47"/>
    <w:rsid w:val="003F5AFD"/>
    <w:rsid w:val="003F6080"/>
    <w:rsid w:val="003F7B81"/>
    <w:rsid w:val="00400A2A"/>
    <w:rsid w:val="004042FB"/>
    <w:rsid w:val="0040539B"/>
    <w:rsid w:val="0040562C"/>
    <w:rsid w:val="00412E4E"/>
    <w:rsid w:val="004139A5"/>
    <w:rsid w:val="00413C2E"/>
    <w:rsid w:val="004155C5"/>
    <w:rsid w:val="004218E8"/>
    <w:rsid w:val="004234DF"/>
    <w:rsid w:val="00423A0E"/>
    <w:rsid w:val="00424892"/>
    <w:rsid w:val="00430157"/>
    <w:rsid w:val="0043099F"/>
    <w:rsid w:val="004309E3"/>
    <w:rsid w:val="00431415"/>
    <w:rsid w:val="004318A7"/>
    <w:rsid w:val="00434020"/>
    <w:rsid w:val="0043486D"/>
    <w:rsid w:val="00436EB2"/>
    <w:rsid w:val="00437ACA"/>
    <w:rsid w:val="00437E4B"/>
    <w:rsid w:val="00440B83"/>
    <w:rsid w:val="00441219"/>
    <w:rsid w:val="0044133B"/>
    <w:rsid w:val="00442414"/>
    <w:rsid w:val="00442BFE"/>
    <w:rsid w:val="00443650"/>
    <w:rsid w:val="00443D2D"/>
    <w:rsid w:val="00443DBF"/>
    <w:rsid w:val="00443F5C"/>
    <w:rsid w:val="00445512"/>
    <w:rsid w:val="00445552"/>
    <w:rsid w:val="00450512"/>
    <w:rsid w:val="00451E5E"/>
    <w:rsid w:val="00451F29"/>
    <w:rsid w:val="00452493"/>
    <w:rsid w:val="004527EC"/>
    <w:rsid w:val="004528D4"/>
    <w:rsid w:val="00453045"/>
    <w:rsid w:val="0045321B"/>
    <w:rsid w:val="00453B73"/>
    <w:rsid w:val="004567A1"/>
    <w:rsid w:val="004567B7"/>
    <w:rsid w:val="00457892"/>
    <w:rsid w:val="00457B21"/>
    <w:rsid w:val="00463D97"/>
    <w:rsid w:val="0046466A"/>
    <w:rsid w:val="004646E8"/>
    <w:rsid w:val="00467757"/>
    <w:rsid w:val="0046797E"/>
    <w:rsid w:val="00470974"/>
    <w:rsid w:val="00470E20"/>
    <w:rsid w:val="0047173E"/>
    <w:rsid w:val="00471B6E"/>
    <w:rsid w:val="00471C89"/>
    <w:rsid w:val="00471D18"/>
    <w:rsid w:val="00474E4E"/>
    <w:rsid w:val="00474F9C"/>
    <w:rsid w:val="00475118"/>
    <w:rsid w:val="00475D1C"/>
    <w:rsid w:val="00476695"/>
    <w:rsid w:val="004824D6"/>
    <w:rsid w:val="0048559D"/>
    <w:rsid w:val="00485A40"/>
    <w:rsid w:val="00486C40"/>
    <w:rsid w:val="0049052D"/>
    <w:rsid w:val="00492164"/>
    <w:rsid w:val="00492F66"/>
    <w:rsid w:val="00495EEF"/>
    <w:rsid w:val="004971F5"/>
    <w:rsid w:val="004A0A6F"/>
    <w:rsid w:val="004A60D5"/>
    <w:rsid w:val="004A7FCD"/>
    <w:rsid w:val="004B0955"/>
    <w:rsid w:val="004B0BEA"/>
    <w:rsid w:val="004B1339"/>
    <w:rsid w:val="004B1646"/>
    <w:rsid w:val="004B17BB"/>
    <w:rsid w:val="004B21B6"/>
    <w:rsid w:val="004B5468"/>
    <w:rsid w:val="004B5A1B"/>
    <w:rsid w:val="004B73CD"/>
    <w:rsid w:val="004C1227"/>
    <w:rsid w:val="004C2038"/>
    <w:rsid w:val="004C4B89"/>
    <w:rsid w:val="004C6D60"/>
    <w:rsid w:val="004D057E"/>
    <w:rsid w:val="004D0883"/>
    <w:rsid w:val="004D0C8A"/>
    <w:rsid w:val="004D0DE6"/>
    <w:rsid w:val="004D0F0F"/>
    <w:rsid w:val="004D1E79"/>
    <w:rsid w:val="004D1F8A"/>
    <w:rsid w:val="004D2260"/>
    <w:rsid w:val="004D284F"/>
    <w:rsid w:val="004D3A18"/>
    <w:rsid w:val="004D6573"/>
    <w:rsid w:val="004E0A8C"/>
    <w:rsid w:val="004E1185"/>
    <w:rsid w:val="004E14C5"/>
    <w:rsid w:val="004E20CB"/>
    <w:rsid w:val="004E4F72"/>
    <w:rsid w:val="004E66A0"/>
    <w:rsid w:val="004E6D6D"/>
    <w:rsid w:val="004E6D71"/>
    <w:rsid w:val="004E728F"/>
    <w:rsid w:val="004F010D"/>
    <w:rsid w:val="004F07B7"/>
    <w:rsid w:val="004F1222"/>
    <w:rsid w:val="004F271C"/>
    <w:rsid w:val="004F5F9D"/>
    <w:rsid w:val="005000C2"/>
    <w:rsid w:val="0050176F"/>
    <w:rsid w:val="00501AAC"/>
    <w:rsid w:val="00502213"/>
    <w:rsid w:val="005038B6"/>
    <w:rsid w:val="005044F1"/>
    <w:rsid w:val="00504B9C"/>
    <w:rsid w:val="00510401"/>
    <w:rsid w:val="00510731"/>
    <w:rsid w:val="00512BA7"/>
    <w:rsid w:val="00512D5A"/>
    <w:rsid w:val="00512F8C"/>
    <w:rsid w:val="00513037"/>
    <w:rsid w:val="005150A7"/>
    <w:rsid w:val="005170A7"/>
    <w:rsid w:val="0051784A"/>
    <w:rsid w:val="005206B8"/>
    <w:rsid w:val="005209A2"/>
    <w:rsid w:val="00520C52"/>
    <w:rsid w:val="00521EC3"/>
    <w:rsid w:val="005225DA"/>
    <w:rsid w:val="00526CC1"/>
    <w:rsid w:val="0052711C"/>
    <w:rsid w:val="0052790A"/>
    <w:rsid w:val="00530A2F"/>
    <w:rsid w:val="0053326E"/>
    <w:rsid w:val="00533B9E"/>
    <w:rsid w:val="00534490"/>
    <w:rsid w:val="00534A15"/>
    <w:rsid w:val="00536EF5"/>
    <w:rsid w:val="005371C4"/>
    <w:rsid w:val="00537FDF"/>
    <w:rsid w:val="00540879"/>
    <w:rsid w:val="00541925"/>
    <w:rsid w:val="005431D5"/>
    <w:rsid w:val="005444B5"/>
    <w:rsid w:val="0054466B"/>
    <w:rsid w:val="00545260"/>
    <w:rsid w:val="005463F0"/>
    <w:rsid w:val="0055234A"/>
    <w:rsid w:val="00552DC7"/>
    <w:rsid w:val="00553ACD"/>
    <w:rsid w:val="00556AA9"/>
    <w:rsid w:val="00556D67"/>
    <w:rsid w:val="00556FE8"/>
    <w:rsid w:val="00557EC3"/>
    <w:rsid w:val="00562559"/>
    <w:rsid w:val="00565EA7"/>
    <w:rsid w:val="005660FA"/>
    <w:rsid w:val="00566F6E"/>
    <w:rsid w:val="005678BC"/>
    <w:rsid w:val="0057051C"/>
    <w:rsid w:val="00572262"/>
    <w:rsid w:val="005746F0"/>
    <w:rsid w:val="00574C81"/>
    <w:rsid w:val="00576348"/>
    <w:rsid w:val="00577450"/>
    <w:rsid w:val="00580A36"/>
    <w:rsid w:val="005812D9"/>
    <w:rsid w:val="00581302"/>
    <w:rsid w:val="005814B8"/>
    <w:rsid w:val="005869FB"/>
    <w:rsid w:val="005876D8"/>
    <w:rsid w:val="00590944"/>
    <w:rsid w:val="00591098"/>
    <w:rsid w:val="00592E41"/>
    <w:rsid w:val="0059341A"/>
    <w:rsid w:val="00593949"/>
    <w:rsid w:val="00594194"/>
    <w:rsid w:val="005942C9"/>
    <w:rsid w:val="00596720"/>
    <w:rsid w:val="00597187"/>
    <w:rsid w:val="005971F4"/>
    <w:rsid w:val="00597933"/>
    <w:rsid w:val="005A0E7A"/>
    <w:rsid w:val="005A1453"/>
    <w:rsid w:val="005A1F6F"/>
    <w:rsid w:val="005A3EC6"/>
    <w:rsid w:val="005A607E"/>
    <w:rsid w:val="005A6744"/>
    <w:rsid w:val="005B0CA6"/>
    <w:rsid w:val="005B1854"/>
    <w:rsid w:val="005B23A7"/>
    <w:rsid w:val="005B36EA"/>
    <w:rsid w:val="005B43CA"/>
    <w:rsid w:val="005B547D"/>
    <w:rsid w:val="005B6147"/>
    <w:rsid w:val="005B7299"/>
    <w:rsid w:val="005C0FD1"/>
    <w:rsid w:val="005C1C58"/>
    <w:rsid w:val="005C2484"/>
    <w:rsid w:val="005C4212"/>
    <w:rsid w:val="005C4CAE"/>
    <w:rsid w:val="005C4DB2"/>
    <w:rsid w:val="005D2A4E"/>
    <w:rsid w:val="005D45FB"/>
    <w:rsid w:val="005D487C"/>
    <w:rsid w:val="005D668C"/>
    <w:rsid w:val="005D79D5"/>
    <w:rsid w:val="005D7B44"/>
    <w:rsid w:val="005E50ED"/>
    <w:rsid w:val="005E5323"/>
    <w:rsid w:val="005E6500"/>
    <w:rsid w:val="005E7ED7"/>
    <w:rsid w:val="005F15D7"/>
    <w:rsid w:val="005F15F9"/>
    <w:rsid w:val="005F203A"/>
    <w:rsid w:val="005F3BB8"/>
    <w:rsid w:val="005F416D"/>
    <w:rsid w:val="005F62A3"/>
    <w:rsid w:val="005F62FA"/>
    <w:rsid w:val="005F6EB2"/>
    <w:rsid w:val="0060122A"/>
    <w:rsid w:val="006020E8"/>
    <w:rsid w:val="00602BC0"/>
    <w:rsid w:val="0060369C"/>
    <w:rsid w:val="006048B6"/>
    <w:rsid w:val="006048E8"/>
    <w:rsid w:val="00604E6A"/>
    <w:rsid w:val="00605D87"/>
    <w:rsid w:val="00607C1C"/>
    <w:rsid w:val="00607E29"/>
    <w:rsid w:val="00611E2B"/>
    <w:rsid w:val="00612390"/>
    <w:rsid w:val="00613DED"/>
    <w:rsid w:val="00614B52"/>
    <w:rsid w:val="006162B7"/>
    <w:rsid w:val="00616BC2"/>
    <w:rsid w:val="00617A96"/>
    <w:rsid w:val="00617B8E"/>
    <w:rsid w:val="00621BC6"/>
    <w:rsid w:val="00622498"/>
    <w:rsid w:val="00623CC5"/>
    <w:rsid w:val="00624B49"/>
    <w:rsid w:val="00624BA7"/>
    <w:rsid w:val="00627E91"/>
    <w:rsid w:val="006300D0"/>
    <w:rsid w:val="00630697"/>
    <w:rsid w:val="00631AA9"/>
    <w:rsid w:val="00632132"/>
    <w:rsid w:val="00632340"/>
    <w:rsid w:val="00632A49"/>
    <w:rsid w:val="00634779"/>
    <w:rsid w:val="006347B1"/>
    <w:rsid w:val="00634EA3"/>
    <w:rsid w:val="00636097"/>
    <w:rsid w:val="00640A87"/>
    <w:rsid w:val="006411C6"/>
    <w:rsid w:val="00644722"/>
    <w:rsid w:val="0064558A"/>
    <w:rsid w:val="00646698"/>
    <w:rsid w:val="0065096B"/>
    <w:rsid w:val="006529A7"/>
    <w:rsid w:val="006536A3"/>
    <w:rsid w:val="006553A4"/>
    <w:rsid w:val="006557DC"/>
    <w:rsid w:val="00655B09"/>
    <w:rsid w:val="006565A7"/>
    <w:rsid w:val="006565E0"/>
    <w:rsid w:val="006573C3"/>
    <w:rsid w:val="006576FB"/>
    <w:rsid w:val="006577EB"/>
    <w:rsid w:val="006606A3"/>
    <w:rsid w:val="00661079"/>
    <w:rsid w:val="006617C4"/>
    <w:rsid w:val="00663CE3"/>
    <w:rsid w:val="006645BC"/>
    <w:rsid w:val="0066670F"/>
    <w:rsid w:val="0066778C"/>
    <w:rsid w:val="006737BC"/>
    <w:rsid w:val="00673FD7"/>
    <w:rsid w:val="00673FDC"/>
    <w:rsid w:val="00675A9F"/>
    <w:rsid w:val="00681DB4"/>
    <w:rsid w:val="00681E0C"/>
    <w:rsid w:val="006827DC"/>
    <w:rsid w:val="00682953"/>
    <w:rsid w:val="0068503B"/>
    <w:rsid w:val="00685482"/>
    <w:rsid w:val="006857F0"/>
    <w:rsid w:val="0069083A"/>
    <w:rsid w:val="00691A08"/>
    <w:rsid w:val="006932BB"/>
    <w:rsid w:val="00694637"/>
    <w:rsid w:val="00694715"/>
    <w:rsid w:val="0069588D"/>
    <w:rsid w:val="0069668D"/>
    <w:rsid w:val="00697B5B"/>
    <w:rsid w:val="006A0B99"/>
    <w:rsid w:val="006A292E"/>
    <w:rsid w:val="006A42F8"/>
    <w:rsid w:val="006A5B4B"/>
    <w:rsid w:val="006A6A78"/>
    <w:rsid w:val="006A6A7D"/>
    <w:rsid w:val="006A7B37"/>
    <w:rsid w:val="006B1512"/>
    <w:rsid w:val="006B1F4E"/>
    <w:rsid w:val="006B3361"/>
    <w:rsid w:val="006C10E2"/>
    <w:rsid w:val="006C2BE6"/>
    <w:rsid w:val="006C45CC"/>
    <w:rsid w:val="006C492E"/>
    <w:rsid w:val="006C6017"/>
    <w:rsid w:val="006C74C4"/>
    <w:rsid w:val="006D05C6"/>
    <w:rsid w:val="006D2336"/>
    <w:rsid w:val="006D3E61"/>
    <w:rsid w:val="006D4BEA"/>
    <w:rsid w:val="006D57DA"/>
    <w:rsid w:val="006D5CD9"/>
    <w:rsid w:val="006D5F42"/>
    <w:rsid w:val="006D6308"/>
    <w:rsid w:val="006D6DD5"/>
    <w:rsid w:val="006E20A3"/>
    <w:rsid w:val="006E257E"/>
    <w:rsid w:val="006E3BB0"/>
    <w:rsid w:val="006E5481"/>
    <w:rsid w:val="006E6278"/>
    <w:rsid w:val="006F0E4F"/>
    <w:rsid w:val="006F146B"/>
    <w:rsid w:val="006F5562"/>
    <w:rsid w:val="006F5918"/>
    <w:rsid w:val="006F5BEC"/>
    <w:rsid w:val="006F7F4B"/>
    <w:rsid w:val="0070023D"/>
    <w:rsid w:val="007007AF"/>
    <w:rsid w:val="00700A58"/>
    <w:rsid w:val="00701095"/>
    <w:rsid w:val="00701AA2"/>
    <w:rsid w:val="00701C6D"/>
    <w:rsid w:val="00702675"/>
    <w:rsid w:val="007027D4"/>
    <w:rsid w:val="00702B87"/>
    <w:rsid w:val="00703B9C"/>
    <w:rsid w:val="00710FD3"/>
    <w:rsid w:val="0071203B"/>
    <w:rsid w:val="007127CF"/>
    <w:rsid w:val="00712803"/>
    <w:rsid w:val="00713A4E"/>
    <w:rsid w:val="00714F1F"/>
    <w:rsid w:val="00717773"/>
    <w:rsid w:val="007178A3"/>
    <w:rsid w:val="00722029"/>
    <w:rsid w:val="0072218D"/>
    <w:rsid w:val="00723092"/>
    <w:rsid w:val="0072334A"/>
    <w:rsid w:val="0072520A"/>
    <w:rsid w:val="007252B0"/>
    <w:rsid w:val="0072646D"/>
    <w:rsid w:val="00727D3E"/>
    <w:rsid w:val="00730AC1"/>
    <w:rsid w:val="00731FA0"/>
    <w:rsid w:val="00732BF5"/>
    <w:rsid w:val="0073418A"/>
    <w:rsid w:val="007344E4"/>
    <w:rsid w:val="00734992"/>
    <w:rsid w:val="00734E6D"/>
    <w:rsid w:val="00736600"/>
    <w:rsid w:val="0073672A"/>
    <w:rsid w:val="00740A3D"/>
    <w:rsid w:val="00740EDC"/>
    <w:rsid w:val="00741641"/>
    <w:rsid w:val="0074292C"/>
    <w:rsid w:val="00742EE3"/>
    <w:rsid w:val="007436E6"/>
    <w:rsid w:val="007441E5"/>
    <w:rsid w:val="007455A4"/>
    <w:rsid w:val="00746596"/>
    <w:rsid w:val="007473D0"/>
    <w:rsid w:val="00750D1D"/>
    <w:rsid w:val="00750D80"/>
    <w:rsid w:val="00752C31"/>
    <w:rsid w:val="007534F4"/>
    <w:rsid w:val="007537C3"/>
    <w:rsid w:val="00754E93"/>
    <w:rsid w:val="00754EE4"/>
    <w:rsid w:val="007554F2"/>
    <w:rsid w:val="00755F06"/>
    <w:rsid w:val="007566AC"/>
    <w:rsid w:val="007566F5"/>
    <w:rsid w:val="00756C4F"/>
    <w:rsid w:val="007572DC"/>
    <w:rsid w:val="007612B9"/>
    <w:rsid w:val="00762AC9"/>
    <w:rsid w:val="007635A8"/>
    <w:rsid w:val="0076381B"/>
    <w:rsid w:val="00764BD4"/>
    <w:rsid w:val="00766604"/>
    <w:rsid w:val="00766BD0"/>
    <w:rsid w:val="007709AD"/>
    <w:rsid w:val="007724B1"/>
    <w:rsid w:val="007729AA"/>
    <w:rsid w:val="00776C10"/>
    <w:rsid w:val="00776C80"/>
    <w:rsid w:val="0077789E"/>
    <w:rsid w:val="0077793A"/>
    <w:rsid w:val="00780B44"/>
    <w:rsid w:val="00781C59"/>
    <w:rsid w:val="00781D67"/>
    <w:rsid w:val="007842C3"/>
    <w:rsid w:val="0078609A"/>
    <w:rsid w:val="007902E9"/>
    <w:rsid w:val="00791911"/>
    <w:rsid w:val="0079483F"/>
    <w:rsid w:val="00794D00"/>
    <w:rsid w:val="00796AC0"/>
    <w:rsid w:val="00796E04"/>
    <w:rsid w:val="007973F2"/>
    <w:rsid w:val="007975BF"/>
    <w:rsid w:val="00797CD3"/>
    <w:rsid w:val="007A1F96"/>
    <w:rsid w:val="007A285A"/>
    <w:rsid w:val="007A3385"/>
    <w:rsid w:val="007A3A71"/>
    <w:rsid w:val="007A5773"/>
    <w:rsid w:val="007A61EB"/>
    <w:rsid w:val="007A7B1A"/>
    <w:rsid w:val="007A7CD8"/>
    <w:rsid w:val="007B136E"/>
    <w:rsid w:val="007B398A"/>
    <w:rsid w:val="007B3DFD"/>
    <w:rsid w:val="007B4655"/>
    <w:rsid w:val="007B5A9C"/>
    <w:rsid w:val="007B6E34"/>
    <w:rsid w:val="007B7BBC"/>
    <w:rsid w:val="007C00E7"/>
    <w:rsid w:val="007C16A5"/>
    <w:rsid w:val="007C26E6"/>
    <w:rsid w:val="007C4B23"/>
    <w:rsid w:val="007C4B54"/>
    <w:rsid w:val="007C5968"/>
    <w:rsid w:val="007C7D95"/>
    <w:rsid w:val="007C7FDF"/>
    <w:rsid w:val="007D073F"/>
    <w:rsid w:val="007D1346"/>
    <w:rsid w:val="007D1D8E"/>
    <w:rsid w:val="007D3324"/>
    <w:rsid w:val="007D4006"/>
    <w:rsid w:val="007D4A20"/>
    <w:rsid w:val="007D6427"/>
    <w:rsid w:val="007D712B"/>
    <w:rsid w:val="007D7237"/>
    <w:rsid w:val="007E1442"/>
    <w:rsid w:val="007E370D"/>
    <w:rsid w:val="007E4311"/>
    <w:rsid w:val="007E4539"/>
    <w:rsid w:val="007E505C"/>
    <w:rsid w:val="007E58E1"/>
    <w:rsid w:val="007E5E2C"/>
    <w:rsid w:val="007E5EFC"/>
    <w:rsid w:val="007E7306"/>
    <w:rsid w:val="007F0112"/>
    <w:rsid w:val="007F501A"/>
    <w:rsid w:val="00800F11"/>
    <w:rsid w:val="00803E03"/>
    <w:rsid w:val="008045E4"/>
    <w:rsid w:val="008054DC"/>
    <w:rsid w:val="00806624"/>
    <w:rsid w:val="00807E16"/>
    <w:rsid w:val="0081001C"/>
    <w:rsid w:val="0081036C"/>
    <w:rsid w:val="00810652"/>
    <w:rsid w:val="0081091C"/>
    <w:rsid w:val="00810E6A"/>
    <w:rsid w:val="00811F88"/>
    <w:rsid w:val="00814C2A"/>
    <w:rsid w:val="00815C8B"/>
    <w:rsid w:val="008168CC"/>
    <w:rsid w:val="00816B22"/>
    <w:rsid w:val="00816BD3"/>
    <w:rsid w:val="00816F62"/>
    <w:rsid w:val="00817DB2"/>
    <w:rsid w:val="00820FAF"/>
    <w:rsid w:val="008227ED"/>
    <w:rsid w:val="00823677"/>
    <w:rsid w:val="00823D98"/>
    <w:rsid w:val="008240E9"/>
    <w:rsid w:val="00824BEF"/>
    <w:rsid w:val="00826235"/>
    <w:rsid w:val="008268BA"/>
    <w:rsid w:val="00830673"/>
    <w:rsid w:val="008312D1"/>
    <w:rsid w:val="00831952"/>
    <w:rsid w:val="00831AF0"/>
    <w:rsid w:val="00832316"/>
    <w:rsid w:val="00846579"/>
    <w:rsid w:val="0084721F"/>
    <w:rsid w:val="00847649"/>
    <w:rsid w:val="00847C10"/>
    <w:rsid w:val="00847F61"/>
    <w:rsid w:val="00850003"/>
    <w:rsid w:val="00850221"/>
    <w:rsid w:val="00855B51"/>
    <w:rsid w:val="00857A2B"/>
    <w:rsid w:val="008614C9"/>
    <w:rsid w:val="008620F1"/>
    <w:rsid w:val="00863697"/>
    <w:rsid w:val="00864407"/>
    <w:rsid w:val="00871482"/>
    <w:rsid w:val="00871A29"/>
    <w:rsid w:val="00872E36"/>
    <w:rsid w:val="0087455B"/>
    <w:rsid w:val="0087574E"/>
    <w:rsid w:val="00876118"/>
    <w:rsid w:val="008815BD"/>
    <w:rsid w:val="00881E36"/>
    <w:rsid w:val="0088285C"/>
    <w:rsid w:val="00882D50"/>
    <w:rsid w:val="00883E1F"/>
    <w:rsid w:val="0088742B"/>
    <w:rsid w:val="00890DC6"/>
    <w:rsid w:val="008919F6"/>
    <w:rsid w:val="008924C4"/>
    <w:rsid w:val="00893082"/>
    <w:rsid w:val="008946A2"/>
    <w:rsid w:val="00894C36"/>
    <w:rsid w:val="00894D9C"/>
    <w:rsid w:val="00894F6D"/>
    <w:rsid w:val="008953B2"/>
    <w:rsid w:val="00895D0F"/>
    <w:rsid w:val="00895DD1"/>
    <w:rsid w:val="008960D3"/>
    <w:rsid w:val="00896AF7"/>
    <w:rsid w:val="008A1325"/>
    <w:rsid w:val="008A3CFB"/>
    <w:rsid w:val="008A3E9A"/>
    <w:rsid w:val="008A6F30"/>
    <w:rsid w:val="008B25F8"/>
    <w:rsid w:val="008B3C76"/>
    <w:rsid w:val="008B5A04"/>
    <w:rsid w:val="008B6469"/>
    <w:rsid w:val="008C0016"/>
    <w:rsid w:val="008C0F5B"/>
    <w:rsid w:val="008C3391"/>
    <w:rsid w:val="008C33D3"/>
    <w:rsid w:val="008C585B"/>
    <w:rsid w:val="008C65A9"/>
    <w:rsid w:val="008D0A61"/>
    <w:rsid w:val="008D1018"/>
    <w:rsid w:val="008D3218"/>
    <w:rsid w:val="008D38F6"/>
    <w:rsid w:val="008D4117"/>
    <w:rsid w:val="008D7C7E"/>
    <w:rsid w:val="008E0165"/>
    <w:rsid w:val="008E0BFE"/>
    <w:rsid w:val="008E111D"/>
    <w:rsid w:val="008E20D9"/>
    <w:rsid w:val="008E3326"/>
    <w:rsid w:val="008E4914"/>
    <w:rsid w:val="008E4BA0"/>
    <w:rsid w:val="008E4FA3"/>
    <w:rsid w:val="008E51EF"/>
    <w:rsid w:val="008E6225"/>
    <w:rsid w:val="008E624F"/>
    <w:rsid w:val="008E6C3C"/>
    <w:rsid w:val="008E7BC1"/>
    <w:rsid w:val="008E7DBB"/>
    <w:rsid w:val="008F2ECE"/>
    <w:rsid w:val="008F3FFA"/>
    <w:rsid w:val="008F626B"/>
    <w:rsid w:val="008F7AA7"/>
    <w:rsid w:val="008F7D5A"/>
    <w:rsid w:val="00902DB8"/>
    <w:rsid w:val="0090358C"/>
    <w:rsid w:val="00904688"/>
    <w:rsid w:val="009109D0"/>
    <w:rsid w:val="00910B17"/>
    <w:rsid w:val="00911546"/>
    <w:rsid w:val="00913A38"/>
    <w:rsid w:val="0091428A"/>
    <w:rsid w:val="00914617"/>
    <w:rsid w:val="00914FCB"/>
    <w:rsid w:val="00921C13"/>
    <w:rsid w:val="009220E3"/>
    <w:rsid w:val="0092324F"/>
    <w:rsid w:val="00924351"/>
    <w:rsid w:val="009264E4"/>
    <w:rsid w:val="00926D2E"/>
    <w:rsid w:val="00927060"/>
    <w:rsid w:val="00927173"/>
    <w:rsid w:val="009307D7"/>
    <w:rsid w:val="009320B5"/>
    <w:rsid w:val="0093329A"/>
    <w:rsid w:val="009342FC"/>
    <w:rsid w:val="00935D0F"/>
    <w:rsid w:val="009377AE"/>
    <w:rsid w:val="00937869"/>
    <w:rsid w:val="00937ED5"/>
    <w:rsid w:val="00940E1C"/>
    <w:rsid w:val="0094365E"/>
    <w:rsid w:val="00943811"/>
    <w:rsid w:val="00944527"/>
    <w:rsid w:val="009458BD"/>
    <w:rsid w:val="00946639"/>
    <w:rsid w:val="00946BAE"/>
    <w:rsid w:val="00950105"/>
    <w:rsid w:val="0095166E"/>
    <w:rsid w:val="00952F67"/>
    <w:rsid w:val="00953FFA"/>
    <w:rsid w:val="00954680"/>
    <w:rsid w:val="009553B5"/>
    <w:rsid w:val="00955784"/>
    <w:rsid w:val="00955E1C"/>
    <w:rsid w:val="009562D2"/>
    <w:rsid w:val="009601B2"/>
    <w:rsid w:val="00962B27"/>
    <w:rsid w:val="00962ED7"/>
    <w:rsid w:val="0096533E"/>
    <w:rsid w:val="00966186"/>
    <w:rsid w:val="00966D08"/>
    <w:rsid w:val="00967830"/>
    <w:rsid w:val="009701B3"/>
    <w:rsid w:val="00970A2A"/>
    <w:rsid w:val="00971C7F"/>
    <w:rsid w:val="009721F7"/>
    <w:rsid w:val="00972ACE"/>
    <w:rsid w:val="009760CA"/>
    <w:rsid w:val="0097692F"/>
    <w:rsid w:val="0097781C"/>
    <w:rsid w:val="00980622"/>
    <w:rsid w:val="009809DB"/>
    <w:rsid w:val="00981B2A"/>
    <w:rsid w:val="00981E15"/>
    <w:rsid w:val="00982094"/>
    <w:rsid w:val="009829FF"/>
    <w:rsid w:val="00982C30"/>
    <w:rsid w:val="00984755"/>
    <w:rsid w:val="00985365"/>
    <w:rsid w:val="00985CCF"/>
    <w:rsid w:val="0098759D"/>
    <w:rsid w:val="0099013E"/>
    <w:rsid w:val="009906CB"/>
    <w:rsid w:val="00990CA4"/>
    <w:rsid w:val="0099185E"/>
    <w:rsid w:val="009928F0"/>
    <w:rsid w:val="0099523C"/>
    <w:rsid w:val="0099566C"/>
    <w:rsid w:val="00996EC2"/>
    <w:rsid w:val="0099757B"/>
    <w:rsid w:val="00997773"/>
    <w:rsid w:val="00997AFA"/>
    <w:rsid w:val="00997D57"/>
    <w:rsid w:val="009A0C83"/>
    <w:rsid w:val="009A14E1"/>
    <w:rsid w:val="009A36FC"/>
    <w:rsid w:val="009A3785"/>
    <w:rsid w:val="009A3ADB"/>
    <w:rsid w:val="009A430C"/>
    <w:rsid w:val="009A63B1"/>
    <w:rsid w:val="009B0797"/>
    <w:rsid w:val="009B0993"/>
    <w:rsid w:val="009B0F8C"/>
    <w:rsid w:val="009B1B9F"/>
    <w:rsid w:val="009B2B52"/>
    <w:rsid w:val="009B2F82"/>
    <w:rsid w:val="009B37E4"/>
    <w:rsid w:val="009C0999"/>
    <w:rsid w:val="009C2558"/>
    <w:rsid w:val="009C2D89"/>
    <w:rsid w:val="009C3210"/>
    <w:rsid w:val="009C4989"/>
    <w:rsid w:val="009C6B28"/>
    <w:rsid w:val="009C7D02"/>
    <w:rsid w:val="009D00D3"/>
    <w:rsid w:val="009D0797"/>
    <w:rsid w:val="009D244E"/>
    <w:rsid w:val="009D4335"/>
    <w:rsid w:val="009D5375"/>
    <w:rsid w:val="009D5AC6"/>
    <w:rsid w:val="009D7188"/>
    <w:rsid w:val="009E02E7"/>
    <w:rsid w:val="009E04E6"/>
    <w:rsid w:val="009E1BBC"/>
    <w:rsid w:val="009E28DA"/>
    <w:rsid w:val="009E555A"/>
    <w:rsid w:val="009E6D4C"/>
    <w:rsid w:val="009F0968"/>
    <w:rsid w:val="009F1782"/>
    <w:rsid w:val="009F3E46"/>
    <w:rsid w:val="00A01316"/>
    <w:rsid w:val="00A01407"/>
    <w:rsid w:val="00A0155A"/>
    <w:rsid w:val="00A02B44"/>
    <w:rsid w:val="00A035FB"/>
    <w:rsid w:val="00A038E8"/>
    <w:rsid w:val="00A04302"/>
    <w:rsid w:val="00A04E17"/>
    <w:rsid w:val="00A07111"/>
    <w:rsid w:val="00A10E3A"/>
    <w:rsid w:val="00A10F0B"/>
    <w:rsid w:val="00A122CE"/>
    <w:rsid w:val="00A12B41"/>
    <w:rsid w:val="00A12B56"/>
    <w:rsid w:val="00A14AFC"/>
    <w:rsid w:val="00A14B90"/>
    <w:rsid w:val="00A22022"/>
    <w:rsid w:val="00A22391"/>
    <w:rsid w:val="00A2439D"/>
    <w:rsid w:val="00A268DA"/>
    <w:rsid w:val="00A26C20"/>
    <w:rsid w:val="00A303B7"/>
    <w:rsid w:val="00A33054"/>
    <w:rsid w:val="00A33776"/>
    <w:rsid w:val="00A337B8"/>
    <w:rsid w:val="00A35929"/>
    <w:rsid w:val="00A36512"/>
    <w:rsid w:val="00A37B54"/>
    <w:rsid w:val="00A4147C"/>
    <w:rsid w:val="00A43052"/>
    <w:rsid w:val="00A43B83"/>
    <w:rsid w:val="00A4425D"/>
    <w:rsid w:val="00A50E09"/>
    <w:rsid w:val="00A5125F"/>
    <w:rsid w:val="00A5156E"/>
    <w:rsid w:val="00A52C81"/>
    <w:rsid w:val="00A53900"/>
    <w:rsid w:val="00A55DF8"/>
    <w:rsid w:val="00A56350"/>
    <w:rsid w:val="00A5731A"/>
    <w:rsid w:val="00A57507"/>
    <w:rsid w:val="00A61EE8"/>
    <w:rsid w:val="00A622F1"/>
    <w:rsid w:val="00A63BE7"/>
    <w:rsid w:val="00A641FC"/>
    <w:rsid w:val="00A6547D"/>
    <w:rsid w:val="00A65991"/>
    <w:rsid w:val="00A70003"/>
    <w:rsid w:val="00A73CC9"/>
    <w:rsid w:val="00A758E9"/>
    <w:rsid w:val="00A778C5"/>
    <w:rsid w:val="00A81F10"/>
    <w:rsid w:val="00A82F2A"/>
    <w:rsid w:val="00A83EF7"/>
    <w:rsid w:val="00A85103"/>
    <w:rsid w:val="00A856CE"/>
    <w:rsid w:val="00A85CA2"/>
    <w:rsid w:val="00A861BD"/>
    <w:rsid w:val="00A879C8"/>
    <w:rsid w:val="00A87AA6"/>
    <w:rsid w:val="00A94E2E"/>
    <w:rsid w:val="00A9550D"/>
    <w:rsid w:val="00A95E8D"/>
    <w:rsid w:val="00AA0DF3"/>
    <w:rsid w:val="00AA211D"/>
    <w:rsid w:val="00AA2920"/>
    <w:rsid w:val="00AA2936"/>
    <w:rsid w:val="00AA2D08"/>
    <w:rsid w:val="00AA31A7"/>
    <w:rsid w:val="00AA3672"/>
    <w:rsid w:val="00AA3772"/>
    <w:rsid w:val="00AA3A9F"/>
    <w:rsid w:val="00AA49F9"/>
    <w:rsid w:val="00AA5240"/>
    <w:rsid w:val="00AA62E0"/>
    <w:rsid w:val="00AA636E"/>
    <w:rsid w:val="00AA7BAC"/>
    <w:rsid w:val="00AB0478"/>
    <w:rsid w:val="00AB08DC"/>
    <w:rsid w:val="00AB1BF7"/>
    <w:rsid w:val="00AB2821"/>
    <w:rsid w:val="00AB3449"/>
    <w:rsid w:val="00AB4D11"/>
    <w:rsid w:val="00AB6F63"/>
    <w:rsid w:val="00AB7311"/>
    <w:rsid w:val="00AB7D83"/>
    <w:rsid w:val="00AC0551"/>
    <w:rsid w:val="00AC05F7"/>
    <w:rsid w:val="00AC1735"/>
    <w:rsid w:val="00AC740C"/>
    <w:rsid w:val="00AD165F"/>
    <w:rsid w:val="00AD2D82"/>
    <w:rsid w:val="00AD39F4"/>
    <w:rsid w:val="00AD47CB"/>
    <w:rsid w:val="00AD6735"/>
    <w:rsid w:val="00AD6937"/>
    <w:rsid w:val="00AE09C3"/>
    <w:rsid w:val="00AE194F"/>
    <w:rsid w:val="00AE4910"/>
    <w:rsid w:val="00AE64A1"/>
    <w:rsid w:val="00AE669D"/>
    <w:rsid w:val="00AE72AB"/>
    <w:rsid w:val="00AF1395"/>
    <w:rsid w:val="00AF2729"/>
    <w:rsid w:val="00AF3A4E"/>
    <w:rsid w:val="00AF4C85"/>
    <w:rsid w:val="00AF6307"/>
    <w:rsid w:val="00AF73BF"/>
    <w:rsid w:val="00AF7897"/>
    <w:rsid w:val="00B00AB2"/>
    <w:rsid w:val="00B010F9"/>
    <w:rsid w:val="00B03110"/>
    <w:rsid w:val="00B04211"/>
    <w:rsid w:val="00B11293"/>
    <w:rsid w:val="00B118C7"/>
    <w:rsid w:val="00B169E6"/>
    <w:rsid w:val="00B17613"/>
    <w:rsid w:val="00B24042"/>
    <w:rsid w:val="00B25A63"/>
    <w:rsid w:val="00B27C95"/>
    <w:rsid w:val="00B302D7"/>
    <w:rsid w:val="00B305BC"/>
    <w:rsid w:val="00B327C0"/>
    <w:rsid w:val="00B33C11"/>
    <w:rsid w:val="00B35BED"/>
    <w:rsid w:val="00B3717B"/>
    <w:rsid w:val="00B37306"/>
    <w:rsid w:val="00B37C6D"/>
    <w:rsid w:val="00B37E5C"/>
    <w:rsid w:val="00B40269"/>
    <w:rsid w:val="00B408B0"/>
    <w:rsid w:val="00B40935"/>
    <w:rsid w:val="00B40BD7"/>
    <w:rsid w:val="00B4227E"/>
    <w:rsid w:val="00B426CB"/>
    <w:rsid w:val="00B42E0C"/>
    <w:rsid w:val="00B433C5"/>
    <w:rsid w:val="00B43903"/>
    <w:rsid w:val="00B451BE"/>
    <w:rsid w:val="00B451CB"/>
    <w:rsid w:val="00B460A9"/>
    <w:rsid w:val="00B47958"/>
    <w:rsid w:val="00B5001B"/>
    <w:rsid w:val="00B505F3"/>
    <w:rsid w:val="00B50CB6"/>
    <w:rsid w:val="00B5135A"/>
    <w:rsid w:val="00B52317"/>
    <w:rsid w:val="00B52FC4"/>
    <w:rsid w:val="00B54136"/>
    <w:rsid w:val="00B54828"/>
    <w:rsid w:val="00B54869"/>
    <w:rsid w:val="00B561B7"/>
    <w:rsid w:val="00B56EB8"/>
    <w:rsid w:val="00B5789B"/>
    <w:rsid w:val="00B60077"/>
    <w:rsid w:val="00B609EB"/>
    <w:rsid w:val="00B61407"/>
    <w:rsid w:val="00B64491"/>
    <w:rsid w:val="00B64DBF"/>
    <w:rsid w:val="00B651C7"/>
    <w:rsid w:val="00B653BF"/>
    <w:rsid w:val="00B6666C"/>
    <w:rsid w:val="00B667DF"/>
    <w:rsid w:val="00B6755E"/>
    <w:rsid w:val="00B67F38"/>
    <w:rsid w:val="00B70D15"/>
    <w:rsid w:val="00B741B3"/>
    <w:rsid w:val="00B74B94"/>
    <w:rsid w:val="00B75157"/>
    <w:rsid w:val="00B75B8A"/>
    <w:rsid w:val="00B7606C"/>
    <w:rsid w:val="00B76A81"/>
    <w:rsid w:val="00B76D3D"/>
    <w:rsid w:val="00B813A4"/>
    <w:rsid w:val="00B82BA4"/>
    <w:rsid w:val="00B830FB"/>
    <w:rsid w:val="00B87082"/>
    <w:rsid w:val="00B90012"/>
    <w:rsid w:val="00B9063D"/>
    <w:rsid w:val="00B915CB"/>
    <w:rsid w:val="00B96AA4"/>
    <w:rsid w:val="00BA081A"/>
    <w:rsid w:val="00BA5048"/>
    <w:rsid w:val="00BB0A13"/>
    <w:rsid w:val="00BB3F01"/>
    <w:rsid w:val="00BB4C90"/>
    <w:rsid w:val="00BB52BC"/>
    <w:rsid w:val="00BB6B42"/>
    <w:rsid w:val="00BB6F8E"/>
    <w:rsid w:val="00BB7E2E"/>
    <w:rsid w:val="00BC1FCF"/>
    <w:rsid w:val="00BC2D15"/>
    <w:rsid w:val="00BC344C"/>
    <w:rsid w:val="00BC4A51"/>
    <w:rsid w:val="00BC7010"/>
    <w:rsid w:val="00BD0022"/>
    <w:rsid w:val="00BD05F0"/>
    <w:rsid w:val="00BD060C"/>
    <w:rsid w:val="00BD07BC"/>
    <w:rsid w:val="00BD4B6F"/>
    <w:rsid w:val="00BD7F60"/>
    <w:rsid w:val="00BE144E"/>
    <w:rsid w:val="00BE2083"/>
    <w:rsid w:val="00BE24E0"/>
    <w:rsid w:val="00BE2640"/>
    <w:rsid w:val="00BE3414"/>
    <w:rsid w:val="00BE34F1"/>
    <w:rsid w:val="00BE476F"/>
    <w:rsid w:val="00BE4AC6"/>
    <w:rsid w:val="00BE5D81"/>
    <w:rsid w:val="00BE689D"/>
    <w:rsid w:val="00C00772"/>
    <w:rsid w:val="00C019D8"/>
    <w:rsid w:val="00C02923"/>
    <w:rsid w:val="00C04C01"/>
    <w:rsid w:val="00C063A2"/>
    <w:rsid w:val="00C06627"/>
    <w:rsid w:val="00C106A6"/>
    <w:rsid w:val="00C1098E"/>
    <w:rsid w:val="00C11FBC"/>
    <w:rsid w:val="00C13789"/>
    <w:rsid w:val="00C20107"/>
    <w:rsid w:val="00C212EF"/>
    <w:rsid w:val="00C21643"/>
    <w:rsid w:val="00C21867"/>
    <w:rsid w:val="00C24FD7"/>
    <w:rsid w:val="00C256EB"/>
    <w:rsid w:val="00C25BD3"/>
    <w:rsid w:val="00C25E5D"/>
    <w:rsid w:val="00C274E4"/>
    <w:rsid w:val="00C30FF2"/>
    <w:rsid w:val="00C36DF8"/>
    <w:rsid w:val="00C374B0"/>
    <w:rsid w:val="00C40768"/>
    <w:rsid w:val="00C40CE8"/>
    <w:rsid w:val="00C438BD"/>
    <w:rsid w:val="00C45802"/>
    <w:rsid w:val="00C4605B"/>
    <w:rsid w:val="00C46B39"/>
    <w:rsid w:val="00C50554"/>
    <w:rsid w:val="00C5135C"/>
    <w:rsid w:val="00C53F6C"/>
    <w:rsid w:val="00C54B1E"/>
    <w:rsid w:val="00C605FA"/>
    <w:rsid w:val="00C6249A"/>
    <w:rsid w:val="00C62D91"/>
    <w:rsid w:val="00C64938"/>
    <w:rsid w:val="00C6611B"/>
    <w:rsid w:val="00C6694F"/>
    <w:rsid w:val="00C669A9"/>
    <w:rsid w:val="00C6721E"/>
    <w:rsid w:val="00C674C8"/>
    <w:rsid w:val="00C7273A"/>
    <w:rsid w:val="00C740EC"/>
    <w:rsid w:val="00C74D0E"/>
    <w:rsid w:val="00C75410"/>
    <w:rsid w:val="00C76515"/>
    <w:rsid w:val="00C77DBC"/>
    <w:rsid w:val="00C80BFE"/>
    <w:rsid w:val="00C80FA0"/>
    <w:rsid w:val="00C81BC4"/>
    <w:rsid w:val="00C81BCC"/>
    <w:rsid w:val="00C83491"/>
    <w:rsid w:val="00C83F6A"/>
    <w:rsid w:val="00C84DCD"/>
    <w:rsid w:val="00C85D5A"/>
    <w:rsid w:val="00C873E7"/>
    <w:rsid w:val="00C87C4C"/>
    <w:rsid w:val="00C90ED3"/>
    <w:rsid w:val="00C92199"/>
    <w:rsid w:val="00C934E4"/>
    <w:rsid w:val="00C936B4"/>
    <w:rsid w:val="00C9396A"/>
    <w:rsid w:val="00C941C0"/>
    <w:rsid w:val="00C950FB"/>
    <w:rsid w:val="00C96130"/>
    <w:rsid w:val="00CA03EE"/>
    <w:rsid w:val="00CA0C06"/>
    <w:rsid w:val="00CA1CD0"/>
    <w:rsid w:val="00CA1FF1"/>
    <w:rsid w:val="00CA4998"/>
    <w:rsid w:val="00CA4BB1"/>
    <w:rsid w:val="00CA6A5A"/>
    <w:rsid w:val="00CB0A9A"/>
    <w:rsid w:val="00CB0E5E"/>
    <w:rsid w:val="00CB1A64"/>
    <w:rsid w:val="00CB27DC"/>
    <w:rsid w:val="00CB2D30"/>
    <w:rsid w:val="00CB304E"/>
    <w:rsid w:val="00CB6326"/>
    <w:rsid w:val="00CB6A9D"/>
    <w:rsid w:val="00CC0D4A"/>
    <w:rsid w:val="00CC2232"/>
    <w:rsid w:val="00CC4139"/>
    <w:rsid w:val="00CC5BC1"/>
    <w:rsid w:val="00CC7124"/>
    <w:rsid w:val="00CC7215"/>
    <w:rsid w:val="00CD19C2"/>
    <w:rsid w:val="00CD1D91"/>
    <w:rsid w:val="00CD6608"/>
    <w:rsid w:val="00CD6B59"/>
    <w:rsid w:val="00CD77DC"/>
    <w:rsid w:val="00CD7B3F"/>
    <w:rsid w:val="00CE054B"/>
    <w:rsid w:val="00CE0D01"/>
    <w:rsid w:val="00CE1B80"/>
    <w:rsid w:val="00CE3057"/>
    <w:rsid w:val="00CE4E69"/>
    <w:rsid w:val="00CE6BE0"/>
    <w:rsid w:val="00CF107E"/>
    <w:rsid w:val="00CF157B"/>
    <w:rsid w:val="00D01273"/>
    <w:rsid w:val="00D012A5"/>
    <w:rsid w:val="00D01B9E"/>
    <w:rsid w:val="00D02A8B"/>
    <w:rsid w:val="00D036B7"/>
    <w:rsid w:val="00D0763A"/>
    <w:rsid w:val="00D07E6B"/>
    <w:rsid w:val="00D1123B"/>
    <w:rsid w:val="00D12B99"/>
    <w:rsid w:val="00D14F92"/>
    <w:rsid w:val="00D177F6"/>
    <w:rsid w:val="00D20951"/>
    <w:rsid w:val="00D214D7"/>
    <w:rsid w:val="00D236BF"/>
    <w:rsid w:val="00D23A29"/>
    <w:rsid w:val="00D2607D"/>
    <w:rsid w:val="00D2683B"/>
    <w:rsid w:val="00D26FEA"/>
    <w:rsid w:val="00D272CD"/>
    <w:rsid w:val="00D30740"/>
    <w:rsid w:val="00D30D01"/>
    <w:rsid w:val="00D31706"/>
    <w:rsid w:val="00D3170E"/>
    <w:rsid w:val="00D330B0"/>
    <w:rsid w:val="00D34AA8"/>
    <w:rsid w:val="00D35CFB"/>
    <w:rsid w:val="00D4076A"/>
    <w:rsid w:val="00D42362"/>
    <w:rsid w:val="00D4246D"/>
    <w:rsid w:val="00D43CAB"/>
    <w:rsid w:val="00D453ED"/>
    <w:rsid w:val="00D457D3"/>
    <w:rsid w:val="00D45E64"/>
    <w:rsid w:val="00D47833"/>
    <w:rsid w:val="00D503C5"/>
    <w:rsid w:val="00D508A6"/>
    <w:rsid w:val="00D5252D"/>
    <w:rsid w:val="00D53A47"/>
    <w:rsid w:val="00D53B80"/>
    <w:rsid w:val="00D54BE2"/>
    <w:rsid w:val="00D550C9"/>
    <w:rsid w:val="00D55B4A"/>
    <w:rsid w:val="00D57A74"/>
    <w:rsid w:val="00D60A59"/>
    <w:rsid w:val="00D60F42"/>
    <w:rsid w:val="00D63937"/>
    <w:rsid w:val="00D646D3"/>
    <w:rsid w:val="00D67151"/>
    <w:rsid w:val="00D6717A"/>
    <w:rsid w:val="00D70863"/>
    <w:rsid w:val="00D71E12"/>
    <w:rsid w:val="00D72314"/>
    <w:rsid w:val="00D72F7F"/>
    <w:rsid w:val="00D739B5"/>
    <w:rsid w:val="00D74099"/>
    <w:rsid w:val="00D743FA"/>
    <w:rsid w:val="00D74CD3"/>
    <w:rsid w:val="00D75129"/>
    <w:rsid w:val="00D77A75"/>
    <w:rsid w:val="00D80E4D"/>
    <w:rsid w:val="00D8263E"/>
    <w:rsid w:val="00D82D40"/>
    <w:rsid w:val="00D839EB"/>
    <w:rsid w:val="00D83BC4"/>
    <w:rsid w:val="00D8689B"/>
    <w:rsid w:val="00D869E5"/>
    <w:rsid w:val="00D904B0"/>
    <w:rsid w:val="00D9628E"/>
    <w:rsid w:val="00DA095C"/>
    <w:rsid w:val="00DA2F10"/>
    <w:rsid w:val="00DA4571"/>
    <w:rsid w:val="00DA4DA3"/>
    <w:rsid w:val="00DA6D32"/>
    <w:rsid w:val="00DA75B8"/>
    <w:rsid w:val="00DB024B"/>
    <w:rsid w:val="00DB047A"/>
    <w:rsid w:val="00DB0DF2"/>
    <w:rsid w:val="00DB105F"/>
    <w:rsid w:val="00DB2DFD"/>
    <w:rsid w:val="00DB51BB"/>
    <w:rsid w:val="00DB6C29"/>
    <w:rsid w:val="00DB7650"/>
    <w:rsid w:val="00DC0B33"/>
    <w:rsid w:val="00DC262F"/>
    <w:rsid w:val="00DC3486"/>
    <w:rsid w:val="00DC482F"/>
    <w:rsid w:val="00DD0893"/>
    <w:rsid w:val="00DD09A7"/>
    <w:rsid w:val="00DD115C"/>
    <w:rsid w:val="00DD1CB3"/>
    <w:rsid w:val="00DD48AF"/>
    <w:rsid w:val="00DD6BF2"/>
    <w:rsid w:val="00DD6CC9"/>
    <w:rsid w:val="00DD7A46"/>
    <w:rsid w:val="00DD7F37"/>
    <w:rsid w:val="00DE038E"/>
    <w:rsid w:val="00DE087E"/>
    <w:rsid w:val="00DE16E1"/>
    <w:rsid w:val="00DE3360"/>
    <w:rsid w:val="00DE359C"/>
    <w:rsid w:val="00DE3CB1"/>
    <w:rsid w:val="00DE4254"/>
    <w:rsid w:val="00DE4A55"/>
    <w:rsid w:val="00DE720A"/>
    <w:rsid w:val="00DE7966"/>
    <w:rsid w:val="00DF1003"/>
    <w:rsid w:val="00DF20A5"/>
    <w:rsid w:val="00DF3E0E"/>
    <w:rsid w:val="00DF4863"/>
    <w:rsid w:val="00DF4E59"/>
    <w:rsid w:val="00DF787F"/>
    <w:rsid w:val="00E01AF2"/>
    <w:rsid w:val="00E02E3F"/>
    <w:rsid w:val="00E04138"/>
    <w:rsid w:val="00E108AC"/>
    <w:rsid w:val="00E11533"/>
    <w:rsid w:val="00E11974"/>
    <w:rsid w:val="00E13004"/>
    <w:rsid w:val="00E132B7"/>
    <w:rsid w:val="00E14415"/>
    <w:rsid w:val="00E14D67"/>
    <w:rsid w:val="00E1604F"/>
    <w:rsid w:val="00E173B3"/>
    <w:rsid w:val="00E177A2"/>
    <w:rsid w:val="00E17DD0"/>
    <w:rsid w:val="00E2011A"/>
    <w:rsid w:val="00E229FC"/>
    <w:rsid w:val="00E22A33"/>
    <w:rsid w:val="00E26876"/>
    <w:rsid w:val="00E26903"/>
    <w:rsid w:val="00E26B45"/>
    <w:rsid w:val="00E275A3"/>
    <w:rsid w:val="00E301AC"/>
    <w:rsid w:val="00E30876"/>
    <w:rsid w:val="00E333BB"/>
    <w:rsid w:val="00E33EA0"/>
    <w:rsid w:val="00E365CE"/>
    <w:rsid w:val="00E368A4"/>
    <w:rsid w:val="00E36ECF"/>
    <w:rsid w:val="00E3753F"/>
    <w:rsid w:val="00E40BA9"/>
    <w:rsid w:val="00E41197"/>
    <w:rsid w:val="00E44448"/>
    <w:rsid w:val="00E46854"/>
    <w:rsid w:val="00E46D93"/>
    <w:rsid w:val="00E47B8B"/>
    <w:rsid w:val="00E50FFB"/>
    <w:rsid w:val="00E52AF5"/>
    <w:rsid w:val="00E5305C"/>
    <w:rsid w:val="00E531E3"/>
    <w:rsid w:val="00E54066"/>
    <w:rsid w:val="00E5485E"/>
    <w:rsid w:val="00E5714B"/>
    <w:rsid w:val="00E57A52"/>
    <w:rsid w:val="00E57FFE"/>
    <w:rsid w:val="00E61AA3"/>
    <w:rsid w:val="00E626E1"/>
    <w:rsid w:val="00E63692"/>
    <w:rsid w:val="00E6511B"/>
    <w:rsid w:val="00E65E59"/>
    <w:rsid w:val="00E70992"/>
    <w:rsid w:val="00E71FAF"/>
    <w:rsid w:val="00E7216A"/>
    <w:rsid w:val="00E724B0"/>
    <w:rsid w:val="00E7274E"/>
    <w:rsid w:val="00E72CC9"/>
    <w:rsid w:val="00E73894"/>
    <w:rsid w:val="00E7608A"/>
    <w:rsid w:val="00E76CDD"/>
    <w:rsid w:val="00E81812"/>
    <w:rsid w:val="00E81E90"/>
    <w:rsid w:val="00E83F03"/>
    <w:rsid w:val="00E857DB"/>
    <w:rsid w:val="00E861AF"/>
    <w:rsid w:val="00E876D3"/>
    <w:rsid w:val="00E87C10"/>
    <w:rsid w:val="00E87EAA"/>
    <w:rsid w:val="00E90DE7"/>
    <w:rsid w:val="00E928A4"/>
    <w:rsid w:val="00E92999"/>
    <w:rsid w:val="00E929F9"/>
    <w:rsid w:val="00E92F1A"/>
    <w:rsid w:val="00E93067"/>
    <w:rsid w:val="00E93D4A"/>
    <w:rsid w:val="00E94906"/>
    <w:rsid w:val="00E95D9A"/>
    <w:rsid w:val="00E96668"/>
    <w:rsid w:val="00EA1E96"/>
    <w:rsid w:val="00EA25E5"/>
    <w:rsid w:val="00EA4926"/>
    <w:rsid w:val="00EA51A8"/>
    <w:rsid w:val="00EA72BE"/>
    <w:rsid w:val="00EA763E"/>
    <w:rsid w:val="00EA787A"/>
    <w:rsid w:val="00EA7C99"/>
    <w:rsid w:val="00EB242C"/>
    <w:rsid w:val="00EB2914"/>
    <w:rsid w:val="00EB37BB"/>
    <w:rsid w:val="00EB4D63"/>
    <w:rsid w:val="00EB511C"/>
    <w:rsid w:val="00EC0115"/>
    <w:rsid w:val="00EC0678"/>
    <w:rsid w:val="00EC0957"/>
    <w:rsid w:val="00EC0C69"/>
    <w:rsid w:val="00EC2FFF"/>
    <w:rsid w:val="00EC3B5D"/>
    <w:rsid w:val="00EC433A"/>
    <w:rsid w:val="00EC44D1"/>
    <w:rsid w:val="00EC53B3"/>
    <w:rsid w:val="00EC6A8D"/>
    <w:rsid w:val="00EC71AD"/>
    <w:rsid w:val="00ED071A"/>
    <w:rsid w:val="00ED194A"/>
    <w:rsid w:val="00ED449E"/>
    <w:rsid w:val="00ED49E8"/>
    <w:rsid w:val="00ED53E8"/>
    <w:rsid w:val="00ED5405"/>
    <w:rsid w:val="00ED7527"/>
    <w:rsid w:val="00EE19EA"/>
    <w:rsid w:val="00EE1C15"/>
    <w:rsid w:val="00EE2828"/>
    <w:rsid w:val="00EE2B5E"/>
    <w:rsid w:val="00EE5246"/>
    <w:rsid w:val="00EE5486"/>
    <w:rsid w:val="00EE56C2"/>
    <w:rsid w:val="00EE56F3"/>
    <w:rsid w:val="00EE664B"/>
    <w:rsid w:val="00EE6A14"/>
    <w:rsid w:val="00EF0362"/>
    <w:rsid w:val="00EF06D0"/>
    <w:rsid w:val="00EF1B83"/>
    <w:rsid w:val="00EF2613"/>
    <w:rsid w:val="00EF2C4F"/>
    <w:rsid w:val="00EF4274"/>
    <w:rsid w:val="00EF5CC4"/>
    <w:rsid w:val="00EF63A7"/>
    <w:rsid w:val="00EF68EA"/>
    <w:rsid w:val="00EF73B4"/>
    <w:rsid w:val="00F00946"/>
    <w:rsid w:val="00F00F8A"/>
    <w:rsid w:val="00F0211B"/>
    <w:rsid w:val="00F03820"/>
    <w:rsid w:val="00F03A51"/>
    <w:rsid w:val="00F03B5A"/>
    <w:rsid w:val="00F043DA"/>
    <w:rsid w:val="00F06B29"/>
    <w:rsid w:val="00F1012D"/>
    <w:rsid w:val="00F10E90"/>
    <w:rsid w:val="00F145C2"/>
    <w:rsid w:val="00F14846"/>
    <w:rsid w:val="00F16B46"/>
    <w:rsid w:val="00F1708D"/>
    <w:rsid w:val="00F175AC"/>
    <w:rsid w:val="00F21808"/>
    <w:rsid w:val="00F21EB1"/>
    <w:rsid w:val="00F245E8"/>
    <w:rsid w:val="00F25076"/>
    <w:rsid w:val="00F251DD"/>
    <w:rsid w:val="00F25DC5"/>
    <w:rsid w:val="00F268B0"/>
    <w:rsid w:val="00F26C4D"/>
    <w:rsid w:val="00F319E9"/>
    <w:rsid w:val="00F334F7"/>
    <w:rsid w:val="00F34531"/>
    <w:rsid w:val="00F34CC3"/>
    <w:rsid w:val="00F34DE0"/>
    <w:rsid w:val="00F358A6"/>
    <w:rsid w:val="00F36AD8"/>
    <w:rsid w:val="00F37725"/>
    <w:rsid w:val="00F4041A"/>
    <w:rsid w:val="00F4063A"/>
    <w:rsid w:val="00F406F9"/>
    <w:rsid w:val="00F40960"/>
    <w:rsid w:val="00F41B1F"/>
    <w:rsid w:val="00F4687E"/>
    <w:rsid w:val="00F4750B"/>
    <w:rsid w:val="00F47632"/>
    <w:rsid w:val="00F502F0"/>
    <w:rsid w:val="00F5033E"/>
    <w:rsid w:val="00F50A44"/>
    <w:rsid w:val="00F51427"/>
    <w:rsid w:val="00F520FB"/>
    <w:rsid w:val="00F53D4C"/>
    <w:rsid w:val="00F550BE"/>
    <w:rsid w:val="00F5765E"/>
    <w:rsid w:val="00F608D2"/>
    <w:rsid w:val="00F619CA"/>
    <w:rsid w:val="00F624ED"/>
    <w:rsid w:val="00F649E0"/>
    <w:rsid w:val="00F656D8"/>
    <w:rsid w:val="00F66413"/>
    <w:rsid w:val="00F7017E"/>
    <w:rsid w:val="00F75E83"/>
    <w:rsid w:val="00F7607C"/>
    <w:rsid w:val="00F7736A"/>
    <w:rsid w:val="00F832B6"/>
    <w:rsid w:val="00F833C9"/>
    <w:rsid w:val="00F83C52"/>
    <w:rsid w:val="00F844BD"/>
    <w:rsid w:val="00F85C94"/>
    <w:rsid w:val="00F85E7F"/>
    <w:rsid w:val="00F85FF9"/>
    <w:rsid w:val="00F861D8"/>
    <w:rsid w:val="00F8732A"/>
    <w:rsid w:val="00F87E3A"/>
    <w:rsid w:val="00F92342"/>
    <w:rsid w:val="00F92DF9"/>
    <w:rsid w:val="00F93ADE"/>
    <w:rsid w:val="00F953F6"/>
    <w:rsid w:val="00F965FB"/>
    <w:rsid w:val="00F96C79"/>
    <w:rsid w:val="00F96CB4"/>
    <w:rsid w:val="00F97038"/>
    <w:rsid w:val="00F97D88"/>
    <w:rsid w:val="00FA0627"/>
    <w:rsid w:val="00FA0937"/>
    <w:rsid w:val="00FA1F33"/>
    <w:rsid w:val="00FA4110"/>
    <w:rsid w:val="00FA46C7"/>
    <w:rsid w:val="00FA5998"/>
    <w:rsid w:val="00FB0349"/>
    <w:rsid w:val="00FB0591"/>
    <w:rsid w:val="00FB16DF"/>
    <w:rsid w:val="00FB1787"/>
    <w:rsid w:val="00FB321F"/>
    <w:rsid w:val="00FB34EB"/>
    <w:rsid w:val="00FB39F3"/>
    <w:rsid w:val="00FB4A73"/>
    <w:rsid w:val="00FB533C"/>
    <w:rsid w:val="00FB6C60"/>
    <w:rsid w:val="00FB70E0"/>
    <w:rsid w:val="00FB7E79"/>
    <w:rsid w:val="00FC065A"/>
    <w:rsid w:val="00FC0D35"/>
    <w:rsid w:val="00FC1D96"/>
    <w:rsid w:val="00FC273C"/>
    <w:rsid w:val="00FC30CD"/>
    <w:rsid w:val="00FC5E0F"/>
    <w:rsid w:val="00FC6306"/>
    <w:rsid w:val="00FC7D88"/>
    <w:rsid w:val="00FD09DF"/>
    <w:rsid w:val="00FD1A9C"/>
    <w:rsid w:val="00FD5693"/>
    <w:rsid w:val="00FE018E"/>
    <w:rsid w:val="00FE0A0E"/>
    <w:rsid w:val="00FE1CF1"/>
    <w:rsid w:val="00FE1FEB"/>
    <w:rsid w:val="00FE234D"/>
    <w:rsid w:val="00FE311D"/>
    <w:rsid w:val="00FE4153"/>
    <w:rsid w:val="00FE6558"/>
    <w:rsid w:val="00FE6D76"/>
    <w:rsid w:val="00FF08BB"/>
    <w:rsid w:val="00FF0B84"/>
    <w:rsid w:val="00FF0F66"/>
    <w:rsid w:val="00FF3973"/>
    <w:rsid w:val="00FF6B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gray,#969696,#009ee1"/>
    </o:shapedefaults>
    <o:shapelayout v:ext="edit">
      <o:idmap v:ext="edit" data="1"/>
    </o:shapelayout>
  </w:shapeDefaults>
  <w:doNotEmbedSmartTags/>
  <w:decimalSymbol w:val="."/>
  <w:listSeparator w:val=","/>
  <w14:docId w14:val="06CF55D7"/>
  <w15:docId w15:val="{7F50E16B-10F2-4B37-808D-F2FFA4C2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0F42"/>
    <w:pPr>
      <w:widowControl w:val="0"/>
    </w:pPr>
    <w:rPr>
      <w:rFonts w:eastAsia="PMingLiU"/>
      <w:kern w:val="2"/>
      <w:sz w:val="24"/>
      <w:szCs w:val="24"/>
      <w:lang w:eastAsia="zh-TW"/>
    </w:rPr>
  </w:style>
  <w:style w:type="paragraph" w:styleId="1">
    <w:name w:val="heading 1"/>
    <w:basedOn w:val="a"/>
    <w:next w:val="a"/>
    <w:link w:val="10"/>
    <w:autoRedefine/>
    <w:uiPriority w:val="9"/>
    <w:qFormat/>
    <w:locked/>
    <w:rsid w:val="00C019D8"/>
    <w:pPr>
      <w:keepNext/>
      <w:keepLines/>
      <w:spacing w:beforeLines="100"/>
      <w:ind w:leftChars="1257" w:left="3017"/>
      <w:jc w:val="both"/>
      <w:outlineLvl w:val="0"/>
    </w:pPr>
    <w:rPr>
      <w:rFonts w:ascii="Arial" w:eastAsia="楷体_GB2312" w:hAnsi="Arial"/>
      <w:b/>
      <w:bCs/>
      <w:kern w:val="44"/>
      <w:sz w:val="32"/>
      <w:szCs w:val="44"/>
    </w:rPr>
  </w:style>
  <w:style w:type="paragraph" w:styleId="2">
    <w:name w:val="heading 2"/>
    <w:basedOn w:val="a"/>
    <w:next w:val="a"/>
    <w:link w:val="20"/>
    <w:autoRedefine/>
    <w:uiPriority w:val="9"/>
    <w:unhideWhenUsed/>
    <w:qFormat/>
    <w:locked/>
    <w:rsid w:val="00C13789"/>
    <w:pPr>
      <w:keepNext/>
      <w:keepLines/>
      <w:spacing w:beforeLines="100"/>
      <w:ind w:leftChars="1257" w:left="3017"/>
      <w:jc w:val="both"/>
      <w:outlineLvl w:val="1"/>
    </w:pPr>
    <w:rPr>
      <w:rFonts w:ascii="Arial" w:eastAsia="楷体_GB2312"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B5A9C"/>
    <w:pPr>
      <w:tabs>
        <w:tab w:val="center" w:pos="4153"/>
        <w:tab w:val="right" w:pos="8306"/>
      </w:tabs>
      <w:snapToGrid w:val="0"/>
      <w:jc w:val="center"/>
    </w:pPr>
    <w:rPr>
      <w:sz w:val="18"/>
      <w:szCs w:val="18"/>
    </w:rPr>
  </w:style>
  <w:style w:type="paragraph" w:styleId="a5">
    <w:name w:val="footer"/>
    <w:basedOn w:val="a"/>
    <w:link w:val="a6"/>
    <w:rsid w:val="00D508A6"/>
    <w:pPr>
      <w:tabs>
        <w:tab w:val="center" w:pos="4153"/>
        <w:tab w:val="right" w:pos="8306"/>
      </w:tabs>
      <w:snapToGrid w:val="0"/>
    </w:pPr>
    <w:rPr>
      <w:sz w:val="18"/>
      <w:szCs w:val="18"/>
    </w:rPr>
  </w:style>
  <w:style w:type="table" w:styleId="a7">
    <w:name w:val="Table Grid"/>
    <w:basedOn w:val="a1"/>
    <w:rsid w:val="00D508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rsid w:val="00D30D01"/>
    <w:rPr>
      <w:sz w:val="18"/>
      <w:szCs w:val="18"/>
    </w:rPr>
  </w:style>
  <w:style w:type="paragraph" w:customStyle="1" w:styleId="11">
    <w:name w:val="列出段落1"/>
    <w:basedOn w:val="a"/>
    <w:rsid w:val="00D82D40"/>
    <w:pPr>
      <w:ind w:firstLineChars="200" w:firstLine="420"/>
      <w:jc w:val="both"/>
    </w:pPr>
    <w:rPr>
      <w:rFonts w:ascii="Calibri" w:eastAsia="宋体" w:hAnsi="Calibri"/>
      <w:sz w:val="21"/>
      <w:szCs w:val="22"/>
      <w:lang w:eastAsia="zh-CN"/>
    </w:rPr>
  </w:style>
  <w:style w:type="character" w:customStyle="1" w:styleId="a6">
    <w:name w:val="页脚 字符"/>
    <w:link w:val="a5"/>
    <w:rsid w:val="00E22A33"/>
    <w:rPr>
      <w:rFonts w:eastAsia="PMingLiU"/>
      <w:kern w:val="2"/>
      <w:sz w:val="18"/>
      <w:szCs w:val="18"/>
      <w:lang w:eastAsia="zh-TW"/>
    </w:rPr>
  </w:style>
  <w:style w:type="character" w:customStyle="1" w:styleId="a4">
    <w:name w:val="页眉 字符"/>
    <w:link w:val="a3"/>
    <w:rsid w:val="00E22A33"/>
    <w:rPr>
      <w:rFonts w:eastAsia="PMingLiU"/>
      <w:kern w:val="2"/>
      <w:sz w:val="18"/>
      <w:szCs w:val="18"/>
      <w:lang w:eastAsia="zh-TW"/>
    </w:rPr>
  </w:style>
  <w:style w:type="character" w:customStyle="1" w:styleId="ArialNarrowRGB214297">
    <w:name w:val="样式 (符号) Arial Narrow 小五 自定义颜(RGB(214297)) 下划线"/>
    <w:rsid w:val="005B23A7"/>
    <w:rPr>
      <w:color w:val="152A61"/>
      <w:kern w:val="0"/>
      <w:sz w:val="18"/>
      <w:szCs w:val="18"/>
      <w:u w:val="none"/>
    </w:rPr>
  </w:style>
  <w:style w:type="character" w:customStyle="1" w:styleId="aa">
    <w:name w:val="评级"/>
    <w:rsid w:val="00847C10"/>
    <w:rPr>
      <w:rFonts w:ascii="黑体" w:eastAsia="黑体" w:hAnsi="黑体" w:cs="黑体"/>
      <w:b/>
      <w:bCs/>
      <w:color w:val="0B2A61"/>
    </w:rPr>
  </w:style>
  <w:style w:type="character" w:customStyle="1" w:styleId="ab">
    <w:name w:val="正文开始说明"/>
    <w:rsid w:val="00981E15"/>
    <w:rPr>
      <w:rFonts w:ascii="黑体" w:eastAsia="黑体" w:hAnsi="黑体" w:cs="黑体"/>
      <w:b/>
      <w:bCs/>
      <w:color w:val="FF0000"/>
      <w:sz w:val="40"/>
      <w:szCs w:val="40"/>
    </w:rPr>
  </w:style>
  <w:style w:type="paragraph" w:styleId="TOC2">
    <w:name w:val="toc 2"/>
    <w:basedOn w:val="a"/>
    <w:next w:val="a"/>
    <w:autoRedefine/>
    <w:uiPriority w:val="39"/>
    <w:rsid w:val="00723092"/>
    <w:pPr>
      <w:tabs>
        <w:tab w:val="right" w:leader="dot" w:pos="10621"/>
      </w:tabs>
      <w:ind w:leftChars="1200" w:left="1200"/>
    </w:pPr>
    <w:rPr>
      <w:rFonts w:ascii="Arial" w:eastAsia="楷体_GB2312" w:hAnsi="Arial" w:cs="Calibri"/>
      <w:smallCaps/>
      <w:noProof/>
      <w:sz w:val="21"/>
      <w:szCs w:val="20"/>
    </w:rPr>
  </w:style>
  <w:style w:type="character" w:styleId="ac">
    <w:name w:val="Hyperlink"/>
    <w:uiPriority w:val="99"/>
    <w:unhideWhenUsed/>
    <w:rsid w:val="00981E15"/>
    <w:rPr>
      <w:color w:val="0000FF"/>
      <w:u w:val="single"/>
    </w:rPr>
  </w:style>
  <w:style w:type="paragraph" w:styleId="TOC1">
    <w:name w:val="toc 1"/>
    <w:basedOn w:val="a"/>
    <w:next w:val="a"/>
    <w:autoRedefine/>
    <w:uiPriority w:val="39"/>
    <w:unhideWhenUsed/>
    <w:rsid w:val="00723092"/>
    <w:pPr>
      <w:ind w:leftChars="1000" w:left="1000"/>
    </w:pPr>
    <w:rPr>
      <w:rFonts w:ascii="Arial" w:eastAsia="楷体_GB2312" w:hAnsi="Arial" w:cs="Calibri"/>
      <w:bCs/>
      <w:caps/>
      <w:sz w:val="21"/>
      <w:szCs w:val="20"/>
    </w:rPr>
  </w:style>
  <w:style w:type="paragraph" w:styleId="ad">
    <w:name w:val="table of figures"/>
    <w:basedOn w:val="a"/>
    <w:next w:val="a"/>
    <w:uiPriority w:val="99"/>
    <w:unhideWhenUsed/>
    <w:rsid w:val="00981E15"/>
    <w:pPr>
      <w:ind w:leftChars="1284" w:left="1284"/>
      <w:jc w:val="both"/>
    </w:pPr>
    <w:rPr>
      <w:rFonts w:ascii="Arial" w:eastAsia="楷体_GB2312" w:hAnsi="Arial"/>
      <w:sz w:val="21"/>
      <w:lang w:eastAsia="zh-CN"/>
    </w:rPr>
  </w:style>
  <w:style w:type="character" w:customStyle="1" w:styleId="10">
    <w:name w:val="标题 1 字符"/>
    <w:link w:val="1"/>
    <w:uiPriority w:val="9"/>
    <w:rsid w:val="00C019D8"/>
    <w:rPr>
      <w:rFonts w:ascii="Arial" w:eastAsia="楷体_GB2312" w:hAnsi="Arial" w:cs="Arial"/>
      <w:b/>
      <w:bCs/>
      <w:kern w:val="44"/>
      <w:sz w:val="32"/>
      <w:szCs w:val="44"/>
    </w:rPr>
  </w:style>
  <w:style w:type="character" w:customStyle="1" w:styleId="20">
    <w:name w:val="标题 2 字符"/>
    <w:link w:val="2"/>
    <w:uiPriority w:val="9"/>
    <w:rsid w:val="00C13789"/>
    <w:rPr>
      <w:rFonts w:ascii="Arial" w:eastAsia="楷体_GB2312" w:hAnsi="Arial"/>
      <w:b/>
      <w:bCs/>
      <w:kern w:val="2"/>
      <w:sz w:val="24"/>
      <w:szCs w:val="32"/>
    </w:rPr>
  </w:style>
  <w:style w:type="paragraph" w:customStyle="1" w:styleId="ae">
    <w:name w:val="正文格式"/>
    <w:basedOn w:val="a"/>
    <w:link w:val="Char"/>
    <w:qFormat/>
    <w:rsid w:val="006048E8"/>
    <w:pPr>
      <w:autoSpaceDE w:val="0"/>
      <w:autoSpaceDN w:val="0"/>
      <w:adjustRightInd w:val="0"/>
      <w:spacing w:after="100"/>
      <w:ind w:leftChars="1257" w:left="1257"/>
    </w:pPr>
    <w:rPr>
      <w:rFonts w:ascii="Arial" w:eastAsia="楷体_GB2312" w:hAnsi="Arial"/>
      <w:kern w:val="0"/>
      <w:sz w:val="21"/>
      <w:szCs w:val="21"/>
    </w:rPr>
  </w:style>
  <w:style w:type="character" w:customStyle="1" w:styleId="Char">
    <w:name w:val="正文格式 Char"/>
    <w:link w:val="ae"/>
    <w:rsid w:val="006048E8"/>
    <w:rPr>
      <w:rFonts w:ascii="Arial" w:eastAsia="楷体_GB2312" w:hAnsi="Arial"/>
      <w:sz w:val="21"/>
      <w:szCs w:val="21"/>
    </w:rPr>
  </w:style>
  <w:style w:type="paragraph" w:customStyle="1" w:styleId="af">
    <w:name w:val="表题"/>
    <w:basedOn w:val="a"/>
    <w:link w:val="Char0"/>
    <w:autoRedefine/>
    <w:qFormat/>
    <w:rsid w:val="00E626E1"/>
    <w:pPr>
      <w:autoSpaceDE w:val="0"/>
      <w:autoSpaceDN w:val="0"/>
      <w:adjustRightInd w:val="0"/>
      <w:jc w:val="both"/>
    </w:pPr>
    <w:rPr>
      <w:rFonts w:ascii="Arial" w:eastAsia="楷体_GB2312" w:hAnsi="Arial"/>
      <w:b/>
      <w:color w:val="0F243E"/>
      <w:kern w:val="0"/>
      <w:sz w:val="21"/>
      <w:szCs w:val="21"/>
    </w:rPr>
  </w:style>
  <w:style w:type="character" w:customStyle="1" w:styleId="Char0">
    <w:name w:val="表题 Char"/>
    <w:link w:val="af"/>
    <w:rsid w:val="00E626E1"/>
    <w:rPr>
      <w:rFonts w:ascii="Arial" w:eastAsia="楷体_GB2312" w:hAnsi="Arial"/>
      <w:b/>
      <w:color w:val="0F243E"/>
      <w:sz w:val="21"/>
      <w:szCs w:val="21"/>
      <w:lang w:eastAsia="zh-TW"/>
    </w:rPr>
  </w:style>
  <w:style w:type="paragraph" w:customStyle="1" w:styleId="af0">
    <w:name w:val="图题"/>
    <w:basedOn w:val="a"/>
    <w:link w:val="Char1"/>
    <w:qFormat/>
    <w:rsid w:val="00597933"/>
    <w:pPr>
      <w:autoSpaceDE w:val="0"/>
      <w:autoSpaceDN w:val="0"/>
      <w:adjustRightInd w:val="0"/>
    </w:pPr>
    <w:rPr>
      <w:rFonts w:ascii="Arial" w:eastAsia="楷体_GB2312" w:hAnsi="Arial"/>
      <w:b/>
      <w:color w:val="0F243E"/>
      <w:kern w:val="0"/>
      <w:sz w:val="21"/>
      <w:szCs w:val="21"/>
    </w:rPr>
  </w:style>
  <w:style w:type="character" w:customStyle="1" w:styleId="Char1">
    <w:name w:val="图题 Char"/>
    <w:link w:val="af0"/>
    <w:rsid w:val="00597933"/>
    <w:rPr>
      <w:rFonts w:ascii="Arial" w:eastAsia="楷体_GB2312" w:hAnsi="Arial"/>
      <w:b/>
      <w:color w:val="0F243E"/>
      <w:sz w:val="21"/>
      <w:szCs w:val="21"/>
      <w:lang w:eastAsia="zh-TW"/>
    </w:rPr>
  </w:style>
  <w:style w:type="character" w:styleId="af1">
    <w:name w:val="page number"/>
    <w:basedOn w:val="a0"/>
    <w:rsid w:val="00243ECF"/>
  </w:style>
  <w:style w:type="character" w:customStyle="1" w:styleId="12">
    <w:name w:val="栏目分类1"/>
    <w:rsid w:val="009377AE"/>
    <w:rPr>
      <w:rFonts w:ascii="楷体_GB2312" w:eastAsia="楷体_GB2312" w:hAnsi="楷体_GB2312" w:cs="楷体_GB2312"/>
      <w:b/>
      <w:bCs/>
      <w:color w:val="0B2A61"/>
      <w:spacing w:val="20"/>
      <w:position w:val="6"/>
      <w:sz w:val="28"/>
      <w:szCs w:val="28"/>
    </w:rPr>
  </w:style>
  <w:style w:type="paragraph" w:customStyle="1" w:styleId="af2">
    <w:name w:val="内文"/>
    <w:basedOn w:val="a"/>
    <w:rsid w:val="009377AE"/>
    <w:pPr>
      <w:spacing w:beforeLines="20" w:afterLines="50" w:line="280" w:lineRule="exact"/>
      <w:ind w:firstLineChars="200" w:firstLine="404"/>
      <w:jc w:val="both"/>
    </w:pPr>
    <w:rPr>
      <w:rFonts w:ascii="Arial" w:eastAsia="楷体_GB2312" w:hAnsi="Arial" w:cs="Arial"/>
      <w:color w:val="000000"/>
      <w:spacing w:val="-4"/>
      <w:sz w:val="21"/>
      <w:lang w:eastAsia="zh-CN"/>
    </w:rPr>
  </w:style>
  <w:style w:type="paragraph" w:customStyle="1" w:styleId="af3">
    <w:name w:val="首页正文"/>
    <w:basedOn w:val="a"/>
    <w:qFormat/>
    <w:rsid w:val="001C6673"/>
    <w:pPr>
      <w:spacing w:line="240" w:lineRule="atLeast"/>
      <w:ind w:leftChars="200" w:left="200"/>
    </w:pPr>
    <w:rPr>
      <w:rFonts w:ascii="Arial" w:eastAsia="楷体_GB2312" w:hAnsi="Arial" w:cs="Arial"/>
      <w:sz w:val="21"/>
      <w:szCs w:val="21"/>
      <w:lang w:eastAsia="zh-CN"/>
    </w:rPr>
  </w:style>
  <w:style w:type="paragraph" w:styleId="TOC3">
    <w:name w:val="toc 3"/>
    <w:basedOn w:val="a"/>
    <w:next w:val="a"/>
    <w:autoRedefine/>
    <w:rsid w:val="00723092"/>
    <w:pPr>
      <w:ind w:leftChars="1400" w:left="1400"/>
    </w:pPr>
    <w:rPr>
      <w:rFonts w:ascii="Arial" w:eastAsia="楷体_GB2312" w:hAnsi="Arial" w:cs="Calibri"/>
      <w:iCs/>
      <w:sz w:val="21"/>
      <w:szCs w:val="20"/>
    </w:rPr>
  </w:style>
  <w:style w:type="paragraph" w:styleId="TOC4">
    <w:name w:val="toc 4"/>
    <w:basedOn w:val="a"/>
    <w:next w:val="a"/>
    <w:autoRedefine/>
    <w:rsid w:val="00723092"/>
    <w:pPr>
      <w:ind w:left="7258"/>
    </w:pPr>
    <w:rPr>
      <w:rFonts w:ascii="Arial" w:eastAsia="楷体_GB2312" w:hAnsi="Arial" w:cs="Calibri"/>
      <w:szCs w:val="18"/>
    </w:rPr>
  </w:style>
  <w:style w:type="paragraph" w:styleId="TOC5">
    <w:name w:val="toc 5"/>
    <w:basedOn w:val="a"/>
    <w:next w:val="a"/>
    <w:autoRedefine/>
    <w:rsid w:val="00723092"/>
    <w:pPr>
      <w:ind w:left="7258"/>
    </w:pPr>
    <w:rPr>
      <w:rFonts w:ascii="Arial" w:eastAsia="楷体_GB2312" w:hAnsi="Arial" w:cs="Calibri"/>
      <w:szCs w:val="18"/>
    </w:rPr>
  </w:style>
  <w:style w:type="paragraph" w:styleId="TOC6">
    <w:name w:val="toc 6"/>
    <w:basedOn w:val="a"/>
    <w:next w:val="a"/>
    <w:autoRedefine/>
    <w:rsid w:val="000D33F4"/>
    <w:pPr>
      <w:ind w:left="7258"/>
    </w:pPr>
    <w:rPr>
      <w:rFonts w:ascii="Arial" w:eastAsia="楷体_GB2312" w:hAnsi="Arial" w:cs="Calibri"/>
      <w:szCs w:val="18"/>
    </w:rPr>
  </w:style>
  <w:style w:type="paragraph" w:styleId="TOC7">
    <w:name w:val="toc 7"/>
    <w:basedOn w:val="a"/>
    <w:next w:val="a"/>
    <w:autoRedefine/>
    <w:rsid w:val="000D33F4"/>
    <w:pPr>
      <w:ind w:left="7258"/>
    </w:pPr>
    <w:rPr>
      <w:rFonts w:ascii="Arial" w:eastAsia="楷体_GB2312" w:hAnsi="Arial" w:cs="Calibri"/>
      <w:szCs w:val="18"/>
    </w:rPr>
  </w:style>
  <w:style w:type="paragraph" w:styleId="TOC8">
    <w:name w:val="toc 8"/>
    <w:basedOn w:val="a"/>
    <w:next w:val="a"/>
    <w:autoRedefine/>
    <w:rsid w:val="000D33F4"/>
    <w:pPr>
      <w:ind w:left="7258"/>
    </w:pPr>
    <w:rPr>
      <w:rFonts w:ascii="Arial" w:eastAsia="楷体_GB2312" w:hAnsi="Arial" w:cs="Calibri"/>
      <w:szCs w:val="18"/>
    </w:rPr>
  </w:style>
  <w:style w:type="paragraph" w:styleId="TOC9">
    <w:name w:val="toc 9"/>
    <w:basedOn w:val="a"/>
    <w:next w:val="a"/>
    <w:autoRedefine/>
    <w:rsid w:val="000D33F4"/>
    <w:pPr>
      <w:ind w:left="7258"/>
    </w:pPr>
    <w:rPr>
      <w:rFonts w:ascii="Arial" w:eastAsia="楷体_GB2312" w:hAnsi="Arial" w:cs="Calibri"/>
      <w:szCs w:val="18"/>
    </w:rPr>
  </w:style>
  <w:style w:type="paragraph" w:styleId="TOC">
    <w:name w:val="TOC Heading"/>
    <w:basedOn w:val="1"/>
    <w:next w:val="a"/>
    <w:uiPriority w:val="39"/>
    <w:semiHidden/>
    <w:unhideWhenUsed/>
    <w:qFormat/>
    <w:rsid w:val="00E54066"/>
    <w:pPr>
      <w:widowControl/>
      <w:spacing w:beforeLines="0" w:line="276" w:lineRule="auto"/>
      <w:ind w:leftChars="0" w:left="0"/>
      <w:jc w:val="left"/>
      <w:outlineLvl w:val="9"/>
    </w:pPr>
    <w:rPr>
      <w:rFonts w:ascii="Cambria" w:eastAsia="宋体" w:hAnsi="Cambria"/>
      <w:color w:val="365F91"/>
      <w:kern w:val="0"/>
      <w:sz w:val="28"/>
      <w:szCs w:val="28"/>
    </w:rPr>
  </w:style>
  <w:style w:type="character" w:customStyle="1" w:styleId="Arial">
    <w:name w:val="样式 (符号) Arial 非加粗 深蓝 下划线"/>
    <w:rsid w:val="005B7299"/>
    <w:rPr>
      <w:rFonts w:eastAsia="楷体_GB2312"/>
      <w:b/>
      <w:color w:val="000080"/>
      <w:spacing w:val="1"/>
      <w:kern w:val="0"/>
      <w:u w:val="single"/>
    </w:rPr>
  </w:style>
  <w:style w:type="paragraph" w:customStyle="1" w:styleId="af4">
    <w:name w:val="相关研究报告样式"/>
    <w:basedOn w:val="a"/>
    <w:rsid w:val="005B7299"/>
    <w:pPr>
      <w:spacing w:line="360" w:lineRule="exact"/>
      <w:jc w:val="both"/>
    </w:pPr>
    <w:rPr>
      <w:rFonts w:ascii="Arial" w:eastAsia="楷体_GB2312" w:hAnsi="Arial" w:cs="宋体"/>
      <w:color w:val="003366"/>
      <w:sz w:val="18"/>
      <w:szCs w:val="18"/>
      <w:lang w:eastAsia="zh-CN"/>
    </w:rPr>
  </w:style>
  <w:style w:type="character" w:customStyle="1" w:styleId="af5">
    <w:name w:val="研究小组简介"/>
    <w:rsid w:val="005B7299"/>
    <w:rPr>
      <w:rFonts w:ascii="Arial" w:eastAsia="楷体_GB2312" w:hAnsi="Arial"/>
      <w:color w:val="003366"/>
      <w:sz w:val="18"/>
    </w:rPr>
  </w:style>
  <w:style w:type="character" w:customStyle="1" w:styleId="a9">
    <w:name w:val="批注框文本 字符"/>
    <w:link w:val="a8"/>
    <w:uiPriority w:val="99"/>
    <w:semiHidden/>
    <w:rsid w:val="005B7299"/>
    <w:rPr>
      <w:rFonts w:eastAsia="PMingLiU"/>
      <w:kern w:val="2"/>
      <w:sz w:val="18"/>
      <w:szCs w:val="18"/>
      <w:lang w:eastAsia="zh-TW"/>
    </w:rPr>
  </w:style>
  <w:style w:type="paragraph" w:styleId="af6">
    <w:name w:val="List Paragraph"/>
    <w:basedOn w:val="a"/>
    <w:uiPriority w:val="34"/>
    <w:qFormat/>
    <w:rsid w:val="005B7299"/>
    <w:pPr>
      <w:ind w:firstLineChars="200" w:firstLine="420"/>
      <w:jc w:val="both"/>
    </w:pPr>
    <w:rPr>
      <w:rFonts w:eastAsia="宋体"/>
      <w:sz w:val="21"/>
      <w:lang w:eastAsia="zh-CN"/>
    </w:rPr>
  </w:style>
  <w:style w:type="character" w:styleId="af7">
    <w:name w:val="Strong"/>
    <w:uiPriority w:val="22"/>
    <w:qFormat/>
    <w:locked/>
    <w:rsid w:val="005B7299"/>
    <w:rPr>
      <w:b/>
      <w:bCs/>
    </w:rPr>
  </w:style>
  <w:style w:type="character" w:customStyle="1" w:styleId="13">
    <w:name w:val="访问过的超链接1"/>
    <w:uiPriority w:val="99"/>
    <w:unhideWhenUsed/>
    <w:rsid w:val="005B7299"/>
    <w:rPr>
      <w:color w:val="800080"/>
      <w:u w:val="single"/>
    </w:rPr>
  </w:style>
  <w:style w:type="paragraph" w:styleId="af8">
    <w:name w:val="No Spacing"/>
    <w:uiPriority w:val="1"/>
    <w:qFormat/>
    <w:rsid w:val="005B7299"/>
    <w:pPr>
      <w:widowControl w:val="0"/>
      <w:jc w:val="both"/>
    </w:pPr>
    <w:rPr>
      <w:kern w:val="2"/>
      <w:sz w:val="21"/>
      <w:szCs w:val="24"/>
    </w:rPr>
  </w:style>
  <w:style w:type="character" w:styleId="af9">
    <w:name w:val="Intense Emphasis"/>
    <w:basedOn w:val="a0"/>
    <w:uiPriority w:val="21"/>
    <w:qFormat/>
    <w:rsid w:val="00AB6F63"/>
    <w:rPr>
      <w:b/>
      <w:bCs/>
      <w:i/>
      <w:iCs/>
      <w:color w:val="4F81BD" w:themeColor="accent1"/>
    </w:rPr>
  </w:style>
  <w:style w:type="character" w:styleId="afa">
    <w:name w:val="Subtle Emphasis"/>
    <w:basedOn w:val="a0"/>
    <w:uiPriority w:val="19"/>
    <w:qFormat/>
    <w:rsid w:val="00AB6F63"/>
    <w:rPr>
      <w:i/>
      <w:iCs/>
      <w:color w:val="808080" w:themeColor="text1" w:themeTint="7F"/>
    </w:rPr>
  </w:style>
  <w:style w:type="character" w:styleId="afb">
    <w:name w:val="Book Title"/>
    <w:basedOn w:val="a0"/>
    <w:uiPriority w:val="33"/>
    <w:qFormat/>
    <w:rsid w:val="00AB6F63"/>
    <w:rPr>
      <w:b/>
      <w:bCs/>
      <w:smallCaps/>
      <w:spacing w:val="5"/>
    </w:rPr>
  </w:style>
  <w:style w:type="paragraph" w:styleId="afc">
    <w:name w:val="Document Map"/>
    <w:basedOn w:val="a"/>
    <w:link w:val="afd"/>
    <w:rsid w:val="005000C2"/>
    <w:rPr>
      <w:rFonts w:ascii="宋体" w:eastAsia="宋体"/>
      <w:sz w:val="18"/>
      <w:szCs w:val="18"/>
    </w:rPr>
  </w:style>
  <w:style w:type="character" w:customStyle="1" w:styleId="afd">
    <w:name w:val="文档结构图 字符"/>
    <w:basedOn w:val="a0"/>
    <w:link w:val="afc"/>
    <w:rsid w:val="005000C2"/>
    <w:rPr>
      <w:rFonts w:ascii="宋体"/>
      <w:kern w:val="2"/>
      <w:sz w:val="18"/>
      <w:szCs w:val="18"/>
      <w:lang w:eastAsia="zh-TW"/>
    </w:rPr>
  </w:style>
  <w:style w:type="paragraph" w:customStyle="1" w:styleId="afe">
    <w:name w:val="研究小组分析师名称"/>
    <w:basedOn w:val="a"/>
    <w:qFormat/>
    <w:rsid w:val="009553B5"/>
    <w:pPr>
      <w:jc w:val="distribute"/>
    </w:pPr>
    <w:rPr>
      <w:rFonts w:ascii="Arial" w:eastAsia="楷体_GB2312" w:hAnsi="Arial"/>
      <w:bCs/>
      <w:color w:val="1F497D" w:themeColor="text2"/>
      <w:spacing w:val="-4"/>
      <w:sz w:val="18"/>
      <w:szCs w:val="18"/>
      <w:lang w:eastAsia="zh-CN"/>
    </w:rPr>
  </w:style>
  <w:style w:type="paragraph" w:customStyle="1" w:styleId="aff">
    <w:name w:val="分析师无牌照提示"/>
    <w:basedOn w:val="a"/>
    <w:qFormat/>
    <w:rsid w:val="00170B96"/>
    <w:pPr>
      <w:spacing w:line="200" w:lineRule="exact"/>
    </w:pPr>
    <w:rPr>
      <w:rFonts w:ascii="Arial" w:eastAsia="楷体_GB2312" w:hAnsi="Arial"/>
      <w:noProof/>
      <w:color w:val="1F497D" w:themeColor="text2"/>
      <w:kern w:val="0"/>
      <w:sz w:val="13"/>
      <w:szCs w:val="18"/>
      <w:lang w:eastAsia="zh-CN"/>
    </w:rPr>
  </w:style>
  <w:style w:type="paragraph" w:customStyle="1" w:styleId="ArialGB2312212">
    <w:name w:val="样式 (西文) Arial (中文) 楷体_GB2312 小五 文字 2 行距: 最小值 12 磅"/>
    <w:basedOn w:val="a"/>
    <w:rsid w:val="00847F61"/>
    <w:pPr>
      <w:wordWrap w:val="0"/>
      <w:spacing w:line="240" w:lineRule="atLeast"/>
    </w:pPr>
    <w:rPr>
      <w:rFonts w:ascii="Arial" w:eastAsia="楷体_GB2312" w:hAnsi="Arial" w:cs="宋体"/>
      <w:color w:val="1F497D" w:themeColor="text2"/>
      <w:kern w:val="0"/>
      <w:sz w:val="18"/>
      <w:szCs w:val="20"/>
    </w:rPr>
  </w:style>
  <w:style w:type="paragraph" w:customStyle="1" w:styleId="aff0">
    <w:name w:val="分析师信息执业证号"/>
    <w:basedOn w:val="a"/>
    <w:qFormat/>
    <w:rsid w:val="00F41B1F"/>
    <w:pPr>
      <w:tabs>
        <w:tab w:val="center" w:pos="5051"/>
      </w:tabs>
      <w:spacing w:line="240" w:lineRule="atLeast"/>
    </w:pPr>
    <w:rPr>
      <w:rFonts w:ascii="Arial" w:eastAsia="楷体_GB2312" w:hAnsi="Arial"/>
      <w:color w:val="1F497D" w:themeColor="text2"/>
      <w:kern w:val="0"/>
      <w:sz w:val="15"/>
      <w:szCs w:val="18"/>
      <w:lang w:eastAsia="zh-CN"/>
    </w:rPr>
  </w:style>
  <w:style w:type="paragraph" w:styleId="aff1">
    <w:name w:val="caption"/>
    <w:basedOn w:val="a"/>
    <w:next w:val="a"/>
    <w:unhideWhenUsed/>
    <w:qFormat/>
    <w:locked/>
    <w:rsid w:val="00823677"/>
    <w:rPr>
      <w:rFonts w:asciiTheme="majorHAnsi" w:eastAsia="黑体" w:hAnsiTheme="majorHAnsi" w:cstheme="majorBidi"/>
      <w:sz w:val="20"/>
      <w:szCs w:val="20"/>
    </w:rPr>
  </w:style>
  <w:style w:type="paragraph" w:customStyle="1" w:styleId="aff2">
    <w:name w:val="图表数据来源"/>
    <w:qFormat/>
    <w:rsid w:val="00597933"/>
    <w:rPr>
      <w:rFonts w:ascii="Arial" w:eastAsia="楷体_GB2312" w:hAnsi="Arial"/>
      <w:color w:val="0F243E"/>
      <w:sz w:val="18"/>
      <w:szCs w:val="21"/>
    </w:rPr>
  </w:style>
  <w:style w:type="paragraph" w:customStyle="1" w:styleId="aff3">
    <w:name w:val="尾页评级说明"/>
    <w:qFormat/>
    <w:rsid w:val="00317208"/>
    <w:pPr>
      <w:jc w:val="both"/>
    </w:pPr>
    <w:rPr>
      <w:rFonts w:ascii="Arial" w:eastAsia="楷体_GB2312" w:hAnsi="Arial"/>
      <w:bCs/>
      <w:color w:val="1F497D" w:themeColor="text2"/>
      <w:spacing w:val="-4"/>
      <w:kern w:val="2"/>
      <w:sz w:val="18"/>
      <w:szCs w:val="18"/>
    </w:rPr>
  </w:style>
  <w:style w:type="paragraph" w:customStyle="1" w:styleId="aff4">
    <w:name w:val="联系我们分部名称"/>
    <w:basedOn w:val="a"/>
    <w:qFormat/>
    <w:rsid w:val="009A3785"/>
    <w:rPr>
      <w:rFonts w:ascii="Arial" w:eastAsia="楷体_GB2312" w:hAnsi="Arial"/>
      <w:color w:val="1F497D" w:themeColor="text2"/>
      <w:lang w:eastAsia="zh-CN"/>
    </w:rPr>
  </w:style>
  <w:style w:type="paragraph" w:customStyle="1" w:styleId="AMDisplayEquation">
    <w:name w:val="AMDisplayEquation"/>
    <w:basedOn w:val="a"/>
    <w:next w:val="a"/>
    <w:link w:val="AMDisplayEquation0"/>
    <w:rsid w:val="001D0205"/>
    <w:pPr>
      <w:tabs>
        <w:tab w:val="center" w:pos="6840"/>
        <w:tab w:val="right" w:pos="10640"/>
      </w:tabs>
      <w:autoSpaceDE w:val="0"/>
      <w:autoSpaceDN w:val="0"/>
      <w:adjustRightInd w:val="0"/>
      <w:spacing w:after="100"/>
      <w:ind w:leftChars="1257" w:left="3017" w:firstLineChars="1" w:firstLine="2"/>
      <w:jc w:val="both"/>
    </w:pPr>
    <w:rPr>
      <w:rFonts w:ascii="Arial" w:eastAsia="楷体_GB2312" w:hAnsi="Arial"/>
      <w:kern w:val="0"/>
      <w:sz w:val="21"/>
      <w:szCs w:val="21"/>
      <w:lang w:eastAsia="zh-CN"/>
    </w:rPr>
  </w:style>
  <w:style w:type="character" w:customStyle="1" w:styleId="AMDisplayEquation0">
    <w:name w:val="AMDisplayEquation 字符"/>
    <w:basedOn w:val="a0"/>
    <w:link w:val="AMDisplayEquation"/>
    <w:rsid w:val="001D0205"/>
    <w:rPr>
      <w:rFonts w:ascii="Arial" w:eastAsia="楷体_GB2312" w:hAnsi="Arial"/>
      <w:sz w:val="21"/>
      <w:szCs w:val="21"/>
    </w:rPr>
  </w:style>
  <w:style w:type="character" w:customStyle="1" w:styleId="AMEquationSection">
    <w:name w:val="AMEquationSection"/>
    <w:basedOn w:val="a0"/>
    <w:rsid w:val="001E5939"/>
    <w:rPr>
      <w:rFonts w:eastAsiaTheme="minorEastAsia"/>
      <w:vanish/>
      <w:color w:val="FF0000"/>
      <w:sz w:val="13"/>
      <w:szCs w:val="13"/>
      <w:lang w:eastAsia="zh-CN"/>
    </w:rPr>
  </w:style>
  <w:style w:type="paragraph" w:styleId="aff5">
    <w:name w:val="footnote text"/>
    <w:basedOn w:val="a"/>
    <w:link w:val="aff6"/>
    <w:semiHidden/>
    <w:unhideWhenUsed/>
    <w:rsid w:val="007252B0"/>
    <w:pPr>
      <w:snapToGrid w:val="0"/>
    </w:pPr>
    <w:rPr>
      <w:sz w:val="18"/>
      <w:szCs w:val="18"/>
    </w:rPr>
  </w:style>
  <w:style w:type="character" w:customStyle="1" w:styleId="aff6">
    <w:name w:val="脚注文本 字符"/>
    <w:basedOn w:val="a0"/>
    <w:link w:val="aff5"/>
    <w:semiHidden/>
    <w:rsid w:val="007252B0"/>
    <w:rPr>
      <w:rFonts w:eastAsia="PMingLiU"/>
      <w:kern w:val="2"/>
      <w:sz w:val="18"/>
      <w:szCs w:val="18"/>
      <w:lang w:eastAsia="zh-TW"/>
    </w:rPr>
  </w:style>
  <w:style w:type="character" w:styleId="aff7">
    <w:name w:val="footnote reference"/>
    <w:basedOn w:val="a0"/>
    <w:semiHidden/>
    <w:unhideWhenUsed/>
    <w:rsid w:val="007252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3912065">
      <w:bodyDiv w:val="1"/>
      <w:marLeft w:val="0"/>
      <w:marRight w:val="0"/>
      <w:marTop w:val="0"/>
      <w:marBottom w:val="0"/>
      <w:divBdr>
        <w:top w:val="none" w:sz="0" w:space="0" w:color="auto"/>
        <w:left w:val="none" w:sz="0" w:space="0" w:color="auto"/>
        <w:bottom w:val="none" w:sz="0" w:space="0" w:color="auto"/>
        <w:right w:val="none" w:sz="0" w:space="0" w:color="auto"/>
      </w:divBdr>
    </w:div>
    <w:div w:id="160853116">
      <w:bodyDiv w:val="1"/>
      <w:marLeft w:val="0"/>
      <w:marRight w:val="0"/>
      <w:marTop w:val="0"/>
      <w:marBottom w:val="0"/>
      <w:divBdr>
        <w:top w:val="none" w:sz="0" w:space="0" w:color="auto"/>
        <w:left w:val="none" w:sz="0" w:space="0" w:color="auto"/>
        <w:bottom w:val="none" w:sz="0" w:space="0" w:color="auto"/>
        <w:right w:val="none" w:sz="0" w:space="0" w:color="auto"/>
      </w:divBdr>
    </w:div>
    <w:div w:id="183252683">
      <w:bodyDiv w:val="1"/>
      <w:marLeft w:val="0"/>
      <w:marRight w:val="0"/>
      <w:marTop w:val="0"/>
      <w:marBottom w:val="0"/>
      <w:divBdr>
        <w:top w:val="none" w:sz="0" w:space="0" w:color="auto"/>
        <w:left w:val="none" w:sz="0" w:space="0" w:color="auto"/>
        <w:bottom w:val="none" w:sz="0" w:space="0" w:color="auto"/>
        <w:right w:val="none" w:sz="0" w:space="0" w:color="auto"/>
      </w:divBdr>
    </w:div>
    <w:div w:id="329143336">
      <w:bodyDiv w:val="1"/>
      <w:marLeft w:val="0"/>
      <w:marRight w:val="0"/>
      <w:marTop w:val="0"/>
      <w:marBottom w:val="0"/>
      <w:divBdr>
        <w:top w:val="none" w:sz="0" w:space="0" w:color="auto"/>
        <w:left w:val="none" w:sz="0" w:space="0" w:color="auto"/>
        <w:bottom w:val="none" w:sz="0" w:space="0" w:color="auto"/>
        <w:right w:val="none" w:sz="0" w:space="0" w:color="auto"/>
      </w:divBdr>
    </w:div>
    <w:div w:id="473371044">
      <w:bodyDiv w:val="1"/>
      <w:marLeft w:val="0"/>
      <w:marRight w:val="0"/>
      <w:marTop w:val="0"/>
      <w:marBottom w:val="0"/>
      <w:divBdr>
        <w:top w:val="none" w:sz="0" w:space="0" w:color="auto"/>
        <w:left w:val="none" w:sz="0" w:space="0" w:color="auto"/>
        <w:bottom w:val="none" w:sz="0" w:space="0" w:color="auto"/>
        <w:right w:val="none" w:sz="0" w:space="0" w:color="auto"/>
      </w:divBdr>
    </w:div>
    <w:div w:id="477191292">
      <w:bodyDiv w:val="1"/>
      <w:marLeft w:val="0"/>
      <w:marRight w:val="0"/>
      <w:marTop w:val="0"/>
      <w:marBottom w:val="0"/>
      <w:divBdr>
        <w:top w:val="none" w:sz="0" w:space="0" w:color="auto"/>
        <w:left w:val="none" w:sz="0" w:space="0" w:color="auto"/>
        <w:bottom w:val="none" w:sz="0" w:space="0" w:color="auto"/>
        <w:right w:val="none" w:sz="0" w:space="0" w:color="auto"/>
      </w:divBdr>
    </w:div>
    <w:div w:id="582298202">
      <w:bodyDiv w:val="1"/>
      <w:marLeft w:val="0"/>
      <w:marRight w:val="0"/>
      <w:marTop w:val="0"/>
      <w:marBottom w:val="0"/>
      <w:divBdr>
        <w:top w:val="none" w:sz="0" w:space="0" w:color="auto"/>
        <w:left w:val="none" w:sz="0" w:space="0" w:color="auto"/>
        <w:bottom w:val="none" w:sz="0" w:space="0" w:color="auto"/>
        <w:right w:val="none" w:sz="0" w:space="0" w:color="auto"/>
      </w:divBdr>
    </w:div>
    <w:div w:id="596866895">
      <w:bodyDiv w:val="1"/>
      <w:marLeft w:val="0"/>
      <w:marRight w:val="0"/>
      <w:marTop w:val="0"/>
      <w:marBottom w:val="0"/>
      <w:divBdr>
        <w:top w:val="none" w:sz="0" w:space="0" w:color="auto"/>
        <w:left w:val="none" w:sz="0" w:space="0" w:color="auto"/>
        <w:bottom w:val="none" w:sz="0" w:space="0" w:color="auto"/>
        <w:right w:val="none" w:sz="0" w:space="0" w:color="auto"/>
      </w:divBdr>
    </w:div>
    <w:div w:id="687030045">
      <w:bodyDiv w:val="1"/>
      <w:marLeft w:val="0"/>
      <w:marRight w:val="0"/>
      <w:marTop w:val="0"/>
      <w:marBottom w:val="0"/>
      <w:divBdr>
        <w:top w:val="none" w:sz="0" w:space="0" w:color="auto"/>
        <w:left w:val="none" w:sz="0" w:space="0" w:color="auto"/>
        <w:bottom w:val="none" w:sz="0" w:space="0" w:color="auto"/>
        <w:right w:val="none" w:sz="0" w:space="0" w:color="auto"/>
      </w:divBdr>
    </w:div>
    <w:div w:id="1471705743">
      <w:bodyDiv w:val="1"/>
      <w:marLeft w:val="0"/>
      <w:marRight w:val="0"/>
      <w:marTop w:val="0"/>
      <w:marBottom w:val="0"/>
      <w:divBdr>
        <w:top w:val="none" w:sz="0" w:space="0" w:color="auto"/>
        <w:left w:val="none" w:sz="0" w:space="0" w:color="auto"/>
        <w:bottom w:val="none" w:sz="0" w:space="0" w:color="auto"/>
        <w:right w:val="none" w:sz="0" w:space="0" w:color="auto"/>
      </w:divBdr>
    </w:div>
    <w:div w:id="1603107969">
      <w:bodyDiv w:val="1"/>
      <w:marLeft w:val="0"/>
      <w:marRight w:val="0"/>
      <w:marTop w:val="0"/>
      <w:marBottom w:val="0"/>
      <w:divBdr>
        <w:top w:val="none" w:sz="0" w:space="0" w:color="auto"/>
        <w:left w:val="none" w:sz="0" w:space="0" w:color="auto"/>
        <w:bottom w:val="none" w:sz="0" w:space="0" w:color="auto"/>
        <w:right w:val="none" w:sz="0" w:space="0" w:color="auto"/>
      </w:divBdr>
    </w:div>
    <w:div w:id="1864632317">
      <w:bodyDiv w:val="1"/>
      <w:marLeft w:val="0"/>
      <w:marRight w:val="0"/>
      <w:marTop w:val="0"/>
      <w:marBottom w:val="0"/>
      <w:divBdr>
        <w:top w:val="none" w:sz="0" w:space="0" w:color="auto"/>
        <w:left w:val="none" w:sz="0" w:space="0" w:color="auto"/>
        <w:bottom w:val="none" w:sz="0" w:space="0" w:color="auto"/>
        <w:right w:val="none" w:sz="0" w:space="0" w:color="auto"/>
      </w:divBdr>
    </w:div>
    <w:div w:id="1902254814">
      <w:bodyDiv w:val="1"/>
      <w:marLeft w:val="0"/>
      <w:marRight w:val="0"/>
      <w:marTop w:val="0"/>
      <w:marBottom w:val="0"/>
      <w:divBdr>
        <w:top w:val="none" w:sz="0" w:space="0" w:color="auto"/>
        <w:left w:val="none" w:sz="0" w:space="0" w:color="auto"/>
        <w:bottom w:val="none" w:sz="0" w:space="0" w:color="auto"/>
        <w:right w:val="none" w:sz="0" w:space="0" w:color="auto"/>
      </w:divBdr>
    </w:div>
    <w:div w:id="1953398560">
      <w:bodyDiv w:val="1"/>
      <w:marLeft w:val="0"/>
      <w:marRight w:val="0"/>
      <w:marTop w:val="0"/>
      <w:marBottom w:val="0"/>
      <w:divBdr>
        <w:top w:val="none" w:sz="0" w:space="0" w:color="auto"/>
        <w:left w:val="none" w:sz="0" w:space="0" w:color="auto"/>
        <w:bottom w:val="none" w:sz="0" w:space="0" w:color="auto"/>
        <w:right w:val="none" w:sz="0" w:space="0" w:color="auto"/>
      </w:divBdr>
    </w:div>
    <w:div w:id="2049143238">
      <w:bodyDiv w:val="1"/>
      <w:marLeft w:val="0"/>
      <w:marRight w:val="0"/>
      <w:marTop w:val="0"/>
      <w:marBottom w:val="0"/>
      <w:divBdr>
        <w:top w:val="none" w:sz="0" w:space="0" w:color="auto"/>
        <w:left w:val="none" w:sz="0" w:space="0" w:color="auto"/>
        <w:bottom w:val="none" w:sz="0" w:space="0" w:color="auto"/>
        <w:right w:val="none" w:sz="0" w:space="0" w:color="auto"/>
      </w:divBdr>
    </w:div>
    <w:div w:id="205955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wmf"/><Relationship Id="rId117" Type="http://schemas.openxmlformats.org/officeDocument/2006/relationships/chart" Target="charts/chart6.xml"/><Relationship Id="rId21" Type="http://schemas.openxmlformats.org/officeDocument/2006/relationships/image" Target="media/image14.wmf"/><Relationship Id="rId42" Type="http://schemas.openxmlformats.org/officeDocument/2006/relationships/oleObject" Target="embeddings/oleObject4.bin"/><Relationship Id="rId47" Type="http://schemas.openxmlformats.org/officeDocument/2006/relationships/oleObject" Target="embeddings/oleObject7.bin"/><Relationship Id="rId63" Type="http://schemas.openxmlformats.org/officeDocument/2006/relationships/oleObject" Target="embeddings/oleObject16.bin"/><Relationship Id="rId68" Type="http://schemas.openxmlformats.org/officeDocument/2006/relationships/image" Target="media/image41.wmf"/><Relationship Id="rId84" Type="http://schemas.openxmlformats.org/officeDocument/2006/relationships/image" Target="media/image49.wmf"/><Relationship Id="rId89" Type="http://schemas.openxmlformats.org/officeDocument/2006/relationships/oleObject" Target="embeddings/oleObject29.bin"/><Relationship Id="rId112" Type="http://schemas.openxmlformats.org/officeDocument/2006/relationships/chart" Target="charts/chart1.xml"/><Relationship Id="rId133" Type="http://schemas.openxmlformats.org/officeDocument/2006/relationships/chart" Target="charts/chart22.xml"/><Relationship Id="rId16" Type="http://schemas.openxmlformats.org/officeDocument/2006/relationships/image" Target="media/image9.wmf"/><Relationship Id="rId107" Type="http://schemas.openxmlformats.org/officeDocument/2006/relationships/oleObject" Target="embeddings/oleObject38.bin"/><Relationship Id="rId11" Type="http://schemas.openxmlformats.org/officeDocument/2006/relationships/image" Target="media/image4.wmf"/><Relationship Id="rId32" Type="http://schemas.openxmlformats.org/officeDocument/2006/relationships/footer" Target="footer1.xml"/><Relationship Id="rId37" Type="http://schemas.openxmlformats.org/officeDocument/2006/relationships/image" Target="media/image27.wmf"/><Relationship Id="rId53" Type="http://schemas.openxmlformats.org/officeDocument/2006/relationships/image" Target="media/image34.wmf"/><Relationship Id="rId58" Type="http://schemas.openxmlformats.org/officeDocument/2006/relationships/image" Target="media/image36.wmf"/><Relationship Id="rId74" Type="http://schemas.openxmlformats.org/officeDocument/2006/relationships/image" Target="media/image44.wmf"/><Relationship Id="rId79" Type="http://schemas.openxmlformats.org/officeDocument/2006/relationships/oleObject" Target="embeddings/oleObject24.bin"/><Relationship Id="rId102" Type="http://schemas.openxmlformats.org/officeDocument/2006/relationships/image" Target="media/image58.wmf"/><Relationship Id="rId123" Type="http://schemas.openxmlformats.org/officeDocument/2006/relationships/chart" Target="charts/chart12.xml"/><Relationship Id="rId128" Type="http://schemas.openxmlformats.org/officeDocument/2006/relationships/chart" Target="charts/chart17.xml"/><Relationship Id="rId5" Type="http://schemas.openxmlformats.org/officeDocument/2006/relationships/webSettings" Target="webSettings.xml"/><Relationship Id="rId90" Type="http://schemas.openxmlformats.org/officeDocument/2006/relationships/image" Target="media/image52.wmf"/><Relationship Id="rId95" Type="http://schemas.openxmlformats.org/officeDocument/2006/relationships/oleObject" Target="embeddings/oleObject32.bin"/><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png"/><Relationship Id="rId35" Type="http://schemas.openxmlformats.org/officeDocument/2006/relationships/image" Target="media/image26.wmf"/><Relationship Id="rId43" Type="http://schemas.openxmlformats.org/officeDocument/2006/relationships/image" Target="media/image30.wmf"/><Relationship Id="rId48" Type="http://schemas.openxmlformats.org/officeDocument/2006/relationships/oleObject" Target="embeddings/oleObject8.bin"/><Relationship Id="rId56" Type="http://schemas.openxmlformats.org/officeDocument/2006/relationships/oleObject" Target="embeddings/oleObject12.bin"/><Relationship Id="rId64" Type="http://schemas.openxmlformats.org/officeDocument/2006/relationships/image" Target="media/image39.wmf"/><Relationship Id="rId69" Type="http://schemas.openxmlformats.org/officeDocument/2006/relationships/oleObject" Target="embeddings/oleObject19.bin"/><Relationship Id="rId77" Type="http://schemas.openxmlformats.org/officeDocument/2006/relationships/oleObject" Target="embeddings/oleObject23.bin"/><Relationship Id="rId100" Type="http://schemas.openxmlformats.org/officeDocument/2006/relationships/image" Target="media/image57.wmf"/><Relationship Id="rId105" Type="http://schemas.openxmlformats.org/officeDocument/2006/relationships/oleObject" Target="embeddings/oleObject37.bin"/><Relationship Id="rId113" Type="http://schemas.openxmlformats.org/officeDocument/2006/relationships/chart" Target="charts/chart2.xml"/><Relationship Id="rId118" Type="http://schemas.openxmlformats.org/officeDocument/2006/relationships/chart" Target="charts/chart7.xml"/><Relationship Id="rId126" Type="http://schemas.openxmlformats.org/officeDocument/2006/relationships/chart" Target="charts/chart15.xml"/><Relationship Id="rId134" Type="http://schemas.openxmlformats.org/officeDocument/2006/relationships/chart" Target="charts/chart23.xml"/><Relationship Id="rId8" Type="http://schemas.openxmlformats.org/officeDocument/2006/relationships/image" Target="media/image1.wmf"/><Relationship Id="rId51" Type="http://schemas.openxmlformats.org/officeDocument/2006/relationships/image" Target="media/image33.wmf"/><Relationship Id="rId72" Type="http://schemas.openxmlformats.org/officeDocument/2006/relationships/image" Target="media/image43.wmf"/><Relationship Id="rId80" Type="http://schemas.openxmlformats.org/officeDocument/2006/relationships/image" Target="media/image47.wmf"/><Relationship Id="rId85" Type="http://schemas.openxmlformats.org/officeDocument/2006/relationships/oleObject" Target="embeddings/oleObject27.bin"/><Relationship Id="rId93" Type="http://schemas.openxmlformats.org/officeDocument/2006/relationships/oleObject" Target="embeddings/oleObject31.bin"/><Relationship Id="rId98" Type="http://schemas.openxmlformats.org/officeDocument/2006/relationships/image" Target="media/image56.wmf"/><Relationship Id="rId121" Type="http://schemas.openxmlformats.org/officeDocument/2006/relationships/chart" Target="charts/chart10.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header" Target="header2.xml"/><Relationship Id="rId38" Type="http://schemas.openxmlformats.org/officeDocument/2006/relationships/oleObject" Target="embeddings/oleObject2.bin"/><Relationship Id="rId46" Type="http://schemas.openxmlformats.org/officeDocument/2006/relationships/oleObject" Target="embeddings/oleObject6.bin"/><Relationship Id="rId59" Type="http://schemas.openxmlformats.org/officeDocument/2006/relationships/oleObject" Target="embeddings/oleObject14.bin"/><Relationship Id="rId67" Type="http://schemas.openxmlformats.org/officeDocument/2006/relationships/oleObject" Target="embeddings/oleObject18.bin"/><Relationship Id="rId103" Type="http://schemas.openxmlformats.org/officeDocument/2006/relationships/oleObject" Target="embeddings/oleObject36.bin"/><Relationship Id="rId108" Type="http://schemas.openxmlformats.org/officeDocument/2006/relationships/image" Target="media/image61.wmf"/><Relationship Id="rId116" Type="http://schemas.openxmlformats.org/officeDocument/2006/relationships/chart" Target="charts/chart5.xml"/><Relationship Id="rId124" Type="http://schemas.openxmlformats.org/officeDocument/2006/relationships/chart" Target="charts/chart13.xml"/><Relationship Id="rId129" Type="http://schemas.openxmlformats.org/officeDocument/2006/relationships/chart" Target="charts/chart18.xml"/><Relationship Id="rId20" Type="http://schemas.openxmlformats.org/officeDocument/2006/relationships/image" Target="media/image13.wmf"/><Relationship Id="rId41" Type="http://schemas.openxmlformats.org/officeDocument/2006/relationships/image" Target="media/image29.wmf"/><Relationship Id="rId54" Type="http://schemas.openxmlformats.org/officeDocument/2006/relationships/oleObject" Target="embeddings/oleObject11.bin"/><Relationship Id="rId62" Type="http://schemas.openxmlformats.org/officeDocument/2006/relationships/image" Target="media/image38.wmf"/><Relationship Id="rId70" Type="http://schemas.openxmlformats.org/officeDocument/2006/relationships/image" Target="media/image42.wmf"/><Relationship Id="rId75" Type="http://schemas.openxmlformats.org/officeDocument/2006/relationships/oleObject" Target="embeddings/oleObject22.bin"/><Relationship Id="rId83" Type="http://schemas.openxmlformats.org/officeDocument/2006/relationships/oleObject" Target="embeddings/oleObject26.bin"/><Relationship Id="rId88" Type="http://schemas.openxmlformats.org/officeDocument/2006/relationships/image" Target="media/image51.wmf"/><Relationship Id="rId91" Type="http://schemas.openxmlformats.org/officeDocument/2006/relationships/oleObject" Target="embeddings/oleObject30.bin"/><Relationship Id="rId96" Type="http://schemas.openxmlformats.org/officeDocument/2006/relationships/image" Target="media/image55.wmf"/><Relationship Id="rId111" Type="http://schemas.openxmlformats.org/officeDocument/2006/relationships/oleObject" Target="embeddings/oleObject40.bin"/><Relationship Id="rId132" Type="http://schemas.openxmlformats.org/officeDocument/2006/relationships/chart" Target="charts/chart2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png"/><Relationship Id="rId36" Type="http://schemas.openxmlformats.org/officeDocument/2006/relationships/oleObject" Target="embeddings/oleObject1.bin"/><Relationship Id="rId49" Type="http://schemas.openxmlformats.org/officeDocument/2006/relationships/image" Target="media/image32.wmf"/><Relationship Id="rId57" Type="http://schemas.openxmlformats.org/officeDocument/2006/relationships/oleObject" Target="embeddings/oleObject13.bin"/><Relationship Id="rId106" Type="http://schemas.openxmlformats.org/officeDocument/2006/relationships/image" Target="media/image60.wmf"/><Relationship Id="rId114" Type="http://schemas.openxmlformats.org/officeDocument/2006/relationships/chart" Target="charts/chart3.xml"/><Relationship Id="rId119" Type="http://schemas.openxmlformats.org/officeDocument/2006/relationships/chart" Target="charts/chart8.xml"/><Relationship Id="rId127" Type="http://schemas.openxmlformats.org/officeDocument/2006/relationships/chart" Target="charts/chart16.xml"/><Relationship Id="rId10" Type="http://schemas.openxmlformats.org/officeDocument/2006/relationships/image" Target="media/image3.wmf"/><Relationship Id="rId31" Type="http://schemas.openxmlformats.org/officeDocument/2006/relationships/header" Target="header1.xml"/><Relationship Id="rId44" Type="http://schemas.openxmlformats.org/officeDocument/2006/relationships/oleObject" Target="embeddings/oleObject5.bin"/><Relationship Id="rId52" Type="http://schemas.openxmlformats.org/officeDocument/2006/relationships/oleObject" Target="embeddings/oleObject10.bin"/><Relationship Id="rId60" Type="http://schemas.openxmlformats.org/officeDocument/2006/relationships/image" Target="media/image37.w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image" Target="media/image46.wmf"/><Relationship Id="rId81" Type="http://schemas.openxmlformats.org/officeDocument/2006/relationships/oleObject" Target="embeddings/oleObject25.bin"/><Relationship Id="rId86" Type="http://schemas.openxmlformats.org/officeDocument/2006/relationships/image" Target="media/image50.wmf"/><Relationship Id="rId94" Type="http://schemas.openxmlformats.org/officeDocument/2006/relationships/image" Target="media/image54.wmf"/><Relationship Id="rId99" Type="http://schemas.openxmlformats.org/officeDocument/2006/relationships/oleObject" Target="embeddings/oleObject34.bin"/><Relationship Id="rId101" Type="http://schemas.openxmlformats.org/officeDocument/2006/relationships/oleObject" Target="embeddings/oleObject35.bin"/><Relationship Id="rId122" Type="http://schemas.openxmlformats.org/officeDocument/2006/relationships/chart" Target="charts/chart11.xml"/><Relationship Id="rId130" Type="http://schemas.openxmlformats.org/officeDocument/2006/relationships/chart" Target="charts/chart19.xm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image" Target="media/image28.wmf"/><Relationship Id="rId109" Type="http://schemas.openxmlformats.org/officeDocument/2006/relationships/oleObject" Target="embeddings/oleObject39.bin"/><Relationship Id="rId34" Type="http://schemas.openxmlformats.org/officeDocument/2006/relationships/footer" Target="footer2.xml"/><Relationship Id="rId50" Type="http://schemas.openxmlformats.org/officeDocument/2006/relationships/oleObject" Target="embeddings/oleObject9.bin"/><Relationship Id="rId55" Type="http://schemas.openxmlformats.org/officeDocument/2006/relationships/image" Target="media/image35.wmf"/><Relationship Id="rId76" Type="http://schemas.openxmlformats.org/officeDocument/2006/relationships/image" Target="media/image45.wmf"/><Relationship Id="rId97" Type="http://schemas.openxmlformats.org/officeDocument/2006/relationships/oleObject" Target="embeddings/oleObject33.bin"/><Relationship Id="rId104" Type="http://schemas.openxmlformats.org/officeDocument/2006/relationships/image" Target="media/image59.wmf"/><Relationship Id="rId120" Type="http://schemas.openxmlformats.org/officeDocument/2006/relationships/chart" Target="charts/chart9.xml"/><Relationship Id="rId125" Type="http://schemas.openxmlformats.org/officeDocument/2006/relationships/chart" Target="charts/chart14.xml"/><Relationship Id="rId7" Type="http://schemas.openxmlformats.org/officeDocument/2006/relationships/endnotes" Target="endnotes.xml"/><Relationship Id="rId71" Type="http://schemas.openxmlformats.org/officeDocument/2006/relationships/oleObject" Target="embeddings/oleObject20.bin"/><Relationship Id="rId92" Type="http://schemas.openxmlformats.org/officeDocument/2006/relationships/image" Target="media/image53.wmf"/><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wmf"/><Relationship Id="rId40" Type="http://schemas.openxmlformats.org/officeDocument/2006/relationships/oleObject" Target="embeddings/oleObject3.bin"/><Relationship Id="rId45" Type="http://schemas.openxmlformats.org/officeDocument/2006/relationships/image" Target="media/image31.wmf"/><Relationship Id="rId66" Type="http://schemas.openxmlformats.org/officeDocument/2006/relationships/image" Target="media/image40.wmf"/><Relationship Id="rId87" Type="http://schemas.openxmlformats.org/officeDocument/2006/relationships/oleObject" Target="embeddings/oleObject28.bin"/><Relationship Id="rId110" Type="http://schemas.openxmlformats.org/officeDocument/2006/relationships/image" Target="media/image62.wmf"/><Relationship Id="rId115" Type="http://schemas.openxmlformats.org/officeDocument/2006/relationships/chart" Target="charts/chart4.xml"/><Relationship Id="rId131" Type="http://schemas.openxmlformats.org/officeDocument/2006/relationships/chart" Target="charts/chart20.xml"/><Relationship Id="rId136" Type="http://schemas.openxmlformats.org/officeDocument/2006/relationships/theme" Target="theme/theme1.xml"/><Relationship Id="rId61" Type="http://schemas.openxmlformats.org/officeDocument/2006/relationships/oleObject" Target="embeddings/oleObject15.bin"/><Relationship Id="rId82" Type="http://schemas.openxmlformats.org/officeDocument/2006/relationships/image" Target="media/image48.wmf"/><Relationship Id="rId19" Type="http://schemas.openxmlformats.org/officeDocument/2006/relationships/image" Target="media/image12.wmf"/></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Richeninfo\KM\resources\dotx\JSW00610.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24191;&#21457;&#37329;&#24037;\&#35838;&#39064;1%20&#20027;&#21160;&#22522;&#37329;&#19994;&#32489;&#27604;&#36739;&#22522;&#20934;&#36873;&#25321;&#30740;&#31350;\20210301\&#32467;&#35770;2021030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7.xml"/><Relationship Id="rId1" Type="http://schemas.microsoft.com/office/2011/relationships/chartStyle" Target="style7.xml"/></Relationships>
</file>

<file path=word/charts/_rels/chart11.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8.xml"/><Relationship Id="rId1" Type="http://schemas.microsoft.com/office/2011/relationships/chartStyle" Target="style8.xml"/></Relationships>
</file>

<file path=word/charts/_rels/chart12.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9.xml"/><Relationship Id="rId1" Type="http://schemas.microsoft.com/office/2011/relationships/chartStyle" Target="style9.xml"/></Relationships>
</file>

<file path=word/charts/_rels/chart13.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0.xml"/><Relationship Id="rId1" Type="http://schemas.microsoft.com/office/2011/relationships/chartStyle" Target="style10.xml"/></Relationships>
</file>

<file path=word/charts/_rels/chart14.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1.xml"/><Relationship Id="rId1" Type="http://schemas.microsoft.com/office/2011/relationships/chartStyle" Target="style11.xml"/></Relationships>
</file>

<file path=word/charts/_rels/chart15.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2.xml"/><Relationship Id="rId1" Type="http://schemas.microsoft.com/office/2011/relationships/chartStyle" Target="style12.xml"/></Relationships>
</file>

<file path=word/charts/_rels/chart16.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3.xml"/><Relationship Id="rId1" Type="http://schemas.microsoft.com/office/2011/relationships/chartStyle" Target="style13.xml"/></Relationships>
</file>

<file path=word/charts/_rels/chart17.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4.xml"/><Relationship Id="rId1" Type="http://schemas.microsoft.com/office/2011/relationships/chartStyle" Target="style14.xml"/></Relationships>
</file>

<file path=word/charts/_rels/chart18.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5.xml"/><Relationship Id="rId1" Type="http://schemas.microsoft.com/office/2011/relationships/chartStyle" Target="style15.xml"/></Relationships>
</file>

<file path=word/charts/_rels/chart19.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1" Type="http://schemas.openxmlformats.org/officeDocument/2006/relationships/oleObject" Target="file:///E:\&#24191;&#21457;&#37329;&#24037;\&#35838;&#39064;1%20&#20027;&#21160;&#22522;&#37329;&#19994;&#32489;&#27604;&#36739;&#22522;&#20934;&#36873;&#25321;&#30740;&#31350;\20210301\&#32467;&#35770;20210301.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7.xml"/><Relationship Id="rId1" Type="http://schemas.microsoft.com/office/2011/relationships/chartStyle" Target="style17.xml"/></Relationships>
</file>

<file path=word/charts/_rels/chart21.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8.xml"/><Relationship Id="rId1" Type="http://schemas.microsoft.com/office/2011/relationships/chartStyle" Target="style18.xml"/></Relationships>
</file>

<file path=word/charts/_rels/chart22.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9.xml"/><Relationship Id="rId1" Type="http://schemas.microsoft.com/office/2011/relationships/chartStyle" Target="style19.xml"/></Relationships>
</file>

<file path=word/charts/_rels/chart23.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1" Type="http://schemas.openxmlformats.org/officeDocument/2006/relationships/oleObject" Target="file:///E:\&#24191;&#21457;&#37329;&#24037;\&#35838;&#39064;1%20&#20027;&#21160;&#22522;&#37329;&#19994;&#32489;&#27604;&#36739;&#22522;&#20934;&#36873;&#25321;&#30740;&#31350;\20210301\&#32467;&#35770;20210301.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1.xml"/><Relationship Id="rId1" Type="http://schemas.microsoft.com/office/2011/relationships/chartStyle" Target="style1.xml"/></Relationships>
</file>

<file path=word/charts/_rels/chart5.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3.xml"/><Relationship Id="rId1" Type="http://schemas.microsoft.com/office/2011/relationships/chartStyle" Target="style3.xml"/></Relationships>
</file>

<file path=word/charts/_rels/chart7.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4.xml"/><Relationship Id="rId1" Type="http://schemas.microsoft.com/office/2011/relationships/chartStyle" Target="style4.xml"/></Relationships>
</file>

<file path=word/charts/_rels/chart8.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5.xml"/><Relationship Id="rId1" Type="http://schemas.microsoft.com/office/2011/relationships/chartStyle" Target="style5.xml"/></Relationships>
</file>

<file path=word/charts/_rels/chart9.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20210301\&#32467;&#35770;20210301(&#24050;&#33258;&#21160;&#36824;&#21407;).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v>Wind一级分类</c:v>
          </c:tx>
          <c:dLbls>
            <c:spPr>
              <a:noFill/>
              <a:ln>
                <a:noFill/>
              </a:ln>
              <a:effectLst/>
            </c:spPr>
            <c:txPr>
              <a:bodyPr wrap="square" lIns="38100" tIns="19050" rIns="38100" bIns="19050" anchor="ctr">
                <a:spAutoFit/>
              </a:bodyPr>
              <a:lstStyle/>
              <a:p>
                <a:pPr>
                  <a:defRPr sz="800">
                    <a:latin typeface="楷体_GB2312" panose="02010609030101010101" pitchFamily="49" charset="-122"/>
                    <a:ea typeface="楷体_GB2312" panose="02010609030101010101" pitchFamily="49" charset="-122"/>
                    <a:cs typeface="Times New Roman" panose="02020603050405020304" pitchFamily="18" charset="0"/>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中国基金分类情况统计!$D$2:$D$6</c:f>
              <c:strCache>
                <c:ptCount val="5"/>
                <c:pt idx="0">
                  <c:v>混合型基金</c:v>
                </c:pt>
                <c:pt idx="1">
                  <c:v>债券型基金</c:v>
                </c:pt>
                <c:pt idx="2">
                  <c:v>股票型基金</c:v>
                </c:pt>
                <c:pt idx="3">
                  <c:v>货币市场型基金</c:v>
                </c:pt>
                <c:pt idx="4">
                  <c:v>国际(QDII)基金</c:v>
                </c:pt>
              </c:strCache>
            </c:strRef>
          </c:cat>
          <c:val>
            <c:numRef>
              <c:f>中国基金分类情况统计!$E$2:$E$6</c:f>
              <c:numCache>
                <c:formatCode>General</c:formatCode>
                <c:ptCount val="5"/>
                <c:pt idx="0">
                  <c:v>4835</c:v>
                </c:pt>
                <c:pt idx="1">
                  <c:v>3771</c:v>
                </c:pt>
                <c:pt idx="2">
                  <c:v>1875</c:v>
                </c:pt>
                <c:pt idx="3">
                  <c:v>693</c:v>
                </c:pt>
                <c:pt idx="4">
                  <c:v>309</c:v>
                </c:pt>
              </c:numCache>
            </c:numRef>
          </c:val>
          <c:extLst>
            <c:ext xmlns:c16="http://schemas.microsoft.com/office/drawing/2014/chart" uri="{C3380CC4-5D6E-409C-BE32-E72D297353CC}">
              <c16:uniqueId val="{00000000-9756-4AB5-89E9-0283A326808E}"/>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'基金二级分类业绩评价基准-股指基准和债指基准统计'!$B$17:$B$21</c:f>
              <c:strCache>
                <c:ptCount val="5"/>
                <c:pt idx="0">
                  <c:v>沪深300指数收益率</c:v>
                </c:pt>
                <c:pt idx="1">
                  <c:v>中证800指数收益率</c:v>
                </c:pt>
                <c:pt idx="2">
                  <c:v>中证500指数收益率</c:v>
                </c:pt>
                <c:pt idx="3">
                  <c:v>中证股票型基金指数收益率</c:v>
                </c:pt>
                <c:pt idx="4">
                  <c:v>固定利率0.02</c:v>
                </c:pt>
              </c:strCache>
            </c:strRef>
          </c:cat>
          <c:val>
            <c:numRef>
              <c:f>'基金二级分类业绩评价基准-股指基准和债指基准统计'!$C$17:$C$21</c:f>
              <c:numCache>
                <c:formatCode>General</c:formatCode>
                <c:ptCount val="5"/>
                <c:pt idx="0">
                  <c:v>631</c:v>
                </c:pt>
                <c:pt idx="1">
                  <c:v>66</c:v>
                </c:pt>
                <c:pt idx="2">
                  <c:v>9</c:v>
                </c:pt>
                <c:pt idx="3">
                  <c:v>8</c:v>
                </c:pt>
                <c:pt idx="4">
                  <c:v>7</c:v>
                </c:pt>
              </c:numCache>
            </c:numRef>
          </c:val>
          <c:extLst>
            <c:ext xmlns:c16="http://schemas.microsoft.com/office/drawing/2014/chart" uri="{C3380CC4-5D6E-409C-BE32-E72D297353CC}">
              <c16:uniqueId val="{00000000-20DC-48B4-AA6D-3A0817986ACC}"/>
            </c:ext>
          </c:extLst>
        </c:ser>
        <c:dLbls>
          <c:showLegendKey val="0"/>
          <c:showVal val="0"/>
          <c:showCatName val="0"/>
          <c:showSerName val="0"/>
          <c:showPercent val="0"/>
          <c:showBubbleSize val="0"/>
        </c:dLbls>
        <c:gapWidth val="182"/>
        <c:axId val="1289520368"/>
        <c:axId val="1289520696"/>
      </c:barChart>
      <c:catAx>
        <c:axId val="1289520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289520696"/>
        <c:crosses val="autoZero"/>
        <c:auto val="1"/>
        <c:lblAlgn val="ctr"/>
        <c:lblOffset val="100"/>
        <c:noMultiLvlLbl val="0"/>
      </c:catAx>
      <c:valAx>
        <c:axId val="1289520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289520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'基金二级分类业绩评价基准-股指基准和债指基准统计'!$E$17:$E$21</c:f>
              <c:strCache>
                <c:ptCount val="5"/>
                <c:pt idx="0">
                  <c:v>中债综合指数收益率</c:v>
                </c:pt>
                <c:pt idx="1">
                  <c:v>中证全债指数收益率</c:v>
                </c:pt>
                <c:pt idx="2">
                  <c:v>中债综合财富(总值)指数收益率</c:v>
                </c:pt>
                <c:pt idx="3">
                  <c:v>上证国债指数收益率</c:v>
                </c:pt>
                <c:pt idx="4">
                  <c:v>中证综合债指数收益率</c:v>
                </c:pt>
              </c:strCache>
            </c:strRef>
          </c:cat>
          <c:val>
            <c:numRef>
              <c:f>'基金二级分类业绩评价基准-股指基准和债指基准统计'!$F$17:$F$21</c:f>
              <c:numCache>
                <c:formatCode>General</c:formatCode>
                <c:ptCount val="5"/>
                <c:pt idx="0">
                  <c:v>152</c:v>
                </c:pt>
                <c:pt idx="1">
                  <c:v>118</c:v>
                </c:pt>
                <c:pt idx="2">
                  <c:v>63</c:v>
                </c:pt>
                <c:pt idx="3">
                  <c:v>54</c:v>
                </c:pt>
                <c:pt idx="4">
                  <c:v>50</c:v>
                </c:pt>
              </c:numCache>
            </c:numRef>
          </c:val>
          <c:extLst>
            <c:ext xmlns:c16="http://schemas.microsoft.com/office/drawing/2014/chart" uri="{C3380CC4-5D6E-409C-BE32-E72D297353CC}">
              <c16:uniqueId val="{00000000-1DFA-4F3E-9F34-D94895D7D0CE}"/>
            </c:ext>
          </c:extLst>
        </c:ser>
        <c:dLbls>
          <c:showLegendKey val="0"/>
          <c:showVal val="0"/>
          <c:showCatName val="0"/>
          <c:showSerName val="0"/>
          <c:showPercent val="0"/>
          <c:showBubbleSize val="0"/>
        </c:dLbls>
        <c:gapWidth val="182"/>
        <c:axId val="1301142320"/>
        <c:axId val="1301142648"/>
      </c:barChart>
      <c:catAx>
        <c:axId val="1301142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zh-CN"/>
          </a:p>
        </c:txPr>
        <c:crossAx val="1301142648"/>
        <c:crosses val="autoZero"/>
        <c:auto val="1"/>
        <c:lblAlgn val="ctr"/>
        <c:lblOffset val="100"/>
        <c:noMultiLvlLbl val="0"/>
      </c:catAx>
      <c:valAx>
        <c:axId val="1301142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301142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'基金行业主题分类业绩评价基准-股指基准和债指基准统计'!$U$1</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'基金行业主题分类业绩评价基准-股指基准和债指基准统计'!$T$2:$T$11</c:f>
              <c:strCache>
                <c:ptCount val="10"/>
                <c:pt idx="0">
                  <c:v>沪深300指数收益率</c:v>
                </c:pt>
                <c:pt idx="1">
                  <c:v>中证800指数收益率</c:v>
                </c:pt>
                <c:pt idx="2">
                  <c:v>中证内地消费主题指数收益率</c:v>
                </c:pt>
                <c:pt idx="3">
                  <c:v>中证100指数收益率</c:v>
                </c:pt>
                <c:pt idx="4">
                  <c:v>中证主要消费指数收益率</c:v>
                </c:pt>
                <c:pt idx="5">
                  <c:v>中证服务业指数收益率</c:v>
                </c:pt>
                <c:pt idx="6">
                  <c:v>中证红利指数收益率</c:v>
                </c:pt>
                <c:pt idx="7">
                  <c:v>中证食品饮料指数收益率</c:v>
                </c:pt>
                <c:pt idx="8">
                  <c:v>中证500指数收益率</c:v>
                </c:pt>
                <c:pt idx="9">
                  <c:v>申银万国消费品指数</c:v>
                </c:pt>
              </c:strCache>
            </c:strRef>
          </c:cat>
          <c:val>
            <c:numRef>
              <c:f>'基金行业主题分类业绩评价基准-股指基准和债指基准统计'!$U$2:$U$11</c:f>
              <c:numCache>
                <c:formatCode>General</c:formatCode>
                <c:ptCount val="10"/>
                <c:pt idx="0">
                  <c:v>240</c:v>
                </c:pt>
                <c:pt idx="1">
                  <c:v>38</c:v>
                </c:pt>
                <c:pt idx="2">
                  <c:v>26</c:v>
                </c:pt>
                <c:pt idx="3">
                  <c:v>19</c:v>
                </c:pt>
                <c:pt idx="4">
                  <c:v>8</c:v>
                </c:pt>
                <c:pt idx="5">
                  <c:v>6</c:v>
                </c:pt>
                <c:pt idx="6">
                  <c:v>4</c:v>
                </c:pt>
                <c:pt idx="7">
                  <c:v>4</c:v>
                </c:pt>
                <c:pt idx="8">
                  <c:v>3</c:v>
                </c:pt>
                <c:pt idx="9">
                  <c:v>3</c:v>
                </c:pt>
              </c:numCache>
            </c:numRef>
          </c:val>
          <c:extLst>
            <c:ext xmlns:c16="http://schemas.microsoft.com/office/drawing/2014/chart" uri="{C3380CC4-5D6E-409C-BE32-E72D297353CC}">
              <c16:uniqueId val="{00000000-1308-48E0-A4E0-362A6A8B66C3}"/>
            </c:ext>
          </c:extLst>
        </c:ser>
        <c:dLbls>
          <c:showLegendKey val="0"/>
          <c:showVal val="0"/>
          <c:showCatName val="0"/>
          <c:showSerName val="0"/>
          <c:showPercent val="0"/>
          <c:showBubbleSize val="0"/>
        </c:dLbls>
        <c:gapWidth val="182"/>
        <c:axId val="1301131168"/>
        <c:axId val="1301129200"/>
      </c:barChart>
      <c:catAx>
        <c:axId val="130113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301129200"/>
        <c:crosses val="autoZero"/>
        <c:auto val="1"/>
        <c:lblAlgn val="ctr"/>
        <c:lblOffset val="100"/>
        <c:noMultiLvlLbl val="0"/>
      </c:catAx>
      <c:valAx>
        <c:axId val="1301129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301131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'基金行业主题分类业绩评价基准-股指基准和债指基准统计'!$X$1</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'基金行业主题分类业绩评价基准-股指基准和债指基准统计'!$W$2:$W$11</c:f>
              <c:strCache>
                <c:ptCount val="10"/>
                <c:pt idx="0">
                  <c:v>中证全债指数收益率</c:v>
                </c:pt>
                <c:pt idx="1">
                  <c:v>中债综合指数收益率</c:v>
                </c:pt>
                <c:pt idx="2">
                  <c:v>上证国债指数收益率</c:v>
                </c:pt>
                <c:pt idx="3">
                  <c:v>中证综合债指数收益率</c:v>
                </c:pt>
                <c:pt idx="4">
                  <c:v>银行活期存款利率(税后)</c:v>
                </c:pt>
                <c:pt idx="5">
                  <c:v>中债综合全价指数收益率</c:v>
                </c:pt>
                <c:pt idx="6">
                  <c:v>中国债券总指数收益率</c:v>
                </c:pt>
                <c:pt idx="7">
                  <c:v>恒生指数收益率</c:v>
                </c:pt>
                <c:pt idx="8">
                  <c:v>中证综合债券指数收益率</c:v>
                </c:pt>
                <c:pt idx="9">
                  <c:v>中债总指数收益率</c:v>
                </c:pt>
              </c:strCache>
            </c:strRef>
          </c:cat>
          <c:val>
            <c:numRef>
              <c:f>'基金行业主题分类业绩评价基准-股指基准和债指基准统计'!$X$2:$X$11</c:f>
              <c:numCache>
                <c:formatCode>General</c:formatCode>
                <c:ptCount val="10"/>
                <c:pt idx="0">
                  <c:v>62</c:v>
                </c:pt>
                <c:pt idx="1">
                  <c:v>44</c:v>
                </c:pt>
                <c:pt idx="2">
                  <c:v>43</c:v>
                </c:pt>
                <c:pt idx="3">
                  <c:v>31</c:v>
                </c:pt>
                <c:pt idx="4">
                  <c:v>21</c:v>
                </c:pt>
                <c:pt idx="5">
                  <c:v>20</c:v>
                </c:pt>
                <c:pt idx="6">
                  <c:v>17</c:v>
                </c:pt>
                <c:pt idx="7">
                  <c:v>16</c:v>
                </c:pt>
                <c:pt idx="8">
                  <c:v>15</c:v>
                </c:pt>
                <c:pt idx="9">
                  <c:v>10</c:v>
                </c:pt>
              </c:numCache>
            </c:numRef>
          </c:val>
          <c:extLst>
            <c:ext xmlns:c16="http://schemas.microsoft.com/office/drawing/2014/chart" uri="{C3380CC4-5D6E-409C-BE32-E72D297353CC}">
              <c16:uniqueId val="{00000000-E566-4A71-B273-932AF5769BD0}"/>
            </c:ext>
          </c:extLst>
        </c:ser>
        <c:dLbls>
          <c:showLegendKey val="0"/>
          <c:showVal val="0"/>
          <c:showCatName val="0"/>
          <c:showSerName val="0"/>
          <c:showPercent val="0"/>
          <c:showBubbleSize val="0"/>
        </c:dLbls>
        <c:gapWidth val="182"/>
        <c:axId val="1097350256"/>
        <c:axId val="1097347632"/>
      </c:barChart>
      <c:catAx>
        <c:axId val="10973502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097347632"/>
        <c:crosses val="autoZero"/>
        <c:auto val="1"/>
        <c:lblAlgn val="ctr"/>
        <c:lblOffset val="100"/>
        <c:noMultiLvlLbl val="0"/>
      </c:catAx>
      <c:valAx>
        <c:axId val="1097347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097350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'基金行业主题分类业绩评价基准-股指基准和债指基准统计'!$U$12</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'基金行业主题分类业绩评价基准-股指基准和债指基准统计'!$T$13:$T$23</c:f>
              <c:strCache>
                <c:ptCount val="11"/>
                <c:pt idx="0">
                  <c:v>沪深300指数收益率</c:v>
                </c:pt>
                <c:pt idx="1">
                  <c:v>中证800指数收益率</c:v>
                </c:pt>
                <c:pt idx="2">
                  <c:v>中国战略新兴产业成份指数收益率</c:v>
                </c:pt>
                <c:pt idx="3">
                  <c:v>中证500指数收益率</c:v>
                </c:pt>
                <c:pt idx="4">
                  <c:v>中证人工智能主题指数收益率</c:v>
                </c:pt>
                <c:pt idx="5">
                  <c:v>中证TMT产业主题指数收益率</c:v>
                </c:pt>
                <c:pt idx="6">
                  <c:v>中证全指指数收益率</c:v>
                </c:pt>
                <c:pt idx="7">
                  <c:v>中证信息技术指数收益率</c:v>
                </c:pt>
                <c:pt idx="8">
                  <c:v>中证全指信息技术指数收益率</c:v>
                </c:pt>
                <c:pt idx="9">
                  <c:v>中证军工指数收益率</c:v>
                </c:pt>
                <c:pt idx="10">
                  <c:v>中证700指数收益率</c:v>
                </c:pt>
              </c:strCache>
            </c:strRef>
          </c:cat>
          <c:val>
            <c:numRef>
              <c:f>'基金行业主题分类业绩评价基准-股指基准和债指基准统计'!$U$13:$U$23</c:f>
              <c:numCache>
                <c:formatCode>General</c:formatCode>
                <c:ptCount val="11"/>
                <c:pt idx="0">
                  <c:v>157</c:v>
                </c:pt>
                <c:pt idx="1">
                  <c:v>37</c:v>
                </c:pt>
                <c:pt idx="2">
                  <c:v>23</c:v>
                </c:pt>
                <c:pt idx="3">
                  <c:v>10</c:v>
                </c:pt>
                <c:pt idx="4">
                  <c:v>10</c:v>
                </c:pt>
                <c:pt idx="5">
                  <c:v>7</c:v>
                </c:pt>
                <c:pt idx="6">
                  <c:v>5</c:v>
                </c:pt>
                <c:pt idx="7">
                  <c:v>5</c:v>
                </c:pt>
                <c:pt idx="8">
                  <c:v>4</c:v>
                </c:pt>
                <c:pt idx="9">
                  <c:v>4</c:v>
                </c:pt>
                <c:pt idx="10">
                  <c:v>4</c:v>
                </c:pt>
              </c:numCache>
            </c:numRef>
          </c:val>
          <c:extLst>
            <c:ext xmlns:c16="http://schemas.microsoft.com/office/drawing/2014/chart" uri="{C3380CC4-5D6E-409C-BE32-E72D297353CC}">
              <c16:uniqueId val="{00000000-AB31-4A23-89C4-5A1502A3BB19}"/>
            </c:ext>
          </c:extLst>
        </c:ser>
        <c:dLbls>
          <c:showLegendKey val="0"/>
          <c:showVal val="0"/>
          <c:showCatName val="0"/>
          <c:showSerName val="0"/>
          <c:showPercent val="0"/>
          <c:showBubbleSize val="0"/>
        </c:dLbls>
        <c:gapWidth val="182"/>
        <c:axId val="1301681872"/>
        <c:axId val="1301683840"/>
      </c:barChart>
      <c:catAx>
        <c:axId val="13016818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301683840"/>
        <c:crosses val="autoZero"/>
        <c:auto val="1"/>
        <c:lblAlgn val="ctr"/>
        <c:lblOffset val="100"/>
        <c:noMultiLvlLbl val="0"/>
      </c:catAx>
      <c:valAx>
        <c:axId val="1301683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301681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latin typeface="Arial" panose="020B0604020202020204" pitchFamily="34" charset="0"/>
          <a:cs typeface="Arial" panose="020B0604020202020204" pitchFamily="34" charset="0"/>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'基金行业主题分类业绩评价基准-股指基准和债指基准统计'!$X$12</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'基金行业主题分类业绩评价基准-股指基准和债指基准统计'!$W$13:$W$23</c:f>
              <c:strCache>
                <c:ptCount val="11"/>
                <c:pt idx="0">
                  <c:v>上证国债指数收益率</c:v>
                </c:pt>
                <c:pt idx="1">
                  <c:v>中证全债指数收益率</c:v>
                </c:pt>
                <c:pt idx="2">
                  <c:v>中证综合债指数收益率</c:v>
                </c:pt>
                <c:pt idx="3">
                  <c:v>中债综合全价(总值)指数收益率</c:v>
                </c:pt>
                <c:pt idx="4">
                  <c:v>中证综合债券指数收益率</c:v>
                </c:pt>
                <c:pt idx="5">
                  <c:v>银行活期存款利率(税后)</c:v>
                </c:pt>
                <c:pt idx="6">
                  <c:v>中债综合指数收益率</c:v>
                </c:pt>
                <c:pt idx="7">
                  <c:v>中国债券总指数收益率</c:v>
                </c:pt>
                <c:pt idx="8">
                  <c:v>中债综合财富(总值)指数收益率</c:v>
                </c:pt>
                <c:pt idx="9">
                  <c:v>中债总指数收益率</c:v>
                </c:pt>
                <c:pt idx="10">
                  <c:v>恒生指数收益率</c:v>
                </c:pt>
              </c:strCache>
            </c:strRef>
          </c:cat>
          <c:val>
            <c:numRef>
              <c:f>'基金行业主题分类业绩评价基准-股指基准和债指基准统计'!$X$13:$X$23</c:f>
              <c:numCache>
                <c:formatCode>General</c:formatCode>
                <c:ptCount val="11"/>
                <c:pt idx="0">
                  <c:v>58</c:v>
                </c:pt>
                <c:pt idx="1">
                  <c:v>58</c:v>
                </c:pt>
                <c:pt idx="2">
                  <c:v>31</c:v>
                </c:pt>
                <c:pt idx="3">
                  <c:v>25</c:v>
                </c:pt>
                <c:pt idx="4">
                  <c:v>23</c:v>
                </c:pt>
                <c:pt idx="5">
                  <c:v>21</c:v>
                </c:pt>
                <c:pt idx="6">
                  <c:v>18</c:v>
                </c:pt>
                <c:pt idx="7">
                  <c:v>10</c:v>
                </c:pt>
                <c:pt idx="8">
                  <c:v>10</c:v>
                </c:pt>
                <c:pt idx="9">
                  <c:v>9</c:v>
                </c:pt>
                <c:pt idx="10">
                  <c:v>7</c:v>
                </c:pt>
              </c:numCache>
            </c:numRef>
          </c:val>
          <c:extLst>
            <c:ext xmlns:c16="http://schemas.microsoft.com/office/drawing/2014/chart" uri="{C3380CC4-5D6E-409C-BE32-E72D297353CC}">
              <c16:uniqueId val="{00000000-6D33-4ABA-B06C-DE73721A7625}"/>
            </c:ext>
          </c:extLst>
        </c:ser>
        <c:dLbls>
          <c:showLegendKey val="0"/>
          <c:showVal val="0"/>
          <c:showCatName val="0"/>
          <c:showSerName val="0"/>
          <c:showPercent val="0"/>
          <c:showBubbleSize val="0"/>
        </c:dLbls>
        <c:gapWidth val="182"/>
        <c:axId val="1414485960"/>
        <c:axId val="1414477104"/>
      </c:barChart>
      <c:catAx>
        <c:axId val="14144859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414477104"/>
        <c:crosses val="autoZero"/>
        <c:auto val="1"/>
        <c:lblAlgn val="ctr"/>
        <c:lblOffset val="100"/>
        <c:noMultiLvlLbl val="0"/>
      </c:catAx>
      <c:valAx>
        <c:axId val="1414477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414485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latin typeface="Arial" panose="020B0604020202020204" pitchFamily="34" charset="0"/>
          <a:cs typeface="Arial" panose="020B0604020202020204" pitchFamily="34" charset="0"/>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'基金行业主题分类业绩评价基准-股指基准和债指基准统计'!$U$24</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'基金行业主题分类业绩评价基准-股指基准和债指基准统计'!$T$25:$T$34</c:f>
              <c:strCache>
                <c:ptCount val="10"/>
                <c:pt idx="0">
                  <c:v>沪深300指数收益率</c:v>
                </c:pt>
                <c:pt idx="1">
                  <c:v>创业板指数收益率</c:v>
                </c:pt>
                <c:pt idx="2">
                  <c:v>中证新能源汽车指数收益率</c:v>
                </c:pt>
                <c:pt idx="3">
                  <c:v>中证800指数收益率</c:v>
                </c:pt>
                <c:pt idx="4">
                  <c:v>创业板50指数收益率</c:v>
                </c:pt>
                <c:pt idx="5">
                  <c:v>中国战略新兴产业成份指数收益率</c:v>
                </c:pt>
                <c:pt idx="6">
                  <c:v>中证环保产业指数收益率</c:v>
                </c:pt>
                <c:pt idx="7">
                  <c:v>中证新能源汽车产业指数收益率</c:v>
                </c:pt>
                <c:pt idx="8">
                  <c:v>中证新能源指数收益率</c:v>
                </c:pt>
                <c:pt idx="9">
                  <c:v>中证内地低碳经济主题指数收益率</c:v>
                </c:pt>
              </c:strCache>
            </c:strRef>
          </c:cat>
          <c:val>
            <c:numRef>
              <c:f>'基金行业主题分类业绩评价基准-股指基准和债指基准统计'!$U$25:$U$34</c:f>
              <c:numCache>
                <c:formatCode>General</c:formatCode>
                <c:ptCount val="10"/>
                <c:pt idx="0">
                  <c:v>63</c:v>
                </c:pt>
                <c:pt idx="1">
                  <c:v>40</c:v>
                </c:pt>
                <c:pt idx="2">
                  <c:v>12</c:v>
                </c:pt>
                <c:pt idx="3">
                  <c:v>10</c:v>
                </c:pt>
                <c:pt idx="4">
                  <c:v>6</c:v>
                </c:pt>
                <c:pt idx="5">
                  <c:v>5</c:v>
                </c:pt>
                <c:pt idx="6">
                  <c:v>5</c:v>
                </c:pt>
                <c:pt idx="7">
                  <c:v>5</c:v>
                </c:pt>
                <c:pt idx="8">
                  <c:v>4</c:v>
                </c:pt>
                <c:pt idx="9">
                  <c:v>3</c:v>
                </c:pt>
              </c:numCache>
            </c:numRef>
          </c:val>
          <c:extLst>
            <c:ext xmlns:c16="http://schemas.microsoft.com/office/drawing/2014/chart" uri="{C3380CC4-5D6E-409C-BE32-E72D297353CC}">
              <c16:uniqueId val="{00000000-171A-422E-80F4-67BF5C718CDA}"/>
            </c:ext>
          </c:extLst>
        </c:ser>
        <c:dLbls>
          <c:showLegendKey val="0"/>
          <c:showVal val="0"/>
          <c:showCatName val="0"/>
          <c:showSerName val="0"/>
          <c:showPercent val="0"/>
          <c:showBubbleSize val="0"/>
        </c:dLbls>
        <c:gapWidth val="182"/>
        <c:axId val="901409392"/>
        <c:axId val="901411360"/>
      </c:barChart>
      <c:catAx>
        <c:axId val="901409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901411360"/>
        <c:crosses val="autoZero"/>
        <c:auto val="1"/>
        <c:lblAlgn val="ctr"/>
        <c:lblOffset val="100"/>
        <c:noMultiLvlLbl val="0"/>
      </c:catAx>
      <c:valAx>
        <c:axId val="901411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901409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latin typeface="Arial" panose="020B0604020202020204" pitchFamily="34" charset="0"/>
          <a:cs typeface="Arial" panose="020B0604020202020204" pitchFamily="34" charset="0"/>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'基金行业主题分类业绩评价基准-股指基准和债指基准统计'!$X$24</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'基金行业主题分类业绩评价基准-股指基准和债指基准统计'!$W$25:$W$34</c:f>
              <c:strCache>
                <c:ptCount val="10"/>
                <c:pt idx="0">
                  <c:v>上证国债指数收益率</c:v>
                </c:pt>
                <c:pt idx="1">
                  <c:v>银行活期存款利率(税后)</c:v>
                </c:pt>
                <c:pt idx="2">
                  <c:v>中证全债指数收益率</c:v>
                </c:pt>
                <c:pt idx="3">
                  <c:v>银行人民币活期存款利率(税后)</c:v>
                </c:pt>
                <c:pt idx="4">
                  <c:v>中债综合指数收益率</c:v>
                </c:pt>
                <c:pt idx="5">
                  <c:v>中证综合债指数收益率</c:v>
                </c:pt>
                <c:pt idx="6">
                  <c:v>中国债券总指数收益率</c:v>
                </c:pt>
                <c:pt idx="7">
                  <c:v>中债综合指数收益率(全价)</c:v>
                </c:pt>
                <c:pt idx="8">
                  <c:v>恒生指数收益率(使用估值汇率折算)</c:v>
                </c:pt>
                <c:pt idx="9">
                  <c:v>中债总指数收益率</c:v>
                </c:pt>
              </c:strCache>
            </c:strRef>
          </c:cat>
          <c:val>
            <c:numRef>
              <c:f>'基金行业主题分类业绩评价基准-股指基准和债指基准统计'!$X$25:$X$34</c:f>
              <c:numCache>
                <c:formatCode>General</c:formatCode>
                <c:ptCount val="10"/>
                <c:pt idx="0">
                  <c:v>29</c:v>
                </c:pt>
                <c:pt idx="1">
                  <c:v>24</c:v>
                </c:pt>
                <c:pt idx="2">
                  <c:v>14</c:v>
                </c:pt>
                <c:pt idx="3">
                  <c:v>17</c:v>
                </c:pt>
                <c:pt idx="4">
                  <c:v>10</c:v>
                </c:pt>
                <c:pt idx="5">
                  <c:v>8</c:v>
                </c:pt>
                <c:pt idx="6">
                  <c:v>8</c:v>
                </c:pt>
                <c:pt idx="7">
                  <c:v>7</c:v>
                </c:pt>
                <c:pt idx="8">
                  <c:v>5</c:v>
                </c:pt>
                <c:pt idx="9">
                  <c:v>5</c:v>
                </c:pt>
              </c:numCache>
            </c:numRef>
          </c:val>
          <c:extLst>
            <c:ext xmlns:c16="http://schemas.microsoft.com/office/drawing/2014/chart" uri="{C3380CC4-5D6E-409C-BE32-E72D297353CC}">
              <c16:uniqueId val="{00000000-BFE6-4102-966F-D47B7FC2B9AB}"/>
            </c:ext>
          </c:extLst>
        </c:ser>
        <c:dLbls>
          <c:showLegendKey val="0"/>
          <c:showVal val="0"/>
          <c:showCatName val="0"/>
          <c:showSerName val="0"/>
          <c:showPercent val="0"/>
          <c:showBubbleSize val="0"/>
        </c:dLbls>
        <c:gapWidth val="182"/>
        <c:axId val="1299338808"/>
        <c:axId val="1299334544"/>
      </c:barChart>
      <c:catAx>
        <c:axId val="1299338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299334544"/>
        <c:crosses val="autoZero"/>
        <c:auto val="1"/>
        <c:lblAlgn val="ctr"/>
        <c:lblOffset val="100"/>
        <c:noMultiLvlLbl val="0"/>
      </c:catAx>
      <c:valAx>
        <c:axId val="1299334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299338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latin typeface="Arial" panose="020B0604020202020204" pitchFamily="34" charset="0"/>
          <a:cs typeface="Arial" panose="020B0604020202020204" pitchFamily="34" charset="0"/>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'基金行业主题分类业绩评价基准-股指基准和债指基准统计'!$U$35</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'基金行业主题分类业绩评价基准-股指基准和债指基准统计'!$T$36:$T$45</c:f>
              <c:strCache>
                <c:ptCount val="10"/>
                <c:pt idx="0">
                  <c:v>沪深300指数收益率</c:v>
                </c:pt>
                <c:pt idx="1">
                  <c:v>中证800指数收益率</c:v>
                </c:pt>
                <c:pt idx="2">
                  <c:v>中国战略新兴产业成份指数收益率</c:v>
                </c:pt>
                <c:pt idx="3">
                  <c:v>中证TMT产业主题指数收益率</c:v>
                </c:pt>
                <c:pt idx="4">
                  <c:v>中证5G通信主题指数收益率</c:v>
                </c:pt>
                <c:pt idx="5">
                  <c:v>国证半导体芯片指数收益率</c:v>
                </c:pt>
                <c:pt idx="6">
                  <c:v>中证新能源指数收益率</c:v>
                </c:pt>
                <c:pt idx="7">
                  <c:v>中证高端装备制造指数收益率</c:v>
                </c:pt>
                <c:pt idx="8">
                  <c:v>中华交易服务半导体芯片行业指数收益率</c:v>
                </c:pt>
                <c:pt idx="9">
                  <c:v>中证工业4.0指数收益率</c:v>
                </c:pt>
              </c:strCache>
            </c:strRef>
          </c:cat>
          <c:val>
            <c:numRef>
              <c:f>'基金行业主题分类业绩评价基准-股指基准和债指基准统计'!$U$36:$U$45</c:f>
              <c:numCache>
                <c:formatCode>General</c:formatCode>
                <c:ptCount val="10"/>
                <c:pt idx="0">
                  <c:v>68</c:v>
                </c:pt>
                <c:pt idx="1">
                  <c:v>11</c:v>
                </c:pt>
                <c:pt idx="2">
                  <c:v>10</c:v>
                </c:pt>
                <c:pt idx="3">
                  <c:v>5</c:v>
                </c:pt>
                <c:pt idx="4">
                  <c:v>5</c:v>
                </c:pt>
                <c:pt idx="5">
                  <c:v>5</c:v>
                </c:pt>
                <c:pt idx="6">
                  <c:v>4</c:v>
                </c:pt>
                <c:pt idx="7">
                  <c:v>4</c:v>
                </c:pt>
                <c:pt idx="8">
                  <c:v>3</c:v>
                </c:pt>
                <c:pt idx="9">
                  <c:v>3</c:v>
                </c:pt>
              </c:numCache>
            </c:numRef>
          </c:val>
          <c:extLst>
            <c:ext xmlns:c16="http://schemas.microsoft.com/office/drawing/2014/chart" uri="{C3380CC4-5D6E-409C-BE32-E72D297353CC}">
              <c16:uniqueId val="{00000000-5E0C-409A-8E76-89FBB7BA4579}"/>
            </c:ext>
          </c:extLst>
        </c:ser>
        <c:dLbls>
          <c:showLegendKey val="0"/>
          <c:showVal val="0"/>
          <c:showCatName val="0"/>
          <c:showSerName val="0"/>
          <c:showPercent val="0"/>
          <c:showBubbleSize val="0"/>
        </c:dLbls>
        <c:gapWidth val="182"/>
        <c:axId val="1289484288"/>
        <c:axId val="1289479040"/>
      </c:barChart>
      <c:catAx>
        <c:axId val="12894842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289479040"/>
        <c:crosses val="autoZero"/>
        <c:auto val="1"/>
        <c:lblAlgn val="ctr"/>
        <c:lblOffset val="100"/>
        <c:noMultiLvlLbl val="0"/>
      </c:catAx>
      <c:valAx>
        <c:axId val="1289479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289484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'基金行业主题分类业绩评价基准-股指基准和债指基准统计'!$X$35</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'基金行业主题分类业绩评价基准-股指基准和债指基准统计'!$W$36:$W$45</c:f>
              <c:strCache>
                <c:ptCount val="10"/>
                <c:pt idx="0">
                  <c:v>中证全债指数收益率</c:v>
                </c:pt>
                <c:pt idx="1">
                  <c:v>上证国债指数收益率</c:v>
                </c:pt>
                <c:pt idx="2">
                  <c:v>中证综合债指数收益率</c:v>
                </c:pt>
                <c:pt idx="3">
                  <c:v>人民币活期存款利率(税后)</c:v>
                </c:pt>
                <c:pt idx="4">
                  <c:v>中债综合指数收益率</c:v>
                </c:pt>
                <c:pt idx="5">
                  <c:v>中债综合财富指数收益率</c:v>
                </c:pt>
                <c:pt idx="6">
                  <c:v>中债总全价指数收益率</c:v>
                </c:pt>
                <c:pt idx="7">
                  <c:v>中债总指数收益率</c:v>
                </c:pt>
                <c:pt idx="8">
                  <c:v>同业存款利率(税后)</c:v>
                </c:pt>
                <c:pt idx="9">
                  <c:v>中债总财富指数收益率</c:v>
                </c:pt>
              </c:strCache>
            </c:strRef>
          </c:cat>
          <c:val>
            <c:numRef>
              <c:f>'基金行业主题分类业绩评价基准-股指基准和债指基准统计'!$X$36:$X$45</c:f>
              <c:numCache>
                <c:formatCode>General</c:formatCode>
                <c:ptCount val="10"/>
                <c:pt idx="0">
                  <c:v>32</c:v>
                </c:pt>
                <c:pt idx="1">
                  <c:v>27</c:v>
                </c:pt>
                <c:pt idx="2">
                  <c:v>21</c:v>
                </c:pt>
                <c:pt idx="3">
                  <c:v>12</c:v>
                </c:pt>
                <c:pt idx="4">
                  <c:v>5</c:v>
                </c:pt>
                <c:pt idx="5">
                  <c:v>5</c:v>
                </c:pt>
                <c:pt idx="6">
                  <c:v>5</c:v>
                </c:pt>
                <c:pt idx="7">
                  <c:v>4</c:v>
                </c:pt>
                <c:pt idx="8">
                  <c:v>4</c:v>
                </c:pt>
                <c:pt idx="9">
                  <c:v>3</c:v>
                </c:pt>
              </c:numCache>
            </c:numRef>
          </c:val>
          <c:extLst>
            <c:ext xmlns:c16="http://schemas.microsoft.com/office/drawing/2014/chart" uri="{C3380CC4-5D6E-409C-BE32-E72D297353CC}">
              <c16:uniqueId val="{00000000-4FE6-49BA-8153-4A7F64E4DD64}"/>
            </c:ext>
          </c:extLst>
        </c:ser>
        <c:dLbls>
          <c:showLegendKey val="0"/>
          <c:showVal val="0"/>
          <c:showCatName val="0"/>
          <c:showSerName val="0"/>
          <c:showPercent val="0"/>
          <c:showBubbleSize val="0"/>
        </c:dLbls>
        <c:gapWidth val="182"/>
        <c:axId val="1087278024"/>
        <c:axId val="1062110960"/>
      </c:barChart>
      <c:catAx>
        <c:axId val="10872780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062110960"/>
        <c:crosses val="autoZero"/>
        <c:auto val="1"/>
        <c:lblAlgn val="ctr"/>
        <c:lblOffset val="100"/>
        <c:noMultiLvlLbl val="0"/>
      </c:catAx>
      <c:valAx>
        <c:axId val="1062110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87278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v>Wind二级分类</c:v>
          </c:tx>
          <c:dLbls>
            <c:dLbl>
              <c:idx val="0"/>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8FD2-4167-A7FD-2A2642D4661F}"/>
                </c:ext>
              </c:extLst>
            </c:dLbl>
            <c:dLbl>
              <c:idx val="1"/>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FD2-4167-A7FD-2A2642D4661F}"/>
                </c:ext>
              </c:extLst>
            </c:dLbl>
            <c:dLbl>
              <c:idx val="2"/>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8FD2-4167-A7FD-2A2642D4661F}"/>
                </c:ext>
              </c:extLst>
            </c:dLbl>
            <c:dLbl>
              <c:idx val="3"/>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FD2-4167-A7FD-2A2642D4661F}"/>
                </c:ext>
              </c:extLst>
            </c:dLbl>
            <c:dLbl>
              <c:idx val="4"/>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8FD2-4167-A7FD-2A2642D4661F}"/>
                </c:ext>
              </c:extLst>
            </c:dLbl>
            <c:dLbl>
              <c:idx val="5"/>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FD2-4167-A7FD-2A2642D4661F}"/>
                </c:ext>
              </c:extLst>
            </c:dLbl>
            <c:dLbl>
              <c:idx val="6"/>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6-8FD2-4167-A7FD-2A2642D4661F}"/>
                </c:ext>
              </c:extLst>
            </c:dLbl>
            <c:dLbl>
              <c:idx val="7"/>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FD2-4167-A7FD-2A2642D4661F}"/>
                </c:ext>
              </c:extLst>
            </c:dLbl>
            <c:dLbl>
              <c:idx val="8"/>
              <c:layout>
                <c:manualLayout>
                  <c:x val="1.008277151630556E-2"/>
                  <c:y val="-1.2902045780862757E-2"/>
                </c:manualLayout>
              </c:layout>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8-8FD2-4167-A7FD-2A2642D4661F}"/>
                </c:ext>
              </c:extLst>
            </c:dLbl>
            <c:dLbl>
              <c:idx val="9"/>
              <c:delete val="1"/>
              <c:extLst>
                <c:ext xmlns:c15="http://schemas.microsoft.com/office/drawing/2012/chart" uri="{CE6537A1-D6FC-4f65-9D91-7224C49458BB}"/>
                <c:ext xmlns:c16="http://schemas.microsoft.com/office/drawing/2014/chart" uri="{C3380CC4-5D6E-409C-BE32-E72D297353CC}">
                  <c16:uniqueId val="{00000009-8FD2-4167-A7FD-2A2642D4661F}"/>
                </c:ext>
              </c:extLst>
            </c:dLbl>
            <c:dLbl>
              <c:idx val="10"/>
              <c:delete val="1"/>
              <c:extLst>
                <c:ext xmlns:c15="http://schemas.microsoft.com/office/drawing/2012/chart" uri="{CE6537A1-D6FC-4f65-9D91-7224C49458BB}"/>
                <c:ext xmlns:c16="http://schemas.microsoft.com/office/drawing/2014/chart" uri="{C3380CC4-5D6E-409C-BE32-E72D297353CC}">
                  <c16:uniqueId val="{0000000A-8FD2-4167-A7FD-2A2642D4661F}"/>
                </c:ext>
              </c:extLst>
            </c:dLbl>
            <c:dLbl>
              <c:idx val="11"/>
              <c:delete val="1"/>
              <c:extLst>
                <c:ext xmlns:c15="http://schemas.microsoft.com/office/drawing/2012/chart" uri="{CE6537A1-D6FC-4f65-9D91-7224C49458BB}"/>
                <c:ext xmlns:c16="http://schemas.microsoft.com/office/drawing/2014/chart" uri="{C3380CC4-5D6E-409C-BE32-E72D297353CC}">
                  <c16:uniqueId val="{0000000B-8FD2-4167-A7FD-2A2642D4661F}"/>
                </c:ext>
              </c:extLst>
            </c:dLbl>
            <c:dLbl>
              <c:idx val="12"/>
              <c:delete val="1"/>
              <c:extLst>
                <c:ext xmlns:c15="http://schemas.microsoft.com/office/drawing/2012/chart" uri="{CE6537A1-D6FC-4f65-9D91-7224C49458BB}"/>
                <c:ext xmlns:c16="http://schemas.microsoft.com/office/drawing/2014/chart" uri="{C3380CC4-5D6E-409C-BE32-E72D297353CC}">
                  <c16:uniqueId val="{0000000C-8FD2-4167-A7FD-2A2642D4661F}"/>
                </c:ext>
              </c:extLst>
            </c:dLbl>
            <c:dLbl>
              <c:idx val="13"/>
              <c:delete val="1"/>
              <c:extLst>
                <c:ext xmlns:c15="http://schemas.microsoft.com/office/drawing/2012/chart" uri="{CE6537A1-D6FC-4f65-9D91-7224C49458BB}"/>
                <c:ext xmlns:c16="http://schemas.microsoft.com/office/drawing/2014/chart" uri="{C3380CC4-5D6E-409C-BE32-E72D297353CC}">
                  <c16:uniqueId val="{0000000D-8FD2-4167-A7FD-2A2642D4661F}"/>
                </c:ext>
              </c:extLst>
            </c:dLbl>
            <c:dLbl>
              <c:idx val="14"/>
              <c:delete val="1"/>
              <c:extLst>
                <c:ext xmlns:c15="http://schemas.microsoft.com/office/drawing/2012/chart" uri="{CE6537A1-D6FC-4f65-9D91-7224C49458BB}"/>
                <c:ext xmlns:c16="http://schemas.microsoft.com/office/drawing/2014/chart" uri="{C3380CC4-5D6E-409C-BE32-E72D297353CC}">
                  <c16:uniqueId val="{0000000E-8FD2-4167-A7FD-2A2642D4661F}"/>
                </c:ext>
              </c:extLst>
            </c:dLbl>
            <c:dLbl>
              <c:idx val="15"/>
              <c:delete val="1"/>
              <c:extLst>
                <c:ext xmlns:c15="http://schemas.microsoft.com/office/drawing/2012/chart" uri="{CE6537A1-D6FC-4f65-9D91-7224C49458BB}"/>
                <c:ext xmlns:c16="http://schemas.microsoft.com/office/drawing/2014/chart" uri="{C3380CC4-5D6E-409C-BE32-E72D297353CC}">
                  <c16:uniqueId val="{0000000F-8FD2-4167-A7FD-2A2642D4661F}"/>
                </c:ext>
              </c:extLst>
            </c:dLbl>
            <c:dLbl>
              <c:idx val="16"/>
              <c:delete val="1"/>
              <c:extLst>
                <c:ext xmlns:c15="http://schemas.microsoft.com/office/drawing/2012/chart" uri="{CE6537A1-D6FC-4f65-9D91-7224C49458BB}"/>
                <c:ext xmlns:c16="http://schemas.microsoft.com/office/drawing/2014/chart" uri="{C3380CC4-5D6E-409C-BE32-E72D297353CC}">
                  <c16:uniqueId val="{00000010-8FD2-4167-A7FD-2A2642D4661F}"/>
                </c:ext>
              </c:extLst>
            </c:dLbl>
            <c:dLbl>
              <c:idx val="17"/>
              <c:delete val="1"/>
              <c:extLst>
                <c:ext xmlns:c15="http://schemas.microsoft.com/office/drawing/2012/chart" uri="{CE6537A1-D6FC-4f65-9D91-7224C49458BB}"/>
                <c:ext xmlns:c16="http://schemas.microsoft.com/office/drawing/2014/chart" uri="{C3380CC4-5D6E-409C-BE32-E72D297353CC}">
                  <c16:uniqueId val="{00000011-8FD2-4167-A7FD-2A2642D4661F}"/>
                </c:ext>
              </c:extLst>
            </c:dLbl>
            <c:dLbl>
              <c:idx val="18"/>
              <c:delete val="1"/>
              <c:extLst>
                <c:ext xmlns:c15="http://schemas.microsoft.com/office/drawing/2012/chart" uri="{CE6537A1-D6FC-4f65-9D91-7224C49458BB}"/>
                <c:ext xmlns:c16="http://schemas.microsoft.com/office/drawing/2014/chart" uri="{C3380CC4-5D6E-409C-BE32-E72D297353CC}">
                  <c16:uniqueId val="{00000012-8FD2-4167-A7FD-2A2642D4661F}"/>
                </c:ext>
              </c:extLst>
            </c:dLbl>
            <c:dLbl>
              <c:idx val="19"/>
              <c:delete val="1"/>
              <c:extLst>
                <c:ext xmlns:c15="http://schemas.microsoft.com/office/drawing/2012/chart" uri="{CE6537A1-D6FC-4f65-9D91-7224C49458BB}"/>
                <c:ext xmlns:c16="http://schemas.microsoft.com/office/drawing/2014/chart" uri="{C3380CC4-5D6E-409C-BE32-E72D297353CC}">
                  <c16:uniqueId val="{00000013-8FD2-4167-A7FD-2A2642D4661F}"/>
                </c:ext>
              </c:extLst>
            </c:dLbl>
            <c:dLbl>
              <c:idx val="20"/>
              <c:delete val="1"/>
              <c:extLst>
                <c:ext xmlns:c15="http://schemas.microsoft.com/office/drawing/2012/chart" uri="{CE6537A1-D6FC-4f65-9D91-7224C49458BB}"/>
                <c:ext xmlns:c16="http://schemas.microsoft.com/office/drawing/2014/chart" uri="{C3380CC4-5D6E-409C-BE32-E72D297353CC}">
                  <c16:uniqueId val="{00000014-8FD2-4167-A7FD-2A2642D4661F}"/>
                </c:ext>
              </c:extLst>
            </c:dLbl>
            <c:spPr>
              <a:noFill/>
              <a:ln>
                <a:noFill/>
              </a:ln>
              <a:effectLst/>
            </c:spPr>
            <c:txPr>
              <a:bodyPr wrap="square" lIns="38100" tIns="19050" rIns="38100" bIns="19050" anchor="ctr">
                <a:spAutoFit/>
              </a:bodyPr>
              <a:lstStyle/>
              <a:p>
                <a:pPr>
                  <a:defRPr sz="800">
                    <a:latin typeface="楷体_GB2312" panose="02010609030101010101" pitchFamily="49" charset="-122"/>
                    <a:ea typeface="楷体_GB2312" panose="02010609030101010101" pitchFamily="49" charset="-122"/>
                    <a:cs typeface="Arial" panose="020B0604020202020204" pitchFamily="34" charset="0"/>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中国基金分类情况统计!$A$2:$A$22</c:f>
              <c:strCache>
                <c:ptCount val="21"/>
                <c:pt idx="0">
                  <c:v>中长期纯债型基金</c:v>
                </c:pt>
                <c:pt idx="1">
                  <c:v>灵活配置型基金</c:v>
                </c:pt>
                <c:pt idx="2">
                  <c:v>偏股混合型基金</c:v>
                </c:pt>
                <c:pt idx="3">
                  <c:v>被动指数型基金</c:v>
                </c:pt>
                <c:pt idx="4">
                  <c:v>偏债混合型基金</c:v>
                </c:pt>
                <c:pt idx="5">
                  <c:v>货币市场型基金</c:v>
                </c:pt>
                <c:pt idx="6">
                  <c:v>混合债券型二级基金</c:v>
                </c:pt>
                <c:pt idx="7">
                  <c:v>普通股票型基金</c:v>
                </c:pt>
                <c:pt idx="8">
                  <c:v>短期纯债型基金</c:v>
                </c:pt>
                <c:pt idx="9">
                  <c:v>被动指数型债券基金</c:v>
                </c:pt>
                <c:pt idx="10">
                  <c:v>增强指数型基金</c:v>
                </c:pt>
                <c:pt idx="11">
                  <c:v>混合债券型一级基金</c:v>
                </c:pt>
                <c:pt idx="12">
                  <c:v>国际(QDII)股票型基金</c:v>
                </c:pt>
                <c:pt idx="13">
                  <c:v>平衡混合型基金</c:v>
                </c:pt>
                <c:pt idx="14">
                  <c:v>国际(QDII)债券型基金</c:v>
                </c:pt>
                <c:pt idx="15">
                  <c:v>国际(QDII)混合型基金</c:v>
                </c:pt>
                <c:pt idx="16">
                  <c:v>商品型基金</c:v>
                </c:pt>
                <c:pt idx="17">
                  <c:v>股票多空</c:v>
                </c:pt>
                <c:pt idx="18">
                  <c:v>国际(QDII)另类投资基金</c:v>
                </c:pt>
                <c:pt idx="19">
                  <c:v>REITs</c:v>
                </c:pt>
                <c:pt idx="20">
                  <c:v>增强指数型债券基金</c:v>
                </c:pt>
              </c:strCache>
            </c:strRef>
          </c:cat>
          <c:val>
            <c:numRef>
              <c:f>中国基金分类情况统计!$B$2:$B$22</c:f>
              <c:numCache>
                <c:formatCode>General</c:formatCode>
                <c:ptCount val="21"/>
                <c:pt idx="0">
                  <c:v>2309</c:v>
                </c:pt>
                <c:pt idx="1">
                  <c:v>2063</c:v>
                </c:pt>
                <c:pt idx="2">
                  <c:v>1855</c:v>
                </c:pt>
                <c:pt idx="3">
                  <c:v>1056</c:v>
                </c:pt>
                <c:pt idx="4">
                  <c:v>784</c:v>
                </c:pt>
                <c:pt idx="5">
                  <c:v>693</c:v>
                </c:pt>
                <c:pt idx="6">
                  <c:v>646</c:v>
                </c:pt>
                <c:pt idx="7">
                  <c:v>596</c:v>
                </c:pt>
                <c:pt idx="8">
                  <c:v>384</c:v>
                </c:pt>
                <c:pt idx="9">
                  <c:v>271</c:v>
                </c:pt>
                <c:pt idx="10">
                  <c:v>223</c:v>
                </c:pt>
                <c:pt idx="11">
                  <c:v>160</c:v>
                </c:pt>
                <c:pt idx="12">
                  <c:v>138</c:v>
                </c:pt>
                <c:pt idx="13">
                  <c:v>133</c:v>
                </c:pt>
                <c:pt idx="14">
                  <c:v>78</c:v>
                </c:pt>
                <c:pt idx="15">
                  <c:v>56</c:v>
                </c:pt>
                <c:pt idx="16">
                  <c:v>42</c:v>
                </c:pt>
                <c:pt idx="17">
                  <c:v>39</c:v>
                </c:pt>
                <c:pt idx="18">
                  <c:v>37</c:v>
                </c:pt>
                <c:pt idx="19">
                  <c:v>1</c:v>
                </c:pt>
                <c:pt idx="20">
                  <c:v>1</c:v>
                </c:pt>
              </c:numCache>
            </c:numRef>
          </c:val>
          <c:extLst>
            <c:ext xmlns:c16="http://schemas.microsoft.com/office/drawing/2014/chart" uri="{C3380CC4-5D6E-409C-BE32-E72D297353CC}">
              <c16:uniqueId val="{00000015-8FD2-4167-A7FD-2A2642D4661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'基金行业主题分类业绩评价基准-股指基准和债指基准统计'!$U$46</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'基金行业主题分类业绩评价基准-股指基准和债指基准统计'!$T$47:$T$57</c:f>
              <c:strCache>
                <c:ptCount val="11"/>
                <c:pt idx="0">
                  <c:v>中证医药卫生指数收益率</c:v>
                </c:pt>
                <c:pt idx="1">
                  <c:v>沪深300指数收益率</c:v>
                </c:pt>
                <c:pt idx="2">
                  <c:v>中证全指医药卫生指数收益率</c:v>
                </c:pt>
                <c:pt idx="3">
                  <c:v>申万医药生物行业指数收益率</c:v>
                </c:pt>
                <c:pt idx="4">
                  <c:v>中证细分医药产业主题指数收益率</c:v>
                </c:pt>
                <c:pt idx="5">
                  <c:v>中证生物医药指数收益率</c:v>
                </c:pt>
                <c:pt idx="6">
                  <c:v>中证医药100指数收益率</c:v>
                </c:pt>
                <c:pt idx="7">
                  <c:v>中证精准医疗主题指数收益率</c:v>
                </c:pt>
                <c:pt idx="8">
                  <c:v>中证生物科技主题指数收益率</c:v>
                </c:pt>
                <c:pt idx="9">
                  <c:v>中证医药指数收益率</c:v>
                </c:pt>
                <c:pt idx="10">
                  <c:v>沪深300医药卫生指数收益率</c:v>
                </c:pt>
              </c:strCache>
            </c:strRef>
          </c:cat>
          <c:val>
            <c:numRef>
              <c:f>'基金行业主题分类业绩评价基准-股指基准和债指基准统计'!$U$47:$U$57</c:f>
              <c:numCache>
                <c:formatCode>General</c:formatCode>
                <c:ptCount val="11"/>
                <c:pt idx="0">
                  <c:v>36</c:v>
                </c:pt>
                <c:pt idx="1">
                  <c:v>34</c:v>
                </c:pt>
                <c:pt idx="2">
                  <c:v>10</c:v>
                </c:pt>
                <c:pt idx="3">
                  <c:v>6</c:v>
                </c:pt>
                <c:pt idx="4">
                  <c:v>3</c:v>
                </c:pt>
                <c:pt idx="5">
                  <c:v>3</c:v>
                </c:pt>
                <c:pt idx="6">
                  <c:v>3</c:v>
                </c:pt>
                <c:pt idx="7">
                  <c:v>3</c:v>
                </c:pt>
                <c:pt idx="8">
                  <c:v>2</c:v>
                </c:pt>
                <c:pt idx="9">
                  <c:v>2</c:v>
                </c:pt>
                <c:pt idx="10">
                  <c:v>2</c:v>
                </c:pt>
              </c:numCache>
            </c:numRef>
          </c:val>
          <c:extLst>
            <c:ext xmlns:c16="http://schemas.microsoft.com/office/drawing/2014/chart" uri="{C3380CC4-5D6E-409C-BE32-E72D297353CC}">
              <c16:uniqueId val="{00000000-0778-401B-9770-82F8990A1B6F}"/>
            </c:ext>
          </c:extLst>
        </c:ser>
        <c:dLbls>
          <c:showLegendKey val="0"/>
          <c:showVal val="0"/>
          <c:showCatName val="0"/>
          <c:showSerName val="0"/>
          <c:showPercent val="0"/>
          <c:showBubbleSize val="0"/>
        </c:dLbls>
        <c:gapWidth val="182"/>
        <c:axId val="1099713320"/>
        <c:axId val="1099712008"/>
      </c:barChart>
      <c:catAx>
        <c:axId val="1099713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099712008"/>
        <c:crosses val="autoZero"/>
        <c:auto val="1"/>
        <c:lblAlgn val="ctr"/>
        <c:lblOffset val="100"/>
        <c:noMultiLvlLbl val="0"/>
      </c:catAx>
      <c:valAx>
        <c:axId val="1099712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713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'基金行业主题分类业绩评价基准-股指基准和债指基准统计'!$X$46</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'基金行业主题分类业绩评价基准-股指基准和债指基准统计'!$W$47:$W$57</c:f>
              <c:strCache>
                <c:ptCount val="11"/>
                <c:pt idx="0">
                  <c:v>上证国债指数收益率</c:v>
                </c:pt>
                <c:pt idx="1">
                  <c:v>中债综合指数收益率</c:v>
                </c:pt>
                <c:pt idx="2">
                  <c:v>中证全债指数收益率</c:v>
                </c:pt>
                <c:pt idx="3">
                  <c:v>中债综合全价(总值)指数收益率</c:v>
                </c:pt>
                <c:pt idx="4">
                  <c:v>银行人民币活期存款利率(税后)</c:v>
                </c:pt>
                <c:pt idx="5">
                  <c:v>中证综合债指数收益率</c:v>
                </c:pt>
                <c:pt idx="6">
                  <c:v>中债总指数收益率</c:v>
                </c:pt>
                <c:pt idx="7">
                  <c:v>商业银行活期存款利率(税后)</c:v>
                </c:pt>
                <c:pt idx="8">
                  <c:v>中债总指数(全价)收益率</c:v>
                </c:pt>
                <c:pt idx="9">
                  <c:v>活期存款利率(税后)</c:v>
                </c:pt>
                <c:pt idx="10">
                  <c:v>中债总财富(总值)指数收益率</c:v>
                </c:pt>
              </c:strCache>
            </c:strRef>
          </c:cat>
          <c:val>
            <c:numRef>
              <c:f>'基金行业主题分类业绩评价基准-股指基准和债指基准统计'!$X$47:$X$57</c:f>
              <c:numCache>
                <c:formatCode>General</c:formatCode>
                <c:ptCount val="11"/>
                <c:pt idx="0">
                  <c:v>15</c:v>
                </c:pt>
                <c:pt idx="1">
                  <c:v>14</c:v>
                </c:pt>
                <c:pt idx="2">
                  <c:v>12</c:v>
                </c:pt>
                <c:pt idx="3">
                  <c:v>8</c:v>
                </c:pt>
                <c:pt idx="4">
                  <c:v>14</c:v>
                </c:pt>
                <c:pt idx="5">
                  <c:v>9</c:v>
                </c:pt>
                <c:pt idx="6">
                  <c:v>4</c:v>
                </c:pt>
                <c:pt idx="7">
                  <c:v>4</c:v>
                </c:pt>
                <c:pt idx="8">
                  <c:v>4</c:v>
                </c:pt>
                <c:pt idx="9">
                  <c:v>3</c:v>
                </c:pt>
                <c:pt idx="10">
                  <c:v>2</c:v>
                </c:pt>
              </c:numCache>
            </c:numRef>
          </c:val>
          <c:extLst>
            <c:ext xmlns:c16="http://schemas.microsoft.com/office/drawing/2014/chart" uri="{C3380CC4-5D6E-409C-BE32-E72D297353CC}">
              <c16:uniqueId val="{00000000-7AE8-4F5B-B2DE-FA4BA33CDB36}"/>
            </c:ext>
          </c:extLst>
        </c:ser>
        <c:dLbls>
          <c:showLegendKey val="0"/>
          <c:showVal val="0"/>
          <c:showCatName val="0"/>
          <c:showSerName val="0"/>
          <c:showPercent val="0"/>
          <c:showBubbleSize val="0"/>
        </c:dLbls>
        <c:gapWidth val="182"/>
        <c:axId val="901401520"/>
        <c:axId val="901396272"/>
      </c:barChart>
      <c:catAx>
        <c:axId val="9014015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901396272"/>
        <c:crosses val="autoZero"/>
        <c:auto val="1"/>
        <c:lblAlgn val="ctr"/>
        <c:lblOffset val="100"/>
        <c:noMultiLvlLbl val="0"/>
      </c:catAx>
      <c:valAx>
        <c:axId val="901396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901401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'基金行业主题分类业绩评价基准-股指基准和债指基准统计'!$U$58</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'基金行业主题分类业绩评价基准-股指基准和债指基准统计'!$T$59:$T$68</c:f>
              <c:strCache>
                <c:ptCount val="10"/>
                <c:pt idx="0">
                  <c:v>沪深300指数收益率</c:v>
                </c:pt>
                <c:pt idx="1">
                  <c:v>中证银行指数收益率</c:v>
                </c:pt>
                <c:pt idx="2">
                  <c:v>中证800指数收益率</c:v>
                </c:pt>
                <c:pt idx="3">
                  <c:v>中债综合全价指数收益率</c:v>
                </c:pt>
                <c:pt idx="4">
                  <c:v>中债综合财富指数收益率</c:v>
                </c:pt>
                <c:pt idx="5">
                  <c:v>中证红利指数收益率</c:v>
                </c:pt>
                <c:pt idx="6">
                  <c:v>沪深300红利低波动指数收益率</c:v>
                </c:pt>
                <c:pt idx="7">
                  <c:v>央视财经50指数收益率</c:v>
                </c:pt>
                <c:pt idx="8">
                  <c:v>中证锐联基本面50指数收益率</c:v>
                </c:pt>
                <c:pt idx="9">
                  <c:v>中证浙江凤凰行动50指数收益率</c:v>
                </c:pt>
              </c:strCache>
            </c:strRef>
          </c:cat>
          <c:val>
            <c:numRef>
              <c:f>'基金行业主题分类业绩评价基准-股指基准和债指基准统计'!$U$59:$U$68</c:f>
              <c:numCache>
                <c:formatCode>General</c:formatCode>
                <c:ptCount val="10"/>
                <c:pt idx="0">
                  <c:v>37</c:v>
                </c:pt>
                <c:pt idx="1">
                  <c:v>21</c:v>
                </c:pt>
                <c:pt idx="2">
                  <c:v>8</c:v>
                </c:pt>
                <c:pt idx="3">
                  <c:v>6</c:v>
                </c:pt>
                <c:pt idx="4">
                  <c:v>5</c:v>
                </c:pt>
                <c:pt idx="5">
                  <c:v>4</c:v>
                </c:pt>
                <c:pt idx="6">
                  <c:v>3</c:v>
                </c:pt>
                <c:pt idx="7">
                  <c:v>3</c:v>
                </c:pt>
                <c:pt idx="8">
                  <c:v>3</c:v>
                </c:pt>
                <c:pt idx="9">
                  <c:v>2</c:v>
                </c:pt>
              </c:numCache>
            </c:numRef>
          </c:val>
          <c:extLst>
            <c:ext xmlns:c16="http://schemas.microsoft.com/office/drawing/2014/chart" uri="{C3380CC4-5D6E-409C-BE32-E72D297353CC}">
              <c16:uniqueId val="{00000000-EFE8-44ED-AE32-53AEAFD97742}"/>
            </c:ext>
          </c:extLst>
        </c:ser>
        <c:dLbls>
          <c:showLegendKey val="0"/>
          <c:showVal val="0"/>
          <c:showCatName val="0"/>
          <c:showSerName val="0"/>
          <c:showPercent val="0"/>
          <c:showBubbleSize val="0"/>
        </c:dLbls>
        <c:gapWidth val="182"/>
        <c:axId val="1099653624"/>
        <c:axId val="1099654280"/>
      </c:barChart>
      <c:catAx>
        <c:axId val="1099653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099654280"/>
        <c:crosses val="autoZero"/>
        <c:auto val="1"/>
        <c:lblAlgn val="ctr"/>
        <c:lblOffset val="100"/>
        <c:noMultiLvlLbl val="0"/>
      </c:catAx>
      <c:valAx>
        <c:axId val="1099654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099653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'基金行业主题分类业绩评价基准-股指基准和债指基准统计'!$X$58</c:f>
              <c:strCache>
                <c:ptCount val="1"/>
                <c:pt idx="0">
                  <c:v>基准对应的基金数目</c:v>
                </c:pt>
              </c:strCache>
            </c:strRef>
          </c:tx>
          <c:spPr>
            <a:solidFill>
              <a:schemeClr val="accent1"/>
            </a:solidFill>
            <a:ln>
              <a:noFill/>
            </a:ln>
            <a:effectLst/>
          </c:spPr>
          <c:invertIfNegative val="0"/>
          <c:cat>
            <c:strRef>
              <c:f>'基金行业主题分类业绩评价基准-股指基准和债指基准统计'!$W$59:$W$68</c:f>
              <c:strCache>
                <c:ptCount val="10"/>
                <c:pt idx="0">
                  <c:v>上证国债指数收益率</c:v>
                </c:pt>
                <c:pt idx="1">
                  <c:v>中债综合指数收益率</c:v>
                </c:pt>
                <c:pt idx="2">
                  <c:v>中证全债指数收益率</c:v>
                </c:pt>
                <c:pt idx="3">
                  <c:v>银行人民币活期存款利率(税后)</c:v>
                </c:pt>
                <c:pt idx="4">
                  <c:v>中国债券总指数收益率</c:v>
                </c:pt>
                <c:pt idx="5">
                  <c:v>中债国债总指数(全价)</c:v>
                </c:pt>
                <c:pt idx="6">
                  <c:v>金融机构人民币活期存款基准利率(税后)</c:v>
                </c:pt>
                <c:pt idx="7">
                  <c:v>中债总指数(财富)</c:v>
                </c:pt>
                <c:pt idx="8">
                  <c:v>银行同业存款利率</c:v>
                </c:pt>
                <c:pt idx="9">
                  <c:v>中债综合全价指数收益率</c:v>
                </c:pt>
              </c:strCache>
            </c:strRef>
          </c:cat>
          <c:val>
            <c:numRef>
              <c:f>'基金行业主题分类业绩评价基准-股指基准和债指基准统计'!$X$59:$X$68</c:f>
              <c:numCache>
                <c:formatCode>General</c:formatCode>
                <c:ptCount val="10"/>
                <c:pt idx="0">
                  <c:v>11</c:v>
                </c:pt>
                <c:pt idx="1">
                  <c:v>10</c:v>
                </c:pt>
                <c:pt idx="2">
                  <c:v>7</c:v>
                </c:pt>
                <c:pt idx="3">
                  <c:v>11</c:v>
                </c:pt>
                <c:pt idx="4">
                  <c:v>5</c:v>
                </c:pt>
                <c:pt idx="5">
                  <c:v>5</c:v>
                </c:pt>
                <c:pt idx="6">
                  <c:v>4</c:v>
                </c:pt>
                <c:pt idx="7">
                  <c:v>4</c:v>
                </c:pt>
                <c:pt idx="8">
                  <c:v>4</c:v>
                </c:pt>
                <c:pt idx="9">
                  <c:v>3</c:v>
                </c:pt>
              </c:numCache>
            </c:numRef>
          </c:val>
          <c:extLst>
            <c:ext xmlns:c16="http://schemas.microsoft.com/office/drawing/2014/chart" uri="{C3380CC4-5D6E-409C-BE32-E72D297353CC}">
              <c16:uniqueId val="{00000000-2428-4FD5-A78F-EF86E536CACE}"/>
            </c:ext>
          </c:extLst>
        </c:ser>
        <c:dLbls>
          <c:showLegendKey val="0"/>
          <c:showVal val="0"/>
          <c:showCatName val="0"/>
          <c:showSerName val="0"/>
          <c:showPercent val="0"/>
          <c:showBubbleSize val="0"/>
        </c:dLbls>
        <c:gapWidth val="182"/>
        <c:axId val="1414478088"/>
        <c:axId val="1414485304"/>
      </c:barChart>
      <c:catAx>
        <c:axId val="14144780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414485304"/>
        <c:crosses val="autoZero"/>
        <c:auto val="1"/>
        <c:lblAlgn val="ctr"/>
        <c:lblOffset val="100"/>
        <c:noMultiLvlLbl val="0"/>
      </c:catAx>
      <c:valAx>
        <c:axId val="1414485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414478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Lbls>
            <c:dLbl>
              <c:idx val="1"/>
              <c:layout>
                <c:manualLayout>
                  <c:x val="-5.0924639322046331E-3"/>
                  <c:y val="-7.832313643721364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7DB4-4A64-81E8-6EE853B537E6}"/>
                </c:ext>
              </c:extLst>
            </c:dLbl>
            <c:dLbl>
              <c:idx val="5"/>
              <c:showLegendKey val="0"/>
              <c:showVal val="0"/>
              <c:showCatName val="1"/>
              <c:showSerName val="0"/>
              <c:showPercent val="1"/>
              <c:showBubbleSize val="0"/>
              <c:extLst>
                <c:ext xmlns:c15="http://schemas.microsoft.com/office/drawing/2012/chart" uri="{CE6537A1-D6FC-4f65-9D91-7224C49458BB}">
                  <c15:layout>
                    <c:manualLayout>
                      <c:w val="0.17529215358931552"/>
                      <c:h val="0.26253337288638384"/>
                    </c:manualLayout>
                  </c15:layout>
                </c:ext>
                <c:ext xmlns:c16="http://schemas.microsoft.com/office/drawing/2014/chart" uri="{C3380CC4-5D6E-409C-BE32-E72D297353CC}">
                  <c16:uniqueId val="{0000002B-7DB4-4A64-81E8-6EE853B537E6}"/>
                </c:ext>
              </c:extLst>
            </c:dLbl>
            <c:dLbl>
              <c:idx val="6"/>
              <c:layout>
                <c:manualLayout>
                  <c:x val="-2.3042340909389666E-2"/>
                  <c:y val="1.707243580609973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DB4-4A64-81E8-6EE853B537E6}"/>
                </c:ext>
              </c:extLst>
            </c:dLbl>
            <c:dLbl>
              <c:idx val="7"/>
              <c:layout>
                <c:manualLayout>
                  <c:x val="-9.0424986526099926E-2"/>
                  <c:y val="-0.1247317906086420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7DB4-4A64-81E8-6EE853B537E6}"/>
                </c:ext>
              </c:extLst>
            </c:dLbl>
            <c:dLbl>
              <c:idx val="8"/>
              <c:delete val="1"/>
              <c:extLst>
                <c:ext xmlns:c15="http://schemas.microsoft.com/office/drawing/2012/chart" uri="{CE6537A1-D6FC-4f65-9D91-7224C49458BB}"/>
                <c:ext xmlns:c16="http://schemas.microsoft.com/office/drawing/2014/chart" uri="{C3380CC4-5D6E-409C-BE32-E72D297353CC}">
                  <c16:uniqueId val="{00000003-7DB4-4A64-81E8-6EE853B537E6}"/>
                </c:ext>
              </c:extLst>
            </c:dLbl>
            <c:dLbl>
              <c:idx val="9"/>
              <c:delete val="1"/>
              <c:extLst>
                <c:ext xmlns:c15="http://schemas.microsoft.com/office/drawing/2012/chart" uri="{CE6537A1-D6FC-4f65-9D91-7224C49458BB}"/>
                <c:ext xmlns:c16="http://schemas.microsoft.com/office/drawing/2014/chart" uri="{C3380CC4-5D6E-409C-BE32-E72D297353CC}">
                  <c16:uniqueId val="{00000004-7DB4-4A64-81E8-6EE853B537E6}"/>
                </c:ext>
              </c:extLst>
            </c:dLbl>
            <c:dLbl>
              <c:idx val="10"/>
              <c:delete val="1"/>
              <c:extLst>
                <c:ext xmlns:c15="http://schemas.microsoft.com/office/drawing/2012/chart" uri="{CE6537A1-D6FC-4f65-9D91-7224C49458BB}"/>
                <c:ext xmlns:c16="http://schemas.microsoft.com/office/drawing/2014/chart" uri="{C3380CC4-5D6E-409C-BE32-E72D297353CC}">
                  <c16:uniqueId val="{00000005-7DB4-4A64-81E8-6EE853B537E6}"/>
                </c:ext>
              </c:extLst>
            </c:dLbl>
            <c:dLbl>
              <c:idx val="11"/>
              <c:delete val="1"/>
              <c:extLst>
                <c:ext xmlns:c15="http://schemas.microsoft.com/office/drawing/2012/chart" uri="{CE6537A1-D6FC-4f65-9D91-7224C49458BB}"/>
                <c:ext xmlns:c16="http://schemas.microsoft.com/office/drawing/2014/chart" uri="{C3380CC4-5D6E-409C-BE32-E72D297353CC}">
                  <c16:uniqueId val="{00000006-7DB4-4A64-81E8-6EE853B537E6}"/>
                </c:ext>
              </c:extLst>
            </c:dLbl>
            <c:dLbl>
              <c:idx val="12"/>
              <c:delete val="1"/>
              <c:extLst>
                <c:ext xmlns:c15="http://schemas.microsoft.com/office/drawing/2012/chart" uri="{CE6537A1-D6FC-4f65-9D91-7224C49458BB}"/>
                <c:ext xmlns:c16="http://schemas.microsoft.com/office/drawing/2014/chart" uri="{C3380CC4-5D6E-409C-BE32-E72D297353CC}">
                  <c16:uniqueId val="{00000007-7DB4-4A64-81E8-6EE853B537E6}"/>
                </c:ext>
              </c:extLst>
            </c:dLbl>
            <c:dLbl>
              <c:idx val="13"/>
              <c:delete val="1"/>
              <c:extLst>
                <c:ext xmlns:c15="http://schemas.microsoft.com/office/drawing/2012/chart" uri="{CE6537A1-D6FC-4f65-9D91-7224C49458BB}"/>
                <c:ext xmlns:c16="http://schemas.microsoft.com/office/drawing/2014/chart" uri="{C3380CC4-5D6E-409C-BE32-E72D297353CC}">
                  <c16:uniqueId val="{00000008-7DB4-4A64-81E8-6EE853B537E6}"/>
                </c:ext>
              </c:extLst>
            </c:dLbl>
            <c:dLbl>
              <c:idx val="14"/>
              <c:delete val="1"/>
              <c:extLst>
                <c:ext xmlns:c15="http://schemas.microsoft.com/office/drawing/2012/chart" uri="{CE6537A1-D6FC-4f65-9D91-7224C49458BB}"/>
                <c:ext xmlns:c16="http://schemas.microsoft.com/office/drawing/2014/chart" uri="{C3380CC4-5D6E-409C-BE32-E72D297353CC}">
                  <c16:uniqueId val="{00000009-7DB4-4A64-81E8-6EE853B537E6}"/>
                </c:ext>
              </c:extLst>
            </c:dLbl>
            <c:dLbl>
              <c:idx val="15"/>
              <c:delete val="1"/>
              <c:extLst>
                <c:ext xmlns:c15="http://schemas.microsoft.com/office/drawing/2012/chart" uri="{CE6537A1-D6FC-4f65-9D91-7224C49458BB}"/>
                <c:ext xmlns:c16="http://schemas.microsoft.com/office/drawing/2014/chart" uri="{C3380CC4-5D6E-409C-BE32-E72D297353CC}">
                  <c16:uniqueId val="{0000000A-7DB4-4A64-81E8-6EE853B537E6}"/>
                </c:ext>
              </c:extLst>
            </c:dLbl>
            <c:dLbl>
              <c:idx val="16"/>
              <c:delete val="1"/>
              <c:extLst>
                <c:ext xmlns:c15="http://schemas.microsoft.com/office/drawing/2012/chart" uri="{CE6537A1-D6FC-4f65-9D91-7224C49458BB}"/>
                <c:ext xmlns:c16="http://schemas.microsoft.com/office/drawing/2014/chart" uri="{C3380CC4-5D6E-409C-BE32-E72D297353CC}">
                  <c16:uniqueId val="{0000000B-7DB4-4A64-81E8-6EE853B537E6}"/>
                </c:ext>
              </c:extLst>
            </c:dLbl>
            <c:dLbl>
              <c:idx val="17"/>
              <c:delete val="1"/>
              <c:extLst>
                <c:ext xmlns:c15="http://schemas.microsoft.com/office/drawing/2012/chart" uri="{CE6537A1-D6FC-4f65-9D91-7224C49458BB}"/>
                <c:ext xmlns:c16="http://schemas.microsoft.com/office/drawing/2014/chart" uri="{C3380CC4-5D6E-409C-BE32-E72D297353CC}">
                  <c16:uniqueId val="{0000000C-7DB4-4A64-81E8-6EE853B537E6}"/>
                </c:ext>
              </c:extLst>
            </c:dLbl>
            <c:dLbl>
              <c:idx val="18"/>
              <c:delete val="1"/>
              <c:extLst>
                <c:ext xmlns:c15="http://schemas.microsoft.com/office/drawing/2012/chart" uri="{CE6537A1-D6FC-4f65-9D91-7224C49458BB}"/>
                <c:ext xmlns:c16="http://schemas.microsoft.com/office/drawing/2014/chart" uri="{C3380CC4-5D6E-409C-BE32-E72D297353CC}">
                  <c16:uniqueId val="{0000000D-7DB4-4A64-81E8-6EE853B537E6}"/>
                </c:ext>
              </c:extLst>
            </c:dLbl>
            <c:dLbl>
              <c:idx val="19"/>
              <c:delete val="1"/>
              <c:extLst>
                <c:ext xmlns:c15="http://schemas.microsoft.com/office/drawing/2012/chart" uri="{CE6537A1-D6FC-4f65-9D91-7224C49458BB}"/>
                <c:ext xmlns:c16="http://schemas.microsoft.com/office/drawing/2014/chart" uri="{C3380CC4-5D6E-409C-BE32-E72D297353CC}">
                  <c16:uniqueId val="{0000000E-7DB4-4A64-81E8-6EE853B537E6}"/>
                </c:ext>
              </c:extLst>
            </c:dLbl>
            <c:dLbl>
              <c:idx val="20"/>
              <c:delete val="1"/>
              <c:extLst>
                <c:ext xmlns:c15="http://schemas.microsoft.com/office/drawing/2012/chart" uri="{CE6537A1-D6FC-4f65-9D91-7224C49458BB}"/>
                <c:ext xmlns:c16="http://schemas.microsoft.com/office/drawing/2014/chart" uri="{C3380CC4-5D6E-409C-BE32-E72D297353CC}">
                  <c16:uniqueId val="{0000000F-7DB4-4A64-81E8-6EE853B537E6}"/>
                </c:ext>
              </c:extLst>
            </c:dLbl>
            <c:dLbl>
              <c:idx val="21"/>
              <c:delete val="1"/>
              <c:extLst>
                <c:ext xmlns:c15="http://schemas.microsoft.com/office/drawing/2012/chart" uri="{CE6537A1-D6FC-4f65-9D91-7224C49458BB}"/>
                <c:ext xmlns:c16="http://schemas.microsoft.com/office/drawing/2014/chart" uri="{C3380CC4-5D6E-409C-BE32-E72D297353CC}">
                  <c16:uniqueId val="{00000010-7DB4-4A64-81E8-6EE853B537E6}"/>
                </c:ext>
              </c:extLst>
            </c:dLbl>
            <c:dLbl>
              <c:idx val="22"/>
              <c:delete val="1"/>
              <c:extLst>
                <c:ext xmlns:c15="http://schemas.microsoft.com/office/drawing/2012/chart" uri="{CE6537A1-D6FC-4f65-9D91-7224C49458BB}"/>
                <c:ext xmlns:c16="http://schemas.microsoft.com/office/drawing/2014/chart" uri="{C3380CC4-5D6E-409C-BE32-E72D297353CC}">
                  <c16:uniqueId val="{00000011-7DB4-4A64-81E8-6EE853B537E6}"/>
                </c:ext>
              </c:extLst>
            </c:dLbl>
            <c:dLbl>
              <c:idx val="23"/>
              <c:delete val="1"/>
              <c:extLst>
                <c:ext xmlns:c15="http://schemas.microsoft.com/office/drawing/2012/chart" uri="{CE6537A1-D6FC-4f65-9D91-7224C49458BB}"/>
                <c:ext xmlns:c16="http://schemas.microsoft.com/office/drawing/2014/chart" uri="{C3380CC4-5D6E-409C-BE32-E72D297353CC}">
                  <c16:uniqueId val="{00000012-7DB4-4A64-81E8-6EE853B537E6}"/>
                </c:ext>
              </c:extLst>
            </c:dLbl>
            <c:dLbl>
              <c:idx val="24"/>
              <c:delete val="1"/>
              <c:extLst>
                <c:ext xmlns:c15="http://schemas.microsoft.com/office/drawing/2012/chart" uri="{CE6537A1-D6FC-4f65-9D91-7224C49458BB}"/>
                <c:ext xmlns:c16="http://schemas.microsoft.com/office/drawing/2014/chart" uri="{C3380CC4-5D6E-409C-BE32-E72D297353CC}">
                  <c16:uniqueId val="{00000013-7DB4-4A64-81E8-6EE853B537E6}"/>
                </c:ext>
              </c:extLst>
            </c:dLbl>
            <c:dLbl>
              <c:idx val="25"/>
              <c:delete val="1"/>
              <c:extLst>
                <c:ext xmlns:c15="http://schemas.microsoft.com/office/drawing/2012/chart" uri="{CE6537A1-D6FC-4f65-9D91-7224C49458BB}"/>
                <c:ext xmlns:c16="http://schemas.microsoft.com/office/drawing/2014/chart" uri="{C3380CC4-5D6E-409C-BE32-E72D297353CC}">
                  <c16:uniqueId val="{00000014-7DB4-4A64-81E8-6EE853B537E6}"/>
                </c:ext>
              </c:extLst>
            </c:dLbl>
            <c:dLbl>
              <c:idx val="26"/>
              <c:delete val="1"/>
              <c:extLst>
                <c:ext xmlns:c15="http://schemas.microsoft.com/office/drawing/2012/chart" uri="{CE6537A1-D6FC-4f65-9D91-7224C49458BB}"/>
                <c:ext xmlns:c16="http://schemas.microsoft.com/office/drawing/2014/chart" uri="{C3380CC4-5D6E-409C-BE32-E72D297353CC}">
                  <c16:uniqueId val="{00000015-7DB4-4A64-81E8-6EE853B537E6}"/>
                </c:ext>
              </c:extLst>
            </c:dLbl>
            <c:dLbl>
              <c:idx val="27"/>
              <c:delete val="1"/>
              <c:extLst>
                <c:ext xmlns:c15="http://schemas.microsoft.com/office/drawing/2012/chart" uri="{CE6537A1-D6FC-4f65-9D91-7224C49458BB}"/>
                <c:ext xmlns:c16="http://schemas.microsoft.com/office/drawing/2014/chart" uri="{C3380CC4-5D6E-409C-BE32-E72D297353CC}">
                  <c16:uniqueId val="{00000016-7DB4-4A64-81E8-6EE853B537E6}"/>
                </c:ext>
              </c:extLst>
            </c:dLbl>
            <c:dLbl>
              <c:idx val="28"/>
              <c:delete val="1"/>
              <c:extLst>
                <c:ext xmlns:c15="http://schemas.microsoft.com/office/drawing/2012/chart" uri="{CE6537A1-D6FC-4f65-9D91-7224C49458BB}"/>
                <c:ext xmlns:c16="http://schemas.microsoft.com/office/drawing/2014/chart" uri="{C3380CC4-5D6E-409C-BE32-E72D297353CC}">
                  <c16:uniqueId val="{00000017-7DB4-4A64-81E8-6EE853B537E6}"/>
                </c:ext>
              </c:extLst>
            </c:dLbl>
            <c:dLbl>
              <c:idx val="29"/>
              <c:delete val="1"/>
              <c:extLst>
                <c:ext xmlns:c15="http://schemas.microsoft.com/office/drawing/2012/chart" uri="{CE6537A1-D6FC-4f65-9D91-7224C49458BB}"/>
                <c:ext xmlns:c16="http://schemas.microsoft.com/office/drawing/2014/chart" uri="{C3380CC4-5D6E-409C-BE32-E72D297353CC}">
                  <c16:uniqueId val="{00000018-7DB4-4A64-81E8-6EE853B537E6}"/>
                </c:ext>
              </c:extLst>
            </c:dLbl>
            <c:dLbl>
              <c:idx val="30"/>
              <c:delete val="1"/>
              <c:extLst>
                <c:ext xmlns:c15="http://schemas.microsoft.com/office/drawing/2012/chart" uri="{CE6537A1-D6FC-4f65-9D91-7224C49458BB}"/>
                <c:ext xmlns:c16="http://schemas.microsoft.com/office/drawing/2014/chart" uri="{C3380CC4-5D6E-409C-BE32-E72D297353CC}">
                  <c16:uniqueId val="{00000019-7DB4-4A64-81E8-6EE853B537E6}"/>
                </c:ext>
              </c:extLst>
            </c:dLbl>
            <c:dLbl>
              <c:idx val="31"/>
              <c:delete val="1"/>
              <c:extLst>
                <c:ext xmlns:c15="http://schemas.microsoft.com/office/drawing/2012/chart" uri="{CE6537A1-D6FC-4f65-9D91-7224C49458BB}"/>
                <c:ext xmlns:c16="http://schemas.microsoft.com/office/drawing/2014/chart" uri="{C3380CC4-5D6E-409C-BE32-E72D297353CC}">
                  <c16:uniqueId val="{0000001A-7DB4-4A64-81E8-6EE853B537E6}"/>
                </c:ext>
              </c:extLst>
            </c:dLbl>
            <c:dLbl>
              <c:idx val="32"/>
              <c:delete val="1"/>
              <c:extLst>
                <c:ext xmlns:c15="http://schemas.microsoft.com/office/drawing/2012/chart" uri="{CE6537A1-D6FC-4f65-9D91-7224C49458BB}"/>
                <c:ext xmlns:c16="http://schemas.microsoft.com/office/drawing/2014/chart" uri="{C3380CC4-5D6E-409C-BE32-E72D297353CC}">
                  <c16:uniqueId val="{0000001B-7DB4-4A64-81E8-6EE853B537E6}"/>
                </c:ext>
              </c:extLst>
            </c:dLbl>
            <c:dLbl>
              <c:idx val="33"/>
              <c:delete val="1"/>
              <c:extLst>
                <c:ext xmlns:c15="http://schemas.microsoft.com/office/drawing/2012/chart" uri="{CE6537A1-D6FC-4f65-9D91-7224C49458BB}"/>
                <c:ext xmlns:c16="http://schemas.microsoft.com/office/drawing/2014/chart" uri="{C3380CC4-5D6E-409C-BE32-E72D297353CC}">
                  <c16:uniqueId val="{0000001C-7DB4-4A64-81E8-6EE853B537E6}"/>
                </c:ext>
              </c:extLst>
            </c:dLbl>
            <c:dLbl>
              <c:idx val="34"/>
              <c:delete val="1"/>
              <c:extLst>
                <c:ext xmlns:c15="http://schemas.microsoft.com/office/drawing/2012/chart" uri="{CE6537A1-D6FC-4f65-9D91-7224C49458BB}"/>
                <c:ext xmlns:c16="http://schemas.microsoft.com/office/drawing/2014/chart" uri="{C3380CC4-5D6E-409C-BE32-E72D297353CC}">
                  <c16:uniqueId val="{0000001D-7DB4-4A64-81E8-6EE853B537E6}"/>
                </c:ext>
              </c:extLst>
            </c:dLbl>
            <c:dLbl>
              <c:idx val="35"/>
              <c:delete val="1"/>
              <c:extLst>
                <c:ext xmlns:c15="http://schemas.microsoft.com/office/drawing/2012/chart" uri="{CE6537A1-D6FC-4f65-9D91-7224C49458BB}"/>
                <c:ext xmlns:c16="http://schemas.microsoft.com/office/drawing/2014/chart" uri="{C3380CC4-5D6E-409C-BE32-E72D297353CC}">
                  <c16:uniqueId val="{0000001E-7DB4-4A64-81E8-6EE853B537E6}"/>
                </c:ext>
              </c:extLst>
            </c:dLbl>
            <c:dLbl>
              <c:idx val="36"/>
              <c:delete val="1"/>
              <c:extLst>
                <c:ext xmlns:c15="http://schemas.microsoft.com/office/drawing/2012/chart" uri="{CE6537A1-D6FC-4f65-9D91-7224C49458BB}"/>
                <c:ext xmlns:c16="http://schemas.microsoft.com/office/drawing/2014/chart" uri="{C3380CC4-5D6E-409C-BE32-E72D297353CC}">
                  <c16:uniqueId val="{0000001F-7DB4-4A64-81E8-6EE853B537E6}"/>
                </c:ext>
              </c:extLst>
            </c:dLbl>
            <c:dLbl>
              <c:idx val="37"/>
              <c:delete val="1"/>
              <c:extLst>
                <c:ext xmlns:c15="http://schemas.microsoft.com/office/drawing/2012/chart" uri="{CE6537A1-D6FC-4f65-9D91-7224C49458BB}"/>
                <c:ext xmlns:c16="http://schemas.microsoft.com/office/drawing/2014/chart" uri="{C3380CC4-5D6E-409C-BE32-E72D297353CC}">
                  <c16:uniqueId val="{00000020-7DB4-4A64-81E8-6EE853B537E6}"/>
                </c:ext>
              </c:extLst>
            </c:dLbl>
            <c:dLbl>
              <c:idx val="38"/>
              <c:delete val="1"/>
              <c:extLst>
                <c:ext xmlns:c15="http://schemas.microsoft.com/office/drawing/2012/chart" uri="{CE6537A1-D6FC-4f65-9D91-7224C49458BB}"/>
                <c:ext xmlns:c16="http://schemas.microsoft.com/office/drawing/2014/chart" uri="{C3380CC4-5D6E-409C-BE32-E72D297353CC}">
                  <c16:uniqueId val="{00000021-7DB4-4A64-81E8-6EE853B537E6}"/>
                </c:ext>
              </c:extLst>
            </c:dLbl>
            <c:dLbl>
              <c:idx val="39"/>
              <c:delete val="1"/>
              <c:extLst>
                <c:ext xmlns:c15="http://schemas.microsoft.com/office/drawing/2012/chart" uri="{CE6537A1-D6FC-4f65-9D91-7224C49458BB}"/>
                <c:ext xmlns:c16="http://schemas.microsoft.com/office/drawing/2014/chart" uri="{C3380CC4-5D6E-409C-BE32-E72D297353CC}">
                  <c16:uniqueId val="{00000022-7DB4-4A64-81E8-6EE853B537E6}"/>
                </c:ext>
              </c:extLst>
            </c:dLbl>
            <c:dLbl>
              <c:idx val="40"/>
              <c:delete val="1"/>
              <c:extLst>
                <c:ext xmlns:c15="http://schemas.microsoft.com/office/drawing/2012/chart" uri="{CE6537A1-D6FC-4f65-9D91-7224C49458BB}"/>
                <c:ext xmlns:c16="http://schemas.microsoft.com/office/drawing/2014/chart" uri="{C3380CC4-5D6E-409C-BE32-E72D297353CC}">
                  <c16:uniqueId val="{00000023-7DB4-4A64-81E8-6EE853B537E6}"/>
                </c:ext>
              </c:extLst>
            </c:dLbl>
            <c:dLbl>
              <c:idx val="41"/>
              <c:delete val="1"/>
              <c:extLst>
                <c:ext xmlns:c15="http://schemas.microsoft.com/office/drawing/2012/chart" uri="{CE6537A1-D6FC-4f65-9D91-7224C49458BB}"/>
                <c:ext xmlns:c16="http://schemas.microsoft.com/office/drawing/2014/chart" uri="{C3380CC4-5D6E-409C-BE32-E72D297353CC}">
                  <c16:uniqueId val="{00000024-7DB4-4A64-81E8-6EE853B537E6}"/>
                </c:ext>
              </c:extLst>
            </c:dLbl>
            <c:dLbl>
              <c:idx val="42"/>
              <c:delete val="1"/>
              <c:extLst>
                <c:ext xmlns:c15="http://schemas.microsoft.com/office/drawing/2012/chart" uri="{CE6537A1-D6FC-4f65-9D91-7224C49458BB}"/>
                <c:ext xmlns:c16="http://schemas.microsoft.com/office/drawing/2014/chart" uri="{C3380CC4-5D6E-409C-BE32-E72D297353CC}">
                  <c16:uniqueId val="{00000025-7DB4-4A64-81E8-6EE853B537E6}"/>
                </c:ext>
              </c:extLst>
            </c:dLbl>
            <c:dLbl>
              <c:idx val="43"/>
              <c:delete val="1"/>
              <c:extLst>
                <c:ext xmlns:c15="http://schemas.microsoft.com/office/drawing/2012/chart" uri="{CE6537A1-D6FC-4f65-9D91-7224C49458BB}"/>
                <c:ext xmlns:c16="http://schemas.microsoft.com/office/drawing/2014/chart" uri="{C3380CC4-5D6E-409C-BE32-E72D297353CC}">
                  <c16:uniqueId val="{00000026-7DB4-4A64-81E8-6EE853B537E6}"/>
                </c:ext>
              </c:extLst>
            </c:dLbl>
            <c:dLbl>
              <c:idx val="44"/>
              <c:delete val="1"/>
              <c:extLst>
                <c:ext xmlns:c15="http://schemas.microsoft.com/office/drawing/2012/chart" uri="{CE6537A1-D6FC-4f65-9D91-7224C49458BB}"/>
                <c:ext xmlns:c16="http://schemas.microsoft.com/office/drawing/2014/chart" uri="{C3380CC4-5D6E-409C-BE32-E72D297353CC}">
                  <c16:uniqueId val="{00000027-7DB4-4A64-81E8-6EE853B537E6}"/>
                </c:ext>
              </c:extLst>
            </c:dLbl>
            <c:dLbl>
              <c:idx val="45"/>
              <c:delete val="1"/>
              <c:extLst>
                <c:ext xmlns:c15="http://schemas.microsoft.com/office/drawing/2012/chart" uri="{CE6537A1-D6FC-4f65-9D91-7224C49458BB}"/>
                <c:ext xmlns:c16="http://schemas.microsoft.com/office/drawing/2014/chart" uri="{C3380CC4-5D6E-409C-BE32-E72D297353CC}">
                  <c16:uniqueId val="{00000028-7DB4-4A64-81E8-6EE853B537E6}"/>
                </c:ext>
              </c:extLst>
            </c:dLbl>
            <c:spPr>
              <a:noFill/>
              <a:ln>
                <a:noFill/>
              </a:ln>
              <a:effectLst/>
            </c:spPr>
            <c:txPr>
              <a:bodyPr wrap="square" lIns="38100" tIns="19050" rIns="38100" bIns="19050" anchor="ctr">
                <a:spAutoFit/>
              </a:bodyPr>
              <a:lstStyle/>
              <a:p>
                <a:pPr>
                  <a:defRPr sz="800">
                    <a:latin typeface="楷体_GB2312" panose="02010609030101010101" pitchFamily="49" charset="-122"/>
                    <a:ea typeface="楷体_GB2312" panose="02010609030101010101" pitchFamily="49" charset="-122"/>
                    <a:cs typeface="Arial" panose="020B0604020202020204" pitchFamily="34" charset="0"/>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中国基金分类情况统计!$G$2:$G$47</c:f>
              <c:strCache>
                <c:ptCount val="46"/>
                <c:pt idx="0">
                  <c:v>酒类行业主题基金</c:v>
                </c:pt>
                <c:pt idx="1">
                  <c:v>电子元器件行业主题基金</c:v>
                </c:pt>
                <c:pt idx="2">
                  <c:v>电工电网行业主题基金</c:v>
                </c:pt>
                <c:pt idx="3">
                  <c:v>半导体行业主题基金</c:v>
                </c:pt>
                <c:pt idx="4">
                  <c:v>生物科技行业主题基金</c:v>
                </c:pt>
                <c:pt idx="5">
                  <c:v>银行行业主题基金</c:v>
                </c:pt>
                <c:pt idx="6">
                  <c:v>家用电器行业主题基金</c:v>
                </c:pt>
                <c:pt idx="7">
                  <c:v>保险行业主题基金</c:v>
                </c:pt>
                <c:pt idx="8">
                  <c:v>房地产行业主题基金</c:v>
                </c:pt>
                <c:pt idx="9">
                  <c:v>券商行业主题基金</c:v>
                </c:pt>
                <c:pt idx="10">
                  <c:v>软件行业主题基金</c:v>
                </c:pt>
                <c:pt idx="11">
                  <c:v>制药行业主题基金</c:v>
                </c:pt>
                <c:pt idx="12">
                  <c:v>医疗保健行业主题基金</c:v>
                </c:pt>
                <c:pt idx="13">
                  <c:v>贵金属行业主题基金</c:v>
                </c:pt>
                <c:pt idx="14">
                  <c:v>食品行业主题基金</c:v>
                </c:pt>
                <c:pt idx="15">
                  <c:v>工业机械行业主题基金</c:v>
                </c:pt>
                <c:pt idx="16">
                  <c:v>互联网行业主题基金</c:v>
                </c:pt>
                <c:pt idx="17">
                  <c:v>航天军工行业主题基金</c:v>
                </c:pt>
                <c:pt idx="18">
                  <c:v>建筑行业主题基金</c:v>
                </c:pt>
                <c:pt idx="19">
                  <c:v>农业行业主题基金</c:v>
                </c:pt>
                <c:pt idx="20">
                  <c:v>建材行业主题基金</c:v>
                </c:pt>
                <c:pt idx="21">
                  <c:v>文化传媒行业主题基金</c:v>
                </c:pt>
                <c:pt idx="22">
                  <c:v>精细化工行业主题基金</c:v>
                </c:pt>
                <c:pt idx="23">
                  <c:v>餐饮旅游行业主题基金</c:v>
                </c:pt>
                <c:pt idx="24">
                  <c:v>基本金属行业主题基金</c:v>
                </c:pt>
                <c:pt idx="25">
                  <c:v>汽车零部件行业主题基金</c:v>
                </c:pt>
                <c:pt idx="26">
                  <c:v>零售行业主题基金</c:v>
                </c:pt>
                <c:pt idx="27">
                  <c:v>电脑硬件行业主题基金</c:v>
                </c:pt>
                <c:pt idx="28">
                  <c:v>航空行业主题基金</c:v>
                </c:pt>
                <c:pt idx="29">
                  <c:v>煤炭行业主题基金</c:v>
                </c:pt>
                <c:pt idx="30">
                  <c:v>汽车行业主题基金</c:v>
                </c:pt>
                <c:pt idx="31">
                  <c:v>发电设备行业主题基金</c:v>
                </c:pt>
                <c:pt idx="32">
                  <c:v>化工原料行业主题基金</c:v>
                </c:pt>
                <c:pt idx="33">
                  <c:v>钢铁行业主题基金</c:v>
                </c:pt>
                <c:pt idx="34">
                  <c:v>家居用品行业主题基金</c:v>
                </c:pt>
                <c:pt idx="35">
                  <c:v>通信设备行业主题基金</c:v>
                </c:pt>
                <c:pt idx="36">
                  <c:v>化肥农药行业主题基金</c:v>
                </c:pt>
                <c:pt idx="37">
                  <c:v>电力行业主题基金</c:v>
                </c:pt>
                <c:pt idx="38">
                  <c:v>工程机械行业主题基金</c:v>
                </c:pt>
                <c:pt idx="39">
                  <c:v>环保行业主题基金</c:v>
                </c:pt>
                <c:pt idx="40">
                  <c:v>商业服务行业主题基金</c:v>
                </c:pt>
                <c:pt idx="41">
                  <c:v>包装行业主题基金</c:v>
                </c:pt>
                <c:pt idx="42">
                  <c:v>纺织服装行业主题基金</c:v>
                </c:pt>
                <c:pt idx="43">
                  <c:v>机场行业主题基金</c:v>
                </c:pt>
                <c:pt idx="44">
                  <c:v>重型机械行业主题基金</c:v>
                </c:pt>
                <c:pt idx="45">
                  <c:v>日用化工行业主题基金</c:v>
                </c:pt>
              </c:strCache>
            </c:strRef>
          </c:cat>
          <c:val>
            <c:numRef>
              <c:f>中国基金分类情况统计!$H$2:$H$47</c:f>
              <c:numCache>
                <c:formatCode>General</c:formatCode>
                <c:ptCount val="46"/>
                <c:pt idx="0">
                  <c:v>470</c:v>
                </c:pt>
                <c:pt idx="1">
                  <c:v>381</c:v>
                </c:pt>
                <c:pt idx="2">
                  <c:v>183</c:v>
                </c:pt>
                <c:pt idx="3">
                  <c:v>164</c:v>
                </c:pt>
                <c:pt idx="4">
                  <c:v>123</c:v>
                </c:pt>
                <c:pt idx="5">
                  <c:v>119</c:v>
                </c:pt>
                <c:pt idx="6">
                  <c:v>116</c:v>
                </c:pt>
                <c:pt idx="7">
                  <c:v>86</c:v>
                </c:pt>
                <c:pt idx="8">
                  <c:v>85</c:v>
                </c:pt>
                <c:pt idx="9">
                  <c:v>77</c:v>
                </c:pt>
                <c:pt idx="10">
                  <c:v>77</c:v>
                </c:pt>
                <c:pt idx="11">
                  <c:v>72</c:v>
                </c:pt>
                <c:pt idx="12">
                  <c:v>61</c:v>
                </c:pt>
                <c:pt idx="13">
                  <c:v>38</c:v>
                </c:pt>
                <c:pt idx="14">
                  <c:v>35</c:v>
                </c:pt>
                <c:pt idx="15">
                  <c:v>33</c:v>
                </c:pt>
                <c:pt idx="16">
                  <c:v>29</c:v>
                </c:pt>
                <c:pt idx="17">
                  <c:v>25</c:v>
                </c:pt>
                <c:pt idx="18">
                  <c:v>24</c:v>
                </c:pt>
                <c:pt idx="19">
                  <c:v>20</c:v>
                </c:pt>
                <c:pt idx="20">
                  <c:v>18</c:v>
                </c:pt>
                <c:pt idx="21">
                  <c:v>14</c:v>
                </c:pt>
                <c:pt idx="22">
                  <c:v>13</c:v>
                </c:pt>
                <c:pt idx="23">
                  <c:v>12</c:v>
                </c:pt>
                <c:pt idx="24">
                  <c:v>12</c:v>
                </c:pt>
                <c:pt idx="25">
                  <c:v>12</c:v>
                </c:pt>
                <c:pt idx="26">
                  <c:v>11</c:v>
                </c:pt>
                <c:pt idx="27">
                  <c:v>10</c:v>
                </c:pt>
                <c:pt idx="28">
                  <c:v>9</c:v>
                </c:pt>
                <c:pt idx="29">
                  <c:v>9</c:v>
                </c:pt>
                <c:pt idx="30">
                  <c:v>8</c:v>
                </c:pt>
                <c:pt idx="31">
                  <c:v>7</c:v>
                </c:pt>
                <c:pt idx="32">
                  <c:v>7</c:v>
                </c:pt>
                <c:pt idx="33">
                  <c:v>6</c:v>
                </c:pt>
                <c:pt idx="34">
                  <c:v>6</c:v>
                </c:pt>
                <c:pt idx="35">
                  <c:v>6</c:v>
                </c:pt>
                <c:pt idx="36">
                  <c:v>5</c:v>
                </c:pt>
                <c:pt idx="37">
                  <c:v>4</c:v>
                </c:pt>
                <c:pt idx="38">
                  <c:v>3</c:v>
                </c:pt>
                <c:pt idx="39">
                  <c:v>3</c:v>
                </c:pt>
                <c:pt idx="40">
                  <c:v>3</c:v>
                </c:pt>
                <c:pt idx="41">
                  <c:v>2</c:v>
                </c:pt>
                <c:pt idx="42">
                  <c:v>2</c:v>
                </c:pt>
                <c:pt idx="43">
                  <c:v>2</c:v>
                </c:pt>
                <c:pt idx="44">
                  <c:v>2</c:v>
                </c:pt>
                <c:pt idx="45">
                  <c:v>1</c:v>
                </c:pt>
              </c:numCache>
            </c:numRef>
          </c:val>
          <c:extLst>
            <c:ext xmlns:c16="http://schemas.microsoft.com/office/drawing/2014/chart" uri="{C3380CC4-5D6E-409C-BE32-E72D297353CC}">
              <c16:uniqueId val="{00000029-7DB4-4A64-81E8-6EE853B537E6}"/>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'基金二级分类业绩评价基准-股指基准和债指基准统计'!$C$1</c:f>
              <c:strCache>
                <c:ptCount val="1"/>
                <c:pt idx="0">
                  <c:v>第一基准对应的基金数目</c:v>
                </c:pt>
              </c:strCache>
            </c:strRef>
          </c:tx>
          <c:spPr>
            <a:solidFill>
              <a:schemeClr val="accent1"/>
            </a:solidFill>
            <a:ln>
              <a:noFill/>
            </a:ln>
            <a:effectLst/>
          </c:spPr>
          <c:invertIfNegative val="0"/>
          <c:cat>
            <c:strRef>
              <c:f>'基金二级分类业绩评价基准-股指基准和债指基准统计'!$B$2:$B$6</c:f>
              <c:strCache>
                <c:ptCount val="5"/>
                <c:pt idx="0">
                  <c:v>沪深300指数收益率</c:v>
                </c:pt>
                <c:pt idx="1">
                  <c:v>中证800指数收益率</c:v>
                </c:pt>
                <c:pt idx="2">
                  <c:v>中证500指数收益率</c:v>
                </c:pt>
                <c:pt idx="3">
                  <c:v>中国战略新兴产业成份指数收益率</c:v>
                </c:pt>
                <c:pt idx="4">
                  <c:v>中证医药卫生指数收益率</c:v>
                </c:pt>
              </c:strCache>
            </c:strRef>
          </c:cat>
          <c:val>
            <c:numRef>
              <c:f>'基金二级分类业绩评价基准-股指基准和债指基准统计'!$C$2:$C$6</c:f>
              <c:numCache>
                <c:formatCode>General</c:formatCode>
                <c:ptCount val="5"/>
                <c:pt idx="0">
                  <c:v>947</c:v>
                </c:pt>
                <c:pt idx="1">
                  <c:v>278</c:v>
                </c:pt>
                <c:pt idx="2">
                  <c:v>71</c:v>
                </c:pt>
                <c:pt idx="3">
                  <c:v>67</c:v>
                </c:pt>
                <c:pt idx="4">
                  <c:v>34</c:v>
                </c:pt>
              </c:numCache>
            </c:numRef>
          </c:val>
          <c:extLst>
            <c:ext xmlns:c16="http://schemas.microsoft.com/office/drawing/2014/chart" uri="{C3380CC4-5D6E-409C-BE32-E72D297353CC}">
              <c16:uniqueId val="{00000000-5167-48B6-B451-B350973A2945}"/>
            </c:ext>
          </c:extLst>
        </c:ser>
        <c:dLbls>
          <c:showLegendKey val="0"/>
          <c:showVal val="0"/>
          <c:showCatName val="0"/>
          <c:showSerName val="0"/>
          <c:showPercent val="0"/>
          <c:showBubbleSize val="0"/>
        </c:dLbls>
        <c:gapWidth val="182"/>
        <c:axId val="1289516104"/>
        <c:axId val="1289522008"/>
      </c:barChart>
      <c:catAx>
        <c:axId val="12895161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289522008"/>
        <c:crosses val="autoZero"/>
        <c:auto val="1"/>
        <c:lblAlgn val="ctr"/>
        <c:lblOffset val="100"/>
        <c:noMultiLvlLbl val="0"/>
      </c:catAx>
      <c:valAx>
        <c:axId val="1289522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289516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'基金二级分类业绩评价基准-股指基准和债指基准统计'!$F$1</c:f>
              <c:strCache>
                <c:ptCount val="1"/>
                <c:pt idx="0">
                  <c:v>第二基准对应的基金数目</c:v>
                </c:pt>
              </c:strCache>
            </c:strRef>
          </c:tx>
          <c:spPr>
            <a:solidFill>
              <a:schemeClr val="accent1"/>
            </a:solidFill>
            <a:ln>
              <a:noFill/>
            </a:ln>
            <a:effectLst/>
          </c:spPr>
          <c:invertIfNegative val="0"/>
          <c:cat>
            <c:strRef>
              <c:f>'基金二级分类业绩评价基准-股指基准和债指基准统计'!$E$2:$E$6</c:f>
              <c:strCache>
                <c:ptCount val="5"/>
                <c:pt idx="0">
                  <c:v>上证国债指数收益率</c:v>
                </c:pt>
                <c:pt idx="1">
                  <c:v>中债综合指数收益率</c:v>
                </c:pt>
                <c:pt idx="2">
                  <c:v>中证全债指数收益率</c:v>
                </c:pt>
                <c:pt idx="3">
                  <c:v>中证综合债指数收益率</c:v>
                </c:pt>
                <c:pt idx="4">
                  <c:v>中债综合全价指数收益率</c:v>
                </c:pt>
              </c:strCache>
            </c:strRef>
          </c:cat>
          <c:val>
            <c:numRef>
              <c:f>'基金二级分类业绩评价基准-股指基准和债指基准统计'!$F$2:$F$6</c:f>
              <c:numCache>
                <c:formatCode>General</c:formatCode>
                <c:ptCount val="5"/>
                <c:pt idx="0">
                  <c:v>239</c:v>
                </c:pt>
                <c:pt idx="1">
                  <c:v>212</c:v>
                </c:pt>
                <c:pt idx="2">
                  <c:v>169</c:v>
                </c:pt>
                <c:pt idx="3">
                  <c:v>115</c:v>
                </c:pt>
                <c:pt idx="4">
                  <c:v>99</c:v>
                </c:pt>
              </c:numCache>
            </c:numRef>
          </c:val>
          <c:extLst>
            <c:ext xmlns:c16="http://schemas.microsoft.com/office/drawing/2014/chart" uri="{C3380CC4-5D6E-409C-BE32-E72D297353CC}">
              <c16:uniqueId val="{00000000-B5A2-49A9-AFA0-EBE5EA8D046E}"/>
            </c:ext>
          </c:extLst>
        </c:ser>
        <c:dLbls>
          <c:showLegendKey val="0"/>
          <c:showVal val="0"/>
          <c:showCatName val="0"/>
          <c:showSerName val="0"/>
          <c:showPercent val="0"/>
          <c:showBubbleSize val="0"/>
        </c:dLbls>
        <c:gapWidth val="182"/>
        <c:axId val="1099658216"/>
        <c:axId val="1099663464"/>
      </c:barChart>
      <c:catAx>
        <c:axId val="1099658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099663464"/>
        <c:crosses val="autoZero"/>
        <c:auto val="1"/>
        <c:lblAlgn val="ctr"/>
        <c:lblOffset val="100"/>
        <c:noMultiLvlLbl val="0"/>
      </c:catAx>
      <c:valAx>
        <c:axId val="1099663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658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'基金二级分类业绩评价基准-股指基准和债指基准统计'!$B$7:$B$11</c:f>
              <c:strCache>
                <c:ptCount val="5"/>
                <c:pt idx="0">
                  <c:v>沪深300指数收益率</c:v>
                </c:pt>
                <c:pt idx="1">
                  <c:v>中证800指数收益率</c:v>
                </c:pt>
                <c:pt idx="2">
                  <c:v>中证全债指数收益率</c:v>
                </c:pt>
                <c:pt idx="3">
                  <c:v>一年期银行定期存款利率(税后)</c:v>
                </c:pt>
                <c:pt idx="4">
                  <c:v>中证综合债指数收益率</c:v>
                </c:pt>
              </c:strCache>
            </c:strRef>
          </c:cat>
          <c:val>
            <c:numRef>
              <c:f>'基金二级分类业绩评价基准-股指基准和债指基准统计'!$C$7:$C$11</c:f>
              <c:numCache>
                <c:formatCode>General</c:formatCode>
                <c:ptCount val="5"/>
                <c:pt idx="0">
                  <c:v>1220</c:v>
                </c:pt>
                <c:pt idx="1">
                  <c:v>131</c:v>
                </c:pt>
                <c:pt idx="2">
                  <c:v>56</c:v>
                </c:pt>
                <c:pt idx="3">
                  <c:v>49</c:v>
                </c:pt>
                <c:pt idx="4">
                  <c:v>39</c:v>
                </c:pt>
              </c:numCache>
            </c:numRef>
          </c:val>
          <c:extLst>
            <c:ext xmlns:c16="http://schemas.microsoft.com/office/drawing/2014/chart" uri="{C3380CC4-5D6E-409C-BE32-E72D297353CC}">
              <c16:uniqueId val="{00000000-3326-4F40-86FE-E748A6D6D2A9}"/>
            </c:ext>
          </c:extLst>
        </c:ser>
        <c:dLbls>
          <c:showLegendKey val="0"/>
          <c:showVal val="0"/>
          <c:showCatName val="0"/>
          <c:showSerName val="0"/>
          <c:showPercent val="0"/>
          <c:showBubbleSize val="0"/>
        </c:dLbls>
        <c:gapWidth val="182"/>
        <c:axId val="1289502000"/>
        <c:axId val="1289505280"/>
      </c:barChart>
      <c:catAx>
        <c:axId val="1289502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289505280"/>
        <c:crosses val="autoZero"/>
        <c:auto val="1"/>
        <c:lblAlgn val="ctr"/>
        <c:lblOffset val="100"/>
        <c:noMultiLvlLbl val="0"/>
      </c:catAx>
      <c:valAx>
        <c:axId val="1289505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289502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latin typeface="Arial" panose="020B0604020202020204" pitchFamily="34" charset="0"/>
          <a:cs typeface="Arial" panose="020B0604020202020204" pitchFamily="34" charset="0"/>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'基金二级分类业绩评价基准-股指基准和债指基准统计'!$E$7:$E$11</c:f>
              <c:strCache>
                <c:ptCount val="5"/>
                <c:pt idx="0">
                  <c:v>上证国债指数收益率</c:v>
                </c:pt>
                <c:pt idx="1">
                  <c:v>中证全债指数收益率</c:v>
                </c:pt>
                <c:pt idx="2">
                  <c:v>中债综合指数收益率</c:v>
                </c:pt>
                <c:pt idx="3">
                  <c:v>沪深300指数收益率</c:v>
                </c:pt>
                <c:pt idx="4">
                  <c:v>中证综合债指数收益率</c:v>
                </c:pt>
              </c:strCache>
            </c:strRef>
          </c:cat>
          <c:val>
            <c:numRef>
              <c:f>'基金二级分类业绩评价基准-股指基准和债指基准统计'!$F$7:$F$11</c:f>
              <c:numCache>
                <c:formatCode>General</c:formatCode>
                <c:ptCount val="5"/>
                <c:pt idx="0">
                  <c:v>261</c:v>
                </c:pt>
                <c:pt idx="1">
                  <c:v>251</c:v>
                </c:pt>
                <c:pt idx="2">
                  <c:v>226</c:v>
                </c:pt>
                <c:pt idx="3">
                  <c:v>222</c:v>
                </c:pt>
                <c:pt idx="4">
                  <c:v>135</c:v>
                </c:pt>
              </c:numCache>
            </c:numRef>
          </c:val>
          <c:extLst>
            <c:ext xmlns:c16="http://schemas.microsoft.com/office/drawing/2014/chart" uri="{C3380CC4-5D6E-409C-BE32-E72D297353CC}">
              <c16:uniqueId val="{00000000-2DB2-412A-AB02-5B9977D69E95}"/>
            </c:ext>
          </c:extLst>
        </c:ser>
        <c:dLbls>
          <c:showLegendKey val="0"/>
          <c:showVal val="0"/>
          <c:showCatName val="0"/>
          <c:showSerName val="0"/>
          <c:showPercent val="0"/>
          <c:showBubbleSize val="0"/>
        </c:dLbls>
        <c:gapWidth val="182"/>
        <c:axId val="1414497112"/>
        <c:axId val="1414488584"/>
      </c:barChart>
      <c:catAx>
        <c:axId val="14144971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414488584"/>
        <c:crosses val="autoZero"/>
        <c:auto val="1"/>
        <c:lblAlgn val="ctr"/>
        <c:lblOffset val="100"/>
        <c:noMultiLvlLbl val="0"/>
      </c:catAx>
      <c:valAx>
        <c:axId val="1414488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414497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'基金二级分类业绩评价基准-股指基准和债指基准统计'!$B$12:$B$16</c:f>
              <c:strCache>
                <c:ptCount val="5"/>
                <c:pt idx="0">
                  <c:v>沪深300指数收益率</c:v>
                </c:pt>
                <c:pt idx="1">
                  <c:v>中证800指数收益率</c:v>
                </c:pt>
                <c:pt idx="2">
                  <c:v>中证500指数收益率</c:v>
                </c:pt>
                <c:pt idx="3">
                  <c:v>中证医药卫生指数收益率</c:v>
                </c:pt>
                <c:pt idx="4">
                  <c:v>中证内地消费主题指数收益率</c:v>
                </c:pt>
              </c:strCache>
            </c:strRef>
          </c:cat>
          <c:val>
            <c:numRef>
              <c:f>'基金二级分类业绩评价基准-股指基准和债指基准统计'!$C$12:$C$16</c:f>
              <c:numCache>
                <c:formatCode>General</c:formatCode>
                <c:ptCount val="5"/>
                <c:pt idx="0">
                  <c:v>163</c:v>
                </c:pt>
                <c:pt idx="1">
                  <c:v>69</c:v>
                </c:pt>
                <c:pt idx="2">
                  <c:v>41</c:v>
                </c:pt>
                <c:pt idx="3">
                  <c:v>31</c:v>
                </c:pt>
                <c:pt idx="4">
                  <c:v>27</c:v>
                </c:pt>
              </c:numCache>
            </c:numRef>
          </c:val>
          <c:extLst>
            <c:ext xmlns:c16="http://schemas.microsoft.com/office/drawing/2014/chart" uri="{C3380CC4-5D6E-409C-BE32-E72D297353CC}">
              <c16:uniqueId val="{00000000-2BB2-49C1-89DD-373A4F740D9E}"/>
            </c:ext>
          </c:extLst>
        </c:ser>
        <c:dLbls>
          <c:showLegendKey val="0"/>
          <c:showVal val="0"/>
          <c:showCatName val="0"/>
          <c:showSerName val="0"/>
          <c:showPercent val="0"/>
          <c:showBubbleSize val="0"/>
        </c:dLbls>
        <c:gapWidth val="182"/>
        <c:axId val="1099704464"/>
        <c:axId val="1099704792"/>
      </c:barChart>
      <c:catAx>
        <c:axId val="10997044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704792"/>
        <c:crosses val="autoZero"/>
        <c:auto val="1"/>
        <c:lblAlgn val="ctr"/>
        <c:lblOffset val="100"/>
        <c:noMultiLvlLbl val="0"/>
      </c:catAx>
      <c:valAx>
        <c:axId val="1099704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704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'基金二级分类业绩评价基准-股指基准和债指基准统计'!$E$12:$E$16</c:f>
              <c:strCache>
                <c:ptCount val="5"/>
                <c:pt idx="0">
                  <c:v>中证全债指数收益率</c:v>
                </c:pt>
                <c:pt idx="1">
                  <c:v>上证国债指数收益率</c:v>
                </c:pt>
                <c:pt idx="2">
                  <c:v>中债综合指数收益率</c:v>
                </c:pt>
                <c:pt idx="3">
                  <c:v>中证综合债指数收益率</c:v>
                </c:pt>
                <c:pt idx="4">
                  <c:v>中证综合债券指数收益率</c:v>
                </c:pt>
              </c:strCache>
            </c:strRef>
          </c:cat>
          <c:val>
            <c:numRef>
              <c:f>'基金二级分类业绩评价基准-股指基准和债指基准统计'!$F$12:$F$16</c:f>
              <c:numCache>
                <c:formatCode>General</c:formatCode>
                <c:ptCount val="5"/>
                <c:pt idx="0">
                  <c:v>56</c:v>
                </c:pt>
                <c:pt idx="1">
                  <c:v>48</c:v>
                </c:pt>
                <c:pt idx="2">
                  <c:v>45</c:v>
                </c:pt>
                <c:pt idx="3">
                  <c:v>38</c:v>
                </c:pt>
                <c:pt idx="4">
                  <c:v>34</c:v>
                </c:pt>
              </c:numCache>
            </c:numRef>
          </c:val>
          <c:extLst>
            <c:ext xmlns:c16="http://schemas.microsoft.com/office/drawing/2014/chart" uri="{C3380CC4-5D6E-409C-BE32-E72D297353CC}">
              <c16:uniqueId val="{00000000-E753-40F1-8BF9-77775A04EE5C}"/>
            </c:ext>
          </c:extLst>
        </c:ser>
        <c:dLbls>
          <c:showLegendKey val="0"/>
          <c:showVal val="0"/>
          <c:showCatName val="0"/>
          <c:showSerName val="0"/>
          <c:showPercent val="0"/>
          <c:showBubbleSize val="0"/>
        </c:dLbls>
        <c:gapWidth val="182"/>
        <c:axId val="1099705448"/>
        <c:axId val="1099698232"/>
      </c:barChart>
      <c:catAx>
        <c:axId val="1099705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698232"/>
        <c:crosses val="autoZero"/>
        <c:auto val="1"/>
        <c:lblAlgn val="ctr"/>
        <c:lblOffset val="100"/>
        <c:noMultiLvlLbl val="0"/>
      </c:catAx>
      <c:valAx>
        <c:axId val="1099698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099705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3B816-38AE-40B8-A761-AD4D337E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JSW00610.dotx</Template>
  <TotalTime>1483</TotalTime>
  <Pages>21</Pages>
  <Words>3714</Words>
  <Characters>21170</Characters>
  <Application>Microsoft Office Word</Application>
  <DocSecurity>0</DocSecurity>
  <Lines>176</Lines>
  <Paragraphs>49</Paragraphs>
  <ScaleCrop>false</ScaleCrop>
  <Company>Microsoft</Company>
  <LinksUpToDate>false</LinksUpToDate>
  <CharactersWithSpaces>24835</CharactersWithSpaces>
  <SharedDoc>false</SharedDoc>
  <HLinks>
    <vt:vector size="156" baseType="variant">
      <vt:variant>
        <vt:i4>1179697</vt:i4>
      </vt:variant>
      <vt:variant>
        <vt:i4>158</vt:i4>
      </vt:variant>
      <vt:variant>
        <vt:i4>0</vt:i4>
      </vt:variant>
      <vt:variant>
        <vt:i4>5</vt:i4>
      </vt:variant>
      <vt:variant>
        <vt:lpwstr/>
      </vt:variant>
      <vt:variant>
        <vt:lpwstr>_Toc325224516</vt:lpwstr>
      </vt:variant>
      <vt:variant>
        <vt:i4>1179697</vt:i4>
      </vt:variant>
      <vt:variant>
        <vt:i4>152</vt:i4>
      </vt:variant>
      <vt:variant>
        <vt:i4>0</vt:i4>
      </vt:variant>
      <vt:variant>
        <vt:i4>5</vt:i4>
      </vt:variant>
      <vt:variant>
        <vt:lpwstr/>
      </vt:variant>
      <vt:variant>
        <vt:lpwstr>_Toc325224515</vt:lpwstr>
      </vt:variant>
      <vt:variant>
        <vt:i4>1179697</vt:i4>
      </vt:variant>
      <vt:variant>
        <vt:i4>146</vt:i4>
      </vt:variant>
      <vt:variant>
        <vt:i4>0</vt:i4>
      </vt:variant>
      <vt:variant>
        <vt:i4>5</vt:i4>
      </vt:variant>
      <vt:variant>
        <vt:lpwstr/>
      </vt:variant>
      <vt:variant>
        <vt:lpwstr>_Toc325224514</vt:lpwstr>
      </vt:variant>
      <vt:variant>
        <vt:i4>1179697</vt:i4>
      </vt:variant>
      <vt:variant>
        <vt:i4>140</vt:i4>
      </vt:variant>
      <vt:variant>
        <vt:i4>0</vt:i4>
      </vt:variant>
      <vt:variant>
        <vt:i4>5</vt:i4>
      </vt:variant>
      <vt:variant>
        <vt:lpwstr/>
      </vt:variant>
      <vt:variant>
        <vt:lpwstr>_Toc325224513</vt:lpwstr>
      </vt:variant>
      <vt:variant>
        <vt:i4>1179697</vt:i4>
      </vt:variant>
      <vt:variant>
        <vt:i4>134</vt:i4>
      </vt:variant>
      <vt:variant>
        <vt:i4>0</vt:i4>
      </vt:variant>
      <vt:variant>
        <vt:i4>5</vt:i4>
      </vt:variant>
      <vt:variant>
        <vt:lpwstr/>
      </vt:variant>
      <vt:variant>
        <vt:lpwstr>_Toc325224512</vt:lpwstr>
      </vt:variant>
      <vt:variant>
        <vt:i4>1179697</vt:i4>
      </vt:variant>
      <vt:variant>
        <vt:i4>125</vt:i4>
      </vt:variant>
      <vt:variant>
        <vt:i4>0</vt:i4>
      </vt:variant>
      <vt:variant>
        <vt:i4>5</vt:i4>
      </vt:variant>
      <vt:variant>
        <vt:lpwstr/>
      </vt:variant>
      <vt:variant>
        <vt:lpwstr>_Toc325224511</vt:lpwstr>
      </vt:variant>
      <vt:variant>
        <vt:i4>1179697</vt:i4>
      </vt:variant>
      <vt:variant>
        <vt:i4>119</vt:i4>
      </vt:variant>
      <vt:variant>
        <vt:i4>0</vt:i4>
      </vt:variant>
      <vt:variant>
        <vt:i4>5</vt:i4>
      </vt:variant>
      <vt:variant>
        <vt:lpwstr/>
      </vt:variant>
      <vt:variant>
        <vt:lpwstr>_Toc325224510</vt:lpwstr>
      </vt:variant>
      <vt:variant>
        <vt:i4>1245233</vt:i4>
      </vt:variant>
      <vt:variant>
        <vt:i4>113</vt:i4>
      </vt:variant>
      <vt:variant>
        <vt:i4>0</vt:i4>
      </vt:variant>
      <vt:variant>
        <vt:i4>5</vt:i4>
      </vt:variant>
      <vt:variant>
        <vt:lpwstr/>
      </vt:variant>
      <vt:variant>
        <vt:lpwstr>_Toc325224509</vt:lpwstr>
      </vt:variant>
      <vt:variant>
        <vt:i4>1245233</vt:i4>
      </vt:variant>
      <vt:variant>
        <vt:i4>107</vt:i4>
      </vt:variant>
      <vt:variant>
        <vt:i4>0</vt:i4>
      </vt:variant>
      <vt:variant>
        <vt:i4>5</vt:i4>
      </vt:variant>
      <vt:variant>
        <vt:lpwstr/>
      </vt:variant>
      <vt:variant>
        <vt:lpwstr>_Toc325224508</vt:lpwstr>
      </vt:variant>
      <vt:variant>
        <vt:i4>1245233</vt:i4>
      </vt:variant>
      <vt:variant>
        <vt:i4>101</vt:i4>
      </vt:variant>
      <vt:variant>
        <vt:i4>0</vt:i4>
      </vt:variant>
      <vt:variant>
        <vt:i4>5</vt:i4>
      </vt:variant>
      <vt:variant>
        <vt:lpwstr/>
      </vt:variant>
      <vt:variant>
        <vt:lpwstr>_Toc325224507</vt:lpwstr>
      </vt:variant>
      <vt:variant>
        <vt:i4>1245233</vt:i4>
      </vt:variant>
      <vt:variant>
        <vt:i4>95</vt:i4>
      </vt:variant>
      <vt:variant>
        <vt:i4>0</vt:i4>
      </vt:variant>
      <vt:variant>
        <vt:i4>5</vt:i4>
      </vt:variant>
      <vt:variant>
        <vt:lpwstr/>
      </vt:variant>
      <vt:variant>
        <vt:lpwstr>_Toc325224506</vt:lpwstr>
      </vt:variant>
      <vt:variant>
        <vt:i4>1245233</vt:i4>
      </vt:variant>
      <vt:variant>
        <vt:i4>89</vt:i4>
      </vt:variant>
      <vt:variant>
        <vt:i4>0</vt:i4>
      </vt:variant>
      <vt:variant>
        <vt:i4>5</vt:i4>
      </vt:variant>
      <vt:variant>
        <vt:lpwstr/>
      </vt:variant>
      <vt:variant>
        <vt:lpwstr>_Toc325224505</vt:lpwstr>
      </vt:variant>
      <vt:variant>
        <vt:i4>1245233</vt:i4>
      </vt:variant>
      <vt:variant>
        <vt:i4>83</vt:i4>
      </vt:variant>
      <vt:variant>
        <vt:i4>0</vt:i4>
      </vt:variant>
      <vt:variant>
        <vt:i4>5</vt:i4>
      </vt:variant>
      <vt:variant>
        <vt:lpwstr/>
      </vt:variant>
      <vt:variant>
        <vt:lpwstr>_Toc325224504</vt:lpwstr>
      </vt:variant>
      <vt:variant>
        <vt:i4>1245233</vt:i4>
      </vt:variant>
      <vt:variant>
        <vt:i4>77</vt:i4>
      </vt:variant>
      <vt:variant>
        <vt:i4>0</vt:i4>
      </vt:variant>
      <vt:variant>
        <vt:i4>5</vt:i4>
      </vt:variant>
      <vt:variant>
        <vt:lpwstr/>
      </vt:variant>
      <vt:variant>
        <vt:lpwstr>_Toc325224503</vt:lpwstr>
      </vt:variant>
      <vt:variant>
        <vt:i4>1179703</vt:i4>
      </vt:variant>
      <vt:variant>
        <vt:i4>68</vt:i4>
      </vt:variant>
      <vt:variant>
        <vt:i4>0</vt:i4>
      </vt:variant>
      <vt:variant>
        <vt:i4>5</vt:i4>
      </vt:variant>
      <vt:variant>
        <vt:lpwstr/>
      </vt:variant>
      <vt:variant>
        <vt:lpwstr>_Toc325201140</vt:lpwstr>
      </vt:variant>
      <vt:variant>
        <vt:i4>1376311</vt:i4>
      </vt:variant>
      <vt:variant>
        <vt:i4>62</vt:i4>
      </vt:variant>
      <vt:variant>
        <vt:i4>0</vt:i4>
      </vt:variant>
      <vt:variant>
        <vt:i4>5</vt:i4>
      </vt:variant>
      <vt:variant>
        <vt:lpwstr/>
      </vt:variant>
      <vt:variant>
        <vt:lpwstr>_Toc325201139</vt:lpwstr>
      </vt:variant>
      <vt:variant>
        <vt:i4>1376311</vt:i4>
      </vt:variant>
      <vt:variant>
        <vt:i4>56</vt:i4>
      </vt:variant>
      <vt:variant>
        <vt:i4>0</vt:i4>
      </vt:variant>
      <vt:variant>
        <vt:i4>5</vt:i4>
      </vt:variant>
      <vt:variant>
        <vt:lpwstr/>
      </vt:variant>
      <vt:variant>
        <vt:lpwstr>_Toc325201138</vt:lpwstr>
      </vt:variant>
      <vt:variant>
        <vt:i4>1376311</vt:i4>
      </vt:variant>
      <vt:variant>
        <vt:i4>50</vt:i4>
      </vt:variant>
      <vt:variant>
        <vt:i4>0</vt:i4>
      </vt:variant>
      <vt:variant>
        <vt:i4>5</vt:i4>
      </vt:variant>
      <vt:variant>
        <vt:lpwstr/>
      </vt:variant>
      <vt:variant>
        <vt:lpwstr>_Toc325201137</vt:lpwstr>
      </vt:variant>
      <vt:variant>
        <vt:i4>1376311</vt:i4>
      </vt:variant>
      <vt:variant>
        <vt:i4>44</vt:i4>
      </vt:variant>
      <vt:variant>
        <vt:i4>0</vt:i4>
      </vt:variant>
      <vt:variant>
        <vt:i4>5</vt:i4>
      </vt:variant>
      <vt:variant>
        <vt:lpwstr/>
      </vt:variant>
      <vt:variant>
        <vt:lpwstr>_Toc325201136</vt:lpwstr>
      </vt:variant>
      <vt:variant>
        <vt:i4>1376311</vt:i4>
      </vt:variant>
      <vt:variant>
        <vt:i4>38</vt:i4>
      </vt:variant>
      <vt:variant>
        <vt:i4>0</vt:i4>
      </vt:variant>
      <vt:variant>
        <vt:i4>5</vt:i4>
      </vt:variant>
      <vt:variant>
        <vt:lpwstr/>
      </vt:variant>
      <vt:variant>
        <vt:lpwstr>_Toc325201135</vt:lpwstr>
      </vt:variant>
      <vt:variant>
        <vt:i4>1376311</vt:i4>
      </vt:variant>
      <vt:variant>
        <vt:i4>32</vt:i4>
      </vt:variant>
      <vt:variant>
        <vt:i4>0</vt:i4>
      </vt:variant>
      <vt:variant>
        <vt:i4>5</vt:i4>
      </vt:variant>
      <vt:variant>
        <vt:lpwstr/>
      </vt:variant>
      <vt:variant>
        <vt:lpwstr>_Toc325201134</vt:lpwstr>
      </vt:variant>
      <vt:variant>
        <vt:i4>1376311</vt:i4>
      </vt:variant>
      <vt:variant>
        <vt:i4>26</vt:i4>
      </vt:variant>
      <vt:variant>
        <vt:i4>0</vt:i4>
      </vt:variant>
      <vt:variant>
        <vt:i4>5</vt:i4>
      </vt:variant>
      <vt:variant>
        <vt:lpwstr/>
      </vt:variant>
      <vt:variant>
        <vt:lpwstr>_Toc325201133</vt:lpwstr>
      </vt:variant>
      <vt:variant>
        <vt:i4>1376311</vt:i4>
      </vt:variant>
      <vt:variant>
        <vt:i4>20</vt:i4>
      </vt:variant>
      <vt:variant>
        <vt:i4>0</vt:i4>
      </vt:variant>
      <vt:variant>
        <vt:i4>5</vt:i4>
      </vt:variant>
      <vt:variant>
        <vt:lpwstr/>
      </vt:variant>
      <vt:variant>
        <vt:lpwstr>_Toc325201132</vt:lpwstr>
      </vt:variant>
      <vt:variant>
        <vt:i4>1376311</vt:i4>
      </vt:variant>
      <vt:variant>
        <vt:i4>14</vt:i4>
      </vt:variant>
      <vt:variant>
        <vt:i4>0</vt:i4>
      </vt:variant>
      <vt:variant>
        <vt:i4>5</vt:i4>
      </vt:variant>
      <vt:variant>
        <vt:lpwstr/>
      </vt:variant>
      <vt:variant>
        <vt:lpwstr>_Toc325201131</vt:lpwstr>
      </vt:variant>
      <vt:variant>
        <vt:i4>1376311</vt:i4>
      </vt:variant>
      <vt:variant>
        <vt:i4>8</vt:i4>
      </vt:variant>
      <vt:variant>
        <vt:i4>0</vt:i4>
      </vt:variant>
      <vt:variant>
        <vt:i4>5</vt:i4>
      </vt:variant>
      <vt:variant>
        <vt:lpwstr/>
      </vt:variant>
      <vt:variant>
        <vt:lpwstr>_Toc325201130</vt:lpwstr>
      </vt:variant>
      <vt:variant>
        <vt:i4>1310775</vt:i4>
      </vt:variant>
      <vt:variant>
        <vt:i4>2</vt:i4>
      </vt:variant>
      <vt:variant>
        <vt:i4>0</vt:i4>
      </vt:variant>
      <vt:variant>
        <vt:i4>5</vt:i4>
      </vt:variant>
      <vt:variant>
        <vt:lpwstr/>
      </vt:variant>
      <vt:variant>
        <vt:lpwstr>_Toc325201129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广发报告</dc:title>
  <dc:subject/>
  <dc:creator>Noir</dc:creator>
  <cp:keywords/>
  <dc:description/>
  <cp:lastModifiedBy>Jenny</cp:lastModifiedBy>
  <cp:revision>103</cp:revision>
  <cp:lastPrinted>2012-05-31T01:49:00Z</cp:lastPrinted>
  <dcterms:created xsi:type="dcterms:W3CDTF">2018-03-29T05:41:00Z</dcterms:created>
  <dcterms:modified xsi:type="dcterms:W3CDTF">2021-03-04T14:42:00Z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lishflag">
    <vt:lpwstr>0</vt:lpwstr>
  </property>
  <property fmtid="{D5CDD505-2E9C-101B-9397-08002B2CF9AE}" pid="3" name="doctypeid">
    <vt:lpwstr>60034</vt:lpwstr>
  </property>
  <property fmtid="{D5CDD505-2E9C-101B-9397-08002B2CF9AE}" pid="4" name="snkdocver">
    <vt:lpwstr>1</vt:lpwstr>
  </property>
  <property fmtid="{D5CDD505-2E9C-101B-9397-08002B2CF9AE}" pid="5" name="templateType">
    <vt:lpwstr>1002</vt:lpwstr>
  </property>
  <property fmtid="{D5CDD505-2E9C-101B-9397-08002B2CF9AE}" pid="6" name="templateid">
    <vt:lpwstr>120659</vt:lpwstr>
  </property>
  <property fmtid="{D5CDD505-2E9C-101B-9397-08002B2CF9AE}" pid="7" name="snkdocid">
    <vt:lpwstr>120659</vt:lpwstr>
  </property>
  <property fmtid="{D5CDD505-2E9C-101B-9397-08002B2CF9AE}" pid="8" name="loadTime">
    <vt:lpwstr>20210254095854</vt:lpwstr>
  </property>
  <property fmtid="{D5CDD505-2E9C-101B-9397-08002B2CF9AE}" pid="9" name="checkrptid">
    <vt:lpwstr>60034</vt:lpwstr>
  </property>
  <property fmtid="{D5CDD505-2E9C-101B-9397-08002B2CF9AE}" pid="10" name="reportids">
    <vt:lpwstr>500014689;500010347;</vt:lpwstr>
  </property>
  <property fmtid="{D5CDD505-2E9C-101B-9397-08002B2CF9AE}" pid="11" name="reportdate">
    <vt:lpwstr>2021-02-19</vt:lpwstr>
  </property>
  <property fmtid="{D5CDD505-2E9C-101B-9397-08002B2CF9AE}" pid="12" name="contactname">
    <vt:lpwstr/>
  </property>
  <property fmtid="{D5CDD505-2E9C-101B-9397-08002B2CF9AE}" pid="13" name="authorqualitytype">
    <vt:lpwstr>1,1,1</vt:lpwstr>
  </property>
  <property fmtid="{D5CDD505-2E9C-101B-9397-08002B2CF9AE}" pid="14" name="rpttypeflag">
    <vt:lpwstr>0</vt:lpwstr>
  </property>
  <property fmtid="{D5CDD505-2E9C-101B-9397-08002B2CF9AE}" pid="15" name="authorid">
    <vt:lpwstr>999026551,999015306,999016404</vt:lpwstr>
  </property>
  <property fmtid="{D5CDD505-2E9C-101B-9397-08002B2CF9AE}" pid="16" name="authorname">
    <vt:lpwstr>陈原文,罗军,安宁宁</vt:lpwstr>
  </property>
  <property fmtid="{D5CDD505-2E9C-101B-9397-08002B2CF9AE}" pid="17" name="contactid">
    <vt:lpwstr/>
  </property>
  <property fmtid="{D5CDD505-2E9C-101B-9397-08002B2CF9AE}" pid="18" name="firstauthorid">
    <vt:lpwstr>999026551</vt:lpwstr>
  </property>
  <property fmtid="{D5CDD505-2E9C-101B-9397-08002B2CF9AE}" pid="19" name="reporttimes">
    <vt:lpwstr>2021-01-02;2020-05-05;</vt:lpwstr>
  </property>
  <property fmtid="{D5CDD505-2E9C-101B-9397-08002B2CF9AE}" pid="20" name="contactqualityno">
    <vt:lpwstr/>
  </property>
  <property fmtid="{D5CDD505-2E9C-101B-9397-08002B2CF9AE}" pid="21" name="date">
    <vt:lpwstr>2021-02-19</vt:lpwstr>
  </property>
  <property fmtid="{D5CDD505-2E9C-101B-9397-08002B2CF9AE}" pid="22" name="ggtscode">
    <vt:lpwstr/>
  </property>
  <property fmtid="{D5CDD505-2E9C-101B-9397-08002B2CF9AE}" pid="23" name="doctypename">
    <vt:lpwstr>金融工程|量化投资专题</vt:lpwstr>
  </property>
  <property fmtid="{D5CDD505-2E9C-101B-9397-08002B2CF9AE}" pid="24" name="authorqualityno">
    <vt:lpwstr>S0260517080003,S0260511010004,S0260512020003</vt:lpwstr>
  </property>
  <property fmtid="{D5CDD505-2E9C-101B-9397-08002B2CF9AE}" pid="25" name="reftype">
    <vt:lpwstr/>
  </property>
  <property fmtid="{D5CDD505-2E9C-101B-9397-08002B2CF9AE}" pid="26" name="reporttitles">
    <vt:lpwstr>当前市场估值水平如何;基于个股羊群效应的选股因子研究(高频数据因子研究系列三);</vt:lpwstr>
  </property>
  <property fmtid="{D5CDD505-2E9C-101B-9397-08002B2CF9AE}" pid="27" name="disclosure1">
    <vt:lpwstr>广发证券（香港）跟本研究报告所述公司在过去12 个月内并没有任何投资银行业务的关系。</vt:lpwstr>
  </property>
  <property fmtid="{D5CDD505-2E9C-101B-9397-08002B2CF9AE}" pid="28" name="disclosurenum">
    <vt:lpwstr>1</vt:lpwstr>
  </property>
  <property fmtid="{D5CDD505-2E9C-101B-9397-08002B2CF9AE}" pid="29" name="AMWinEqns">
    <vt:bool>true</vt:bool>
  </property>
  <property fmtid="{D5CDD505-2E9C-101B-9397-08002B2CF9AE}" pid="30" name="AMEquationNumber2">
    <vt:lpwstr>(#S1.#E1)</vt:lpwstr>
  </property>
  <property fmtid="{D5CDD505-2E9C-101B-9397-08002B2CF9AE}" pid="31" name="AMEquationSection">
    <vt:lpwstr>1</vt:lpwstr>
  </property>
</Properties>
</file>