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t>全球黄金迁徙地图上线需求</w:t>
      </w:r>
    </w:p>
    <w:p>
      <w:r>
        <w:t>交付对象 技术团队    日期 2026年10月10日</w:t>
      </w:r>
    </w:p>
    <w:p>
      <w:r>
        <w:t>按照当前demo的六个板块上线可持续更新的网站。每个板块在本节说明要做什么、抓取什么、来源、频次、趋势和验收。主句先展示由西向东、东向放缓、库存增加等判断，数字作为依据。</w:t>
      </w:r>
    </w:p>
    <w:p>
      <w:r>
        <w:t xml:space="preserve">参考页面 </w:t>
      </w:r>
      <w:hyperlink r:id="rId11">
        <w:r>
          <w:rPr>
            <w:rFonts w:ascii="Arial Unicode MS" w:hAnsi="Arial Unicode MS" w:eastAsia="Arial Unicode MS"/>
            <w:color w:val="155E82"/>
            <w:u w:val="single"/>
          </w:rPr>
          <w:t>demo</w:t>
        </w:r>
      </w:hyperlink>
      <w:r>
        <w:t>；</w:t>
      </w:r>
      <w:hyperlink r:id="rId12">
        <w:r>
          <w:rPr>
            <w:rFonts w:ascii="Arial Unicode MS" w:hAnsi="Arial Unicode MS" w:eastAsia="Arial Unicode MS"/>
            <w:color w:val="155E82"/>
            <w:u w:val="single"/>
          </w:rPr>
          <w:t>GitHub仓库</w:t>
        </w:r>
      </w:hyperlink>
    </w:p>
    <w:p>
      <w:r>
        <w:t>来源方案日期 2026-10-10。下文每项数据只指定一个实施来源，与demo当前来源一致。来源目录是发现新文件的入口，实际取数地址是获取内容的入口，两种链接属于同一个来源。金价温差由上海价格、伦敦价格、汇率三个不同输入共同计算，因此需要三家来源。</w:t>
      </w:r>
    </w:p>
    <w:p>
      <w:r>
        <w:t>本阶段采用无需付费、公开入口实际可抓取的数据；版权和许可不作为接入前置条件。免费注册、密钥、限流和抓取失败仍需记录。不采用付费交付服务。</w:t>
      </w:r>
    </w:p>
    <w:p>
      <w:r>
        <w:t>当前demo是固定快照，尚无自动定时任务。下文频次是技术需要实现的安排，默认北京时间，注明当地时间的按当地工作日和夏令时执行。各卡片标真实观测期；历史数据不参与当前趋势。当前demo未接AI，上线不强制采用；可选AI仅润色规则先得出的结论。页面、列表、地图、筛选和文案统一使用中国台湾。</w:t>
      </w:r>
    </w:p>
    <w:p>
      <w:pPr>
        <w:pStyle w:val="3"/>
      </w:pPr>
      <w:r>
        <w:t>01 黄金罗盘</w:t>
      </w:r>
    </w:p>
    <w:p>
      <w:r>
        <w:rPr>
          <w:b/>
        </w:rPr>
        <w:t>要做什么：</w:t>
      </w:r>
      <w:r>
        <w:t>用报关、库存、现货三条短句概括监测方向。保留三张数字卡片与状态标签；伦敦价格尚未更新时，现货标历史观察和当前暂不可判断。</w:t>
      </w:r>
    </w:p>
    <w:p>
      <w:r>
        <w:rPr>
          <w:b/>
        </w:rPr>
        <w:t>抓取内容：</w:t>
      </w:r>
      <w:r>
        <w:t>六个枢纽完整月度出口目的地重量、世界出口总量及上月对应数据。与第03板块共用同一份数据。 范围为非货币黄金710811、710812、710813；当前使用HS7108，不含710820货币黄金，不代表首饰、废料等全部黄金。保存月份、净重、单位、金额币种、估算及修订状态；重量统一为吨。</w:t>
      </w:r>
    </w:p>
    <w:p>
      <w:r>
        <w:rPr>
          <w:b/>
        </w:rPr>
        <w:t>指定来源：</w:t>
      </w:r>
      <w:r>
        <w:t>本版本全部使用UN Comtrade，覆盖瑞士、英国、美国、中国香港、新加坡、阿联酋。同一市场的进口、出口、伙伴明细及比较期均使用同一个源。</w:t>
      </w:r>
    </w:p>
    <w:p>
      <w:r>
        <w:t xml:space="preserve">取数入口 </w:t>
      </w:r>
      <w:hyperlink r:id="rId13">
        <w:r>
          <w:rPr>
            <w:rFonts w:ascii="Arial Unicode MS" w:hAnsi="Arial Unicode MS" w:eastAsia="Arial Unicode MS"/>
            <w:color w:val="155E82"/>
            <w:u w:val="single"/>
          </w:rPr>
          <w:t>UN Comtrade说明</w:t>
        </w:r>
      </w:hyperlink>
      <w:r>
        <w:t>；</w:t>
      </w:r>
      <w:hyperlink r:id="rId14">
        <w:r>
          <w:rPr>
            <w:rFonts w:ascii="Arial Unicode MS" w:hAnsi="Arial Unicode MS" w:eastAsia="Arial Unicode MS"/>
            <w:color w:val="155E82"/>
            <w:u w:val="single"/>
          </w:rPr>
          <w:t>公开月度查询API</w:t>
        </w:r>
      </w:hyperlink>
      <w:r>
        <w:t>；</w:t>
      </w:r>
      <w:hyperlink r:id="rId15">
        <w:r>
          <w:rPr>
            <w:rFonts w:ascii="Arial Unicode MS" w:hAnsi="Arial Unicode MS" w:eastAsia="Arial Unicode MS"/>
            <w:color w:val="155E82"/>
            <w:u w:val="single"/>
          </w:rPr>
          <w:t>已发布月份查询</w:t>
        </w:r>
      </w:hyperlink>
    </w:p>
    <w:p>
      <w:r>
        <w:t>查询时选择月度、该报告市场、商品7108、进口或出口。总量选择世界伙伴；航线选择全部目的地。以净重作为重量依据，不用金额除金价补吨数。必须核验全部分页，不能把预览结果当完整数据。</w:t>
      </w:r>
    </w:p>
    <w:p>
      <w:r>
        <w:rPr>
          <w:b/>
        </w:rPr>
        <w:t>来源周期与抓取频次：</w:t>
      </w:r>
      <w:r>
        <w:t>来源按月发布，各市场报送时间不同；每天北京时间09:00查发布记录。已知发布日起每6小时查一次，持续48小时后恢复每日。新期或修订时取完整明细；每次回查近3个月，每月首日09:00回查近18个月修订。</w:t>
      </w:r>
    </w:p>
    <w:p>
      <w:r>
        <w:t>国家直接来源尚未通过完整重量或访问验证，不作为本版本实施来源；后续换源须完成对账并同步所有依赖板块。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438"/>
        <w:gridCol w:w="4082"/>
        <w:gridCol w:w="3118"/>
      </w:tblGrid>
      <w:tr>
        <w:trPr>
          <w:tblHeader/>
          <w:cantSplit/>
        </w:trPr>
        <w:tc>
          <w:tcPr>
            <w:tcW w:type="dxa" w:w="2438"/>
            <w:vAlign w:val="center"/>
            <w:shd w:fill="E5EFF5"/>
          </w:tcPr>
          <w:p>
            <w:pPr>
              <w:keepNext w:val="0"/>
              <w:spacing w:after="40" w:before="0" w:line="264" w:lineRule="auto"/>
            </w:pPr>
            <w:r>
              <w:rPr>
                <w:b/>
                <w:color w:val="000000"/>
                <w:sz w:val="19"/>
              </w:rPr>
              <w:t>数据与指定来源</w:t>
            </w:r>
          </w:p>
        </w:tc>
        <w:tc>
          <w:tcPr>
            <w:tcW w:type="dxa" w:w="4082"/>
            <w:vAlign w:val="center"/>
            <w:shd w:fill="E5EFF5"/>
          </w:tcPr>
          <w:p>
            <w:pPr>
              <w:keepNext w:val="0"/>
              <w:spacing w:after="40" w:before="0" w:line="264" w:lineRule="auto"/>
            </w:pPr>
            <w:r>
              <w:rPr>
                <w:b/>
                <w:color w:val="000000"/>
                <w:sz w:val="19"/>
              </w:rPr>
              <w:t>抓取内容和访问条件</w:t>
            </w:r>
          </w:p>
        </w:tc>
        <w:tc>
          <w:tcPr>
            <w:tcW w:type="dxa" w:w="3118"/>
            <w:vAlign w:val="center"/>
            <w:shd w:fill="E5EFF5"/>
          </w:tcPr>
          <w:p>
            <w:pPr>
              <w:keepNext w:val="0"/>
              <w:spacing w:after="40" w:before="0" w:line="264" w:lineRule="auto"/>
            </w:pPr>
            <w:r>
              <w:rPr>
                <w:b/>
                <w:color w:val="000000"/>
                <w:sz w:val="19"/>
              </w:rPr>
              <w:t>抓取频次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r/>
            <w:r>
              <w:rPr>
                <w:b/>
              </w:rPr>
              <w:t>伦敦库存</w:t>
            </w:r>
          </w:p>
          <w:p>
            <w:hyperlink r:id="rId16">
              <w:r>
                <w:rPr>
                  <w:rFonts w:ascii="Arial Unicode MS" w:hAnsi="Arial Unicode MS" w:eastAsia="Arial Unicode MS"/>
                  <w:color w:val="155E82"/>
                  <w:u w:val="single"/>
                </w:rPr>
                <w:t>LBMA伦敦库存</w:t>
              </w:r>
            </w:hyperlink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60" w:line="264" w:lineRule="auto"/>
            </w:pPr>
            <w:r>
              <w:rPr>
                <w:sz w:val="19"/>
              </w:rPr>
              <w:t>全伦敦专业金库与英格兰银行月末黄金持有量；不以英格兰银行子集替代。 来源周期：每月第5个工作日公布上月末库存。公开工作簿；需标明来源。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spacing w:after="60" w:line="264" w:lineRule="auto"/>
            </w:pPr>
            <w:r>
              <w:rPr>
                <w:sz w:val="19"/>
              </w:rPr>
              <w:t>每日北京时间09:00查目录；公布日另按伦敦当地10:00、16:00检查。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r/>
            <w:r>
              <w:rPr>
                <w:b/>
              </w:rPr>
              <w:t>上海黄金价格</w:t>
            </w:r>
          </w:p>
          <w:p>
            <w:hyperlink r:id="rId17">
              <w:r>
                <w:rPr>
                  <w:rFonts w:ascii="Arial Unicode MS" w:hAnsi="Arial Unicode MS" w:eastAsia="Arial Unicode MS"/>
                  <w:color w:val="155E82"/>
                  <w:u w:val="single"/>
                </w:rPr>
                <w:t>上金所Au99.99日行情</w:t>
              </w:r>
            </w:hyperlink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60" w:line="264" w:lineRule="auto"/>
            </w:pPr>
            <w:r>
              <w:rPr>
                <w:sz w:val="19"/>
              </w:rPr>
              <w:t>Au99.99收盘价，人民币每克，取实际交易日。 来源周期：中国交易日。公开日行情；需标明来源。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spacing w:after="60" w:line="264" w:lineRule="auto"/>
            </w:pPr>
            <w:r>
              <w:rPr>
                <w:sz w:val="19"/>
              </w:rPr>
              <w:t>中国交易日北京时间17:00、20:00检查。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r/>
            <w:r>
              <w:rPr>
                <w:b/>
              </w:rPr>
              <w:t>伦敦黄金价格</w:t>
            </w:r>
          </w:p>
          <w:p>
            <w:hyperlink r:id="rId18">
              <w:r>
                <w:rPr>
                  <w:rFonts w:ascii="Arial Unicode MS" w:hAnsi="Arial Unicode MS" w:eastAsia="Arial Unicode MS"/>
                  <w:color w:val="155E82"/>
                  <w:u w:val="single"/>
                </w:rPr>
                <w:t>LBMA Gold Price PM公开JSON</w:t>
              </w:r>
            </w:hyperlink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60" w:line="264" w:lineRule="auto"/>
            </w:pPr>
            <w:r>
              <w:rPr>
                <w:sz w:val="19"/>
              </w:rPr>
              <w:t>LBMA Gold Price PM，美元每金衡盎司；目前仅历史观察，不能出当前溢价结论。 来源周期：英国交易日；公开接口实际更新延迟须抓取验证。公开JSON实测HTTP 403；尚未验证可持续获取最新同口径PM价格，保留历史观察。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spacing w:after="60" w:line="264" w:lineRule="auto"/>
            </w:pPr>
            <w:r>
              <w:rPr>
                <w:sz w:val="19"/>
              </w:rPr>
              <w:t>英国交易日后按伦敦次日01:00检查公开PM入口；失败按统一重试规则处理，不推进价差日期。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r/>
            <w:r>
              <w:rPr>
                <w:b/>
              </w:rPr>
              <w:t>人民币换算汇率</w:t>
            </w:r>
          </w:p>
          <w:p>
            <w:hyperlink r:id="rId19">
              <w:r>
                <w:rPr>
                  <w:rFonts w:ascii="Arial Unicode MS" w:hAnsi="Arial Unicode MS" w:eastAsia="Arial Unicode MS"/>
                  <w:color w:val="155E82"/>
                  <w:u w:val="single"/>
                </w:rPr>
                <w:t>ECB参考汇率</w:t>
              </w:r>
            </w:hyperlink>
          </w:p>
          <w:p>
            <w:hyperlink r:id="rId20">
              <w:r>
                <w:rPr>
                  <w:rFonts w:ascii="Arial Unicode MS" w:hAnsi="Arial Unicode MS" w:eastAsia="Arial Unicode MS"/>
                  <w:color w:val="155E82"/>
                  <w:u w:val="single"/>
                </w:rPr>
                <w:t>实际公开取数地址</w:t>
              </w:r>
            </w:hyperlink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60" w:line="264" w:lineRule="auto"/>
            </w:pPr>
            <w:r>
              <w:rPr>
                <w:sz w:val="19"/>
              </w:rPr>
              <w:t>同日欧元兑人民币除以欧元兑美元，三源共同自然日期齐全才更新温差。 来源周期：TARGET工作日，通常欧洲中部时间16:00。公开免费XML；是参考汇率，不是实时成交价。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spacing w:after="60" w:line="264" w:lineRule="auto"/>
            </w:pPr>
            <w:r>
              <w:rPr>
                <w:sz w:val="19"/>
              </w:rPr>
              <w:t>北京时间23:30检查；缺同日值时次日01:00复查。</w:t>
            </w:r>
          </w:p>
        </w:tc>
      </w:tr>
    </w:tbl>
    <w:p>
      <w:pPr>
        <w:spacing w:after="20"/>
      </w:pPr>
      <w:r/>
    </w:p>
    <w:p>
      <w:r>
        <w:rPr>
          <w:b/>
        </w:rPr>
        <w:t>趋势判断：</w:t>
      </w:r>
      <w:r>
        <w:t>西方枢纽瑞士、英国、美国与东方枢纽中国香港、新加坡、阿联酋按项目固定目的地分组汇总。两方向同月完整可比，东向大于西向写监测报关流以西向东为主；反之写以东向西为主。相同枢纽和目的地范围较上月减少写东向放缓，增加写东向增强；东向仍占优但减少，可写东向仍占优但流量放缓。库存比较相邻月份；价格只用同日齐全的三项输入。</w:t>
      </w:r>
    </w:p>
    <w:p>
      <w:r>
        <w:rPr>
          <w:b/>
        </w:rPr>
        <w:t>缺失与验收：</w:t>
      </w:r>
      <w:r>
        <w:t>覆盖减少不能写放缓；缺方向或上月时写暂无法判断。复用第03板块同一分组和全部路线，不能只加地图前40条。库存、报关、现货各有自己的日期；历史价差退出当前现货结论，其余信号继续独立更新。</w:t>
      </w:r>
    </w:p>
    <w:p>
      <w:r>
        <w:rPr>
          <w:b/>
        </w:rPr>
        <w:t>可选AI提示词：</w:t>
      </w:r>
      <w:r>
        <w:t>根据已确认的报关方向、流量变化、库存变化及价差状态分别写短句，可写东向仍占优但流量放缓。保留各自日期，历史价差仅描述当时状态，不判断当前，不将库存或价差当作跨境迁移证明。 只润色已确认结论，不计算、补数据或编造因果。数字另行展示，地区名称统一为中国台湾。</w:t>
      </w:r>
    </w:p>
    <w:p>
      <w:pPr>
        <w:pStyle w:val="3"/>
      </w:pPr>
      <w:r>
        <w:t>02 全球吸金榜</w:t>
      </w:r>
    </w:p>
    <w:p>
      <w:r>
        <w:rPr>
          <w:b/>
        </w:rPr>
        <w:t>要做什么：</w:t>
      </w:r>
      <w:r>
        <w:t>展示净流入、净流出同期榜及各市场最新完整观测。同期榜只比较同月、进口和出口重量都完整的市场；独立卡片各自标月，不跨月排名。</w:t>
      </w:r>
    </w:p>
    <w:p>
      <w:r>
        <w:rPr>
          <w:b/>
        </w:rPr>
        <w:t>抓取内容：</w:t>
      </w:r>
      <w:r>
        <w:t>各市场同月世界进口总量和总出口量、上月值，不用金额除金价补吨数。 范围为非货币黄金710811、710812、710813；当前使用HS7108，不含710820货币黄金，不代表首饰、废料等全部黄金。保存月份、净重、单位、金额币种、估算及修订状态；重量统一为吨。</w:t>
      </w:r>
    </w:p>
    <w:p>
      <w:r>
        <w:rPr>
          <w:b/>
        </w:rPr>
        <w:t>指定来源：</w:t>
      </w:r>
      <w:r>
        <w:t>本版本全部使用UN Comtrade，覆盖中国内地、中国香港、印度、泰国、土耳其、阿联酋、新加坡、英国、美国、瑞士。同一市场的进口、出口、伙伴明细及比较期均使用同一个源。</w:t>
      </w:r>
    </w:p>
    <w:p>
      <w:r>
        <w:t xml:space="preserve">取数入口 </w:t>
      </w:r>
      <w:hyperlink r:id="rId13">
        <w:r>
          <w:rPr>
            <w:rFonts w:ascii="Arial Unicode MS" w:hAnsi="Arial Unicode MS" w:eastAsia="Arial Unicode MS"/>
            <w:color w:val="155E82"/>
            <w:u w:val="single"/>
          </w:rPr>
          <w:t>UN Comtrade说明</w:t>
        </w:r>
      </w:hyperlink>
      <w:r>
        <w:t>；</w:t>
      </w:r>
      <w:hyperlink r:id="rId14">
        <w:r>
          <w:rPr>
            <w:rFonts w:ascii="Arial Unicode MS" w:hAnsi="Arial Unicode MS" w:eastAsia="Arial Unicode MS"/>
            <w:color w:val="155E82"/>
            <w:u w:val="single"/>
          </w:rPr>
          <w:t>公开月度查询API</w:t>
        </w:r>
      </w:hyperlink>
      <w:r>
        <w:t>；</w:t>
      </w:r>
      <w:hyperlink r:id="rId15">
        <w:r>
          <w:rPr>
            <w:rFonts w:ascii="Arial Unicode MS" w:hAnsi="Arial Unicode MS" w:eastAsia="Arial Unicode MS"/>
            <w:color w:val="155E82"/>
            <w:u w:val="single"/>
          </w:rPr>
          <w:t>已发布月份查询</w:t>
        </w:r>
      </w:hyperlink>
    </w:p>
    <w:p>
      <w:r>
        <w:t>查询时选择月度、该报告市场、商品7108、进口或出口。总量选择世界伙伴；航线选择全部目的地。以净重作为重量依据，不用金额除金价补吨数。必须核验全部分页，不能把预览结果当完整数据。</w:t>
      </w:r>
    </w:p>
    <w:p>
      <w:r>
        <w:rPr>
          <w:b/>
        </w:rPr>
        <w:t>来源周期与抓取频次：</w:t>
      </w:r>
      <w:r>
        <w:t>来源按月发布，各市场报送时间不同；每天北京时间09:00查发布记录。已知发布日起每6小时查一次，持续48小时后恢复每日。新期或修订时取完整明细；每次回查近3个月，每月首日09:00回查近18个月修订。</w:t>
      </w:r>
    </w:p>
    <w:p>
      <w:r>
        <w:t>国家直接来源尚未通过完整重量或访问验证，不作为本版本实施来源；后续换源须完成对账并同步所有依赖板块。</w:t>
      </w:r>
    </w:p>
    <w:p>
      <w:r>
        <w:rPr>
          <w:b/>
        </w:rPr>
        <w:t>趋势判断：</w:t>
      </w:r>
      <w:r>
        <w:t>进口减总出口，正值为净流入，负值为净流出；不足页面显示精度写基本平衡。同号比较净额绝对值，写净流入扩大或收窄、净流出扩大或收窄；跨零写转为净流入或净流出。缺上月只判断本期状态。</w:t>
      </w:r>
    </w:p>
    <w:p>
      <w:r>
        <w:rPr>
          <w:b/>
        </w:rPr>
        <w:t>当前核实状态：</w:t>
      </w:r>
      <w:r>
        <w:t>截至2026年10月10日，Comtrade发布与修订记录未发现新增变化。共同完整期仍为2026年6月；各市场独立卡片保留各自最新完整期，阿联酋等滞后市场明确标历史。此状态不代表当地当前没有贸易。</w:t>
      </w:r>
    </w:p>
    <w:p>
      <w:r>
        <w:rPr>
          <w:b/>
        </w:rPr>
        <w:t>缺失与验收：</w:t>
      </w:r>
      <w:r>
        <w:t>完整新月到齐才更新该市场卡片；共同完整月推进才重算同期榜。缺重量、保密、估算、真实零分别保存；缺一侧不进榜和最新完整卡片。官方新源至少核对3个重叠月，解释差异后才启用。英国尚存在零净重附加数量非零，不能直接把缺失当零。</w:t>
      </w:r>
    </w:p>
    <w:p>
      <w:r>
        <w:rPr>
          <w:b/>
        </w:rPr>
        <w:t>可选AI提示词：</w:t>
      </w:r>
      <w:r>
        <w:t>根据已确认的净流入或净流出及与上月变化，写一句净流入扩大、净流出收窄或转为净流入。上月不完整只写本期状态，不把净进口等同于投资需求。 只润色已确认结论，不计算、补数据或编造因果。数字另行展示，地区名称统一为中国台湾。</w:t>
      </w:r>
    </w:p>
    <w:p>
      <w:pPr>
        <w:pStyle w:val="3"/>
      </w:pPr>
      <w:r>
        <w:t>03 黄金航线</w:t>
      </w:r>
    </w:p>
    <w:p>
      <w:r>
        <w:rPr>
          <w:b/>
        </w:rPr>
        <w:t>要做什么：</w:t>
      </w:r>
      <w:r>
        <w:t>保留枢纽筛选、排行榜与地图切换、路线点选和高亮。路线显示出发地、目的地、月份、吨数、原始申报额及币种、估算标记。不同官方渠道金额可能不是美元，未有可靠换算不冒充美元。</w:t>
      </w:r>
    </w:p>
    <w:p>
      <w:r>
        <w:rPr>
          <w:b/>
        </w:rPr>
        <w:t>抓取内容：</w:t>
      </w:r>
      <w:r>
        <w:t>报告枢纽完整出口目的地明细、世界出口总量及上月对应明细。与黄金罗盘共用一次取数。 范围为非货币黄金710811、710812、710813；当前使用HS7108，不含710820货币黄金，不代表首饰、废料等全部黄金。保存月份、净重、单位、金额币种、估算及修订状态；重量统一为吨。</w:t>
      </w:r>
    </w:p>
    <w:p>
      <w:r>
        <w:rPr>
          <w:b/>
        </w:rPr>
        <w:t>指定来源：</w:t>
      </w:r>
      <w:r>
        <w:t>本版本全部使用UN Comtrade，覆盖瑞士、英国、美国、中国香港、新加坡、阿联酋。同一市场的进口、出口、伙伴明细及比较期均使用同一个源。</w:t>
      </w:r>
    </w:p>
    <w:p>
      <w:r>
        <w:t xml:space="preserve">取数入口 </w:t>
      </w:r>
      <w:hyperlink r:id="rId13">
        <w:r>
          <w:rPr>
            <w:rFonts w:ascii="Arial Unicode MS" w:hAnsi="Arial Unicode MS" w:eastAsia="Arial Unicode MS"/>
            <w:color w:val="155E82"/>
            <w:u w:val="single"/>
          </w:rPr>
          <w:t>UN Comtrade说明</w:t>
        </w:r>
      </w:hyperlink>
      <w:r>
        <w:t>；</w:t>
      </w:r>
      <w:hyperlink r:id="rId14">
        <w:r>
          <w:rPr>
            <w:rFonts w:ascii="Arial Unicode MS" w:hAnsi="Arial Unicode MS" w:eastAsia="Arial Unicode MS"/>
            <w:color w:val="155E82"/>
            <w:u w:val="single"/>
          </w:rPr>
          <w:t>公开月度查询API</w:t>
        </w:r>
      </w:hyperlink>
      <w:r>
        <w:t>；</w:t>
      </w:r>
      <w:hyperlink r:id="rId15">
        <w:r>
          <w:rPr>
            <w:rFonts w:ascii="Arial Unicode MS" w:hAnsi="Arial Unicode MS" w:eastAsia="Arial Unicode MS"/>
            <w:color w:val="155E82"/>
            <w:u w:val="single"/>
          </w:rPr>
          <w:t>已发布月份查询</w:t>
        </w:r>
      </w:hyperlink>
    </w:p>
    <w:p>
      <w:r>
        <w:t>查询时选择月度、该报告市场、商品7108、进口或出口。总量选择世界伙伴；航线选择全部目的地。以净重作为重量依据，不用金额除金价补吨数。必须核验全部分页，不能把预览结果当完整数据。</w:t>
      </w:r>
    </w:p>
    <w:p>
      <w:r>
        <w:rPr>
          <w:b/>
        </w:rPr>
        <w:t>来源周期与抓取频次：</w:t>
      </w:r>
      <w:r>
        <w:t>来源按月发布，各市场报送时间不同；每天北京时间09:00查发布记录。已知发布日起每6小时查一次，持续48小时后恢复每日。新期或修订时取完整明细；每次回查近3个月，每月首日09:00回查近18个月修订。</w:t>
      </w:r>
    </w:p>
    <w:p>
      <w:r>
        <w:t>国家直接来源尚未通过完整重量或访问验证，不作为本版本实施来源；后续换源须完成对账并同步所有依赖板块。</w:t>
      </w:r>
    </w:p>
    <w:p>
      <w:r>
        <w:rPr>
          <w:b/>
        </w:rPr>
        <w:t>方向分组：</w:t>
      </w:r>
      <w:r>
        <w:t>西方枢纽为瑞士、英国、美国；东方枢纽为中国香港、新加坡、阿联酋。东向目的地为孟加拉国、中国内地、中国香港、印尼、日本、韩国、马来西亚、其他亚洲地区（来源代码490）、巴基斯坦、印度、新加坡、越南、泰国。西向目的地为澳大利亚、奥地利、比利时、加拿大、法国、德国、意大利、荷兰、波兰、西班牙、瑞典、瑞士、英国、美国。按demo项目分组，前后期固定；代码490合并范围不当作中国台湾单独值。</w:t>
      </w:r>
    </w:p>
    <w:p>
      <w:r>
        <w:rPr>
          <w:b/>
        </w:rPr>
        <w:t>趋势判断：</w:t>
      </w:r>
      <w:r>
        <w:t>完整目的地数据判断主要流向亚洲或某地区。路线份额用同月官方世界总量作分母；同枢纽、同范围的相邻月份份额可比才写去向重心转移。转口可能重复记录，不称全球唯一黄金流量。</w:t>
      </w:r>
    </w:p>
    <w:p>
      <w:r>
        <w:rPr>
          <w:b/>
        </w:rPr>
        <w:t>缺失与验收：</w:t>
      </w:r>
      <w:r>
        <w:t>取齐全部分页后可展示前40条，方向计算使用全部有效路线。Comtrade预览达到500条时停止更新，拆分或取得完整交付后再发布。缺伙伴重量或世界总量，不出整体方向或份额；对方进口只核验，不能静默补入出口。未报送枢纽标覆盖范围，不能伪造当前路线。</w:t>
      </w:r>
    </w:p>
    <w:p>
      <w:r>
        <w:rPr>
          <w:b/>
        </w:rPr>
        <w:t>可选AI提示词：</w:t>
      </w:r>
      <w:r>
        <w:t>根据已确认的主要目的地区域及相邻月份份额变化写一句路线判断。只有本期只写主要去向，可比才写重心转移；限定监测报关路线，不写全球黄金全面迁移。 只润色已确认结论，不计算、补数据或编造因果。数字另行展示，地区名称统一为中国台湾。</w:t>
      </w:r>
    </w:p>
    <w:p>
      <w:pPr>
        <w:pStyle w:val="3"/>
      </w:pPr>
      <w:r>
        <w:t>04 瑞士精炼站</w:t>
      </w:r>
    </w:p>
    <w:p>
      <w:r>
        <w:rPr>
          <w:b/>
        </w:rPr>
        <w:t>要做什么：</w:t>
      </w:r>
      <w:r>
        <w:t>保留进口来源和出口去向切换、各侧地区排名及占比。进口保留全部、矿产供应地、金融及转口筛选与其余来源。两侧分别标月份和范围。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438"/>
        <w:gridCol w:w="4082"/>
        <w:gridCol w:w="3118"/>
      </w:tblGrid>
      <w:tr>
        <w:trPr>
          <w:tblHeader/>
          <w:cantSplit/>
        </w:trPr>
        <w:tc>
          <w:tcPr>
            <w:tcW w:type="dxa" w:w="2438"/>
            <w:vAlign w:val="center"/>
            <w:shd w:fill="E5EFF5"/>
          </w:tcPr>
          <w:p>
            <w:pPr>
              <w:keepNext w:val="0"/>
              <w:spacing w:after="40" w:before="0" w:line="264" w:lineRule="auto"/>
            </w:pPr>
            <w:r>
              <w:rPr>
                <w:b/>
                <w:color w:val="000000"/>
                <w:sz w:val="19"/>
              </w:rPr>
              <w:t>数据与指定来源</w:t>
            </w:r>
          </w:p>
        </w:tc>
        <w:tc>
          <w:tcPr>
            <w:tcW w:type="dxa" w:w="4082"/>
            <w:vAlign w:val="center"/>
            <w:shd w:fill="E5EFF5"/>
          </w:tcPr>
          <w:p>
            <w:pPr>
              <w:keepNext w:val="0"/>
              <w:spacing w:after="40" w:before="0" w:line="264" w:lineRule="auto"/>
            </w:pPr>
            <w:r>
              <w:rPr>
                <w:b/>
                <w:color w:val="000000"/>
                <w:sz w:val="19"/>
              </w:rPr>
              <w:t>抓取内容和访问条件</w:t>
            </w:r>
          </w:p>
        </w:tc>
        <w:tc>
          <w:tcPr>
            <w:tcW w:type="dxa" w:w="3118"/>
            <w:vAlign w:val="center"/>
            <w:shd w:fill="E5EFF5"/>
          </w:tcPr>
          <w:p>
            <w:pPr>
              <w:keepNext w:val="0"/>
              <w:spacing w:after="40" w:before="0" w:line="264" w:lineRule="auto"/>
            </w:pPr>
            <w:r>
              <w:rPr>
                <w:b/>
                <w:color w:val="000000"/>
                <w:sz w:val="19"/>
              </w:rPr>
              <w:t>抓取频次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r/>
            <w:r>
              <w:rPr>
                <w:b/>
              </w:rPr>
              <w:t>瑞士进口</w:t>
            </w:r>
          </w:p>
          <w:p>
            <w:hyperlink r:id="rId21">
              <w:r>
                <w:rPr>
                  <w:rFonts w:ascii="Arial Unicode MS" w:hAnsi="Arial Unicode MS" w:eastAsia="Arial Unicode MS"/>
                  <w:color w:val="155E82"/>
                  <w:u w:val="single"/>
                </w:rPr>
                <w:t>瑞士BAZG黄金进口</w:t>
              </w:r>
            </w:hyperlink>
          </w:p>
          <w:p>
            <w:hyperlink r:id="rId22">
              <w:r>
                <w:rPr>
                  <w:rFonts w:ascii="Arial Unicode MS" w:hAnsi="Arial Unicode MS" w:eastAsia="Arial Unicode MS"/>
                  <w:color w:val="155E82"/>
                  <w:u w:val="single"/>
                </w:rPr>
                <w:t>实际公开取数地址</w:t>
              </w:r>
            </w:hyperlink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60" w:line="264" w:lineRule="auto"/>
            </w:pPr>
            <w:r>
              <w:rPr>
                <w:sz w:val="19"/>
              </w:rPr>
              <w:t>7108.1200与控制代码911至914，重量千克；按来源国，不等于矿山原产地。 来源周期：月度，可修订。公开CSV可直接下载，无需付费或账户。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spacing w:after="60" w:line="264" w:lineRule="auto"/>
            </w:pPr>
            <w:r>
              <w:rPr>
                <w:sz w:val="19"/>
              </w:rPr>
              <w:t>每日北京时间09:00检查；明确发布日当天起每6小时检查，持续48小时后恢复每日。新期才抓明细，每次回查最近3个月，每月回查18个月修订。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r/>
            <w:r>
              <w:rPr>
                <w:b/>
              </w:rPr>
              <w:t>瑞士出口</w:t>
            </w:r>
          </w:p>
          <w:p>
            <w:hyperlink r:id="rId13">
              <w:r>
                <w:rPr>
                  <w:rFonts w:ascii="Arial Unicode MS" w:hAnsi="Arial Unicode MS" w:eastAsia="Arial Unicode MS"/>
                  <w:color w:val="155E82"/>
                  <w:u w:val="single"/>
                </w:rPr>
                <w:t>UN Comtrade</w:t>
              </w:r>
            </w:hyperlink>
          </w:p>
          <w:p>
            <w:hyperlink r:id="rId14">
              <w:r>
                <w:rPr>
                  <w:rFonts w:ascii="Arial Unicode MS" w:hAnsi="Arial Unicode MS" w:eastAsia="Arial Unicode MS"/>
                  <w:color w:val="155E82"/>
                  <w:u w:val="single"/>
                </w:rPr>
                <w:t>实际公开取数地址</w:t>
              </w:r>
            </w:hyperlink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60" w:line="264" w:lineRule="auto"/>
            </w:pPr>
            <w:r>
              <w:rPr>
                <w:sz w:val="19"/>
              </w:rPr>
              <w:t>非货币黄金710811、710812、710813及对应本地细分码，完整出口目的地与净重。 来源周期：月度，各报告市场报送及修订时间不同。免费公开查询；预览最多500条且有限流，必须核验完整性。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spacing w:after="60" w:line="264" w:lineRule="auto"/>
            </w:pPr>
            <w:r>
              <w:rPr>
                <w:sz w:val="19"/>
              </w:rPr>
              <w:t>每日北京时间09:00检查；明确发布日当天起每6小时检查，持续48小时后恢复每日。新期才抓明细，每次回查最近3个月，每月回查18个月修订。</w:t>
            </w:r>
          </w:p>
        </w:tc>
      </w:tr>
    </w:tbl>
    <w:p>
      <w:pPr>
        <w:spacing w:after="20"/>
      </w:pPr>
      <w:r/>
    </w:p>
    <w:p>
      <w:r>
        <w:rPr>
          <w:b/>
        </w:rPr>
        <w:t>抓取补充：</w:t>
      </w:r>
      <w:r>
        <w:t>进口CSV按7108.1200控制代码911至914筛选，保存来源国、净重、月份、暂定状态；按完整55个来源地汇总，不能只用排名前10个计算分类占比；55为本次观测，后续数量随源变化。只保留必要月度子集，不每天保存全部大文件。出口指定Comtrade，取完整目的地与世界总量。来源地角色是分析分类，不证明每批黄金的矿山产地。BAZG公开CSV直接抓取，不增加许可前置条件。</w:t>
      </w:r>
    </w:p>
    <w:p>
      <w:r>
        <w:rPr>
          <w:b/>
        </w:rPr>
        <w:t>分类与当前状态：</w:t>
      </w:r>
      <w:r>
        <w:t>矿产供应地分类为阿根廷、澳大利亚、智利、加纳、科特迪瓦、吉尔吉斯斯坦、秘鲁；金融及转口为意大利、阿联酋、美国，其他列为其余来源。分类是项目分析标签，不是矿产黄金控制代码。进口与出口最新均为2026年8月；进口暂定值以官方修订为准。</w:t>
      </w:r>
    </w:p>
    <w:p>
      <w:r>
        <w:rPr>
          <w:b/>
        </w:rPr>
        <w:t>趋势与验收：</w:t>
      </w:r>
      <w:r>
        <w:t>完整本期写主要来自或去往某地区；前后同口径份额齐全才写来源倾斜或去向重心转移。占比用完整该侧总量。两侧范围不同，不相减推库存；修订重算对应侧排名，切换后月份和分母同步。</w:t>
      </w:r>
    </w:p>
    <w:p>
      <w:r>
        <w:rPr>
          <w:b/>
        </w:rPr>
        <w:t>可选AI提示词：</w:t>
      </w:r>
      <w:r>
        <w:t>分别概括瑞士进口主要来源和出口主要去向；只有可比份额变化才写倾斜或转移。保留两侧日期和范围，不把来源地角色当矿山产地，不以差额推库存。 只润色已确认结论，不计算、补数据或编造因果。数字另行展示，地区名称统一为中国台湾。</w:t>
      </w:r>
    </w:p>
    <w:p>
      <w:pPr>
        <w:pStyle w:val="3"/>
      </w:pPr>
      <w:r>
        <w:t>05 三地实物信号</w:t>
      </w:r>
    </w:p>
    <w:p>
      <w:r>
        <w:rPr>
          <w:b/>
        </w:rPr>
        <w:t>要做什么：</w:t>
      </w:r>
      <w:r>
        <w:t>并列伦敦月库存趋势、COMEX Registered和Eligible及总库存日变化、上海月出库与交割，保留多市场解读。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438"/>
        <w:gridCol w:w="4082"/>
        <w:gridCol w:w="3118"/>
      </w:tblGrid>
      <w:tr>
        <w:trPr>
          <w:tblHeader/>
          <w:cantSplit/>
        </w:trPr>
        <w:tc>
          <w:tcPr>
            <w:tcW w:type="dxa" w:w="2438"/>
            <w:vAlign w:val="center"/>
            <w:shd w:fill="E5EFF5"/>
          </w:tcPr>
          <w:p>
            <w:pPr>
              <w:keepNext w:val="0"/>
              <w:spacing w:after="40" w:before="0" w:line="264" w:lineRule="auto"/>
            </w:pPr>
            <w:r>
              <w:rPr>
                <w:b/>
                <w:color w:val="000000"/>
                <w:sz w:val="19"/>
              </w:rPr>
              <w:t>数据与指定来源</w:t>
            </w:r>
          </w:p>
        </w:tc>
        <w:tc>
          <w:tcPr>
            <w:tcW w:type="dxa" w:w="4082"/>
            <w:vAlign w:val="center"/>
            <w:shd w:fill="E5EFF5"/>
          </w:tcPr>
          <w:p>
            <w:pPr>
              <w:keepNext w:val="0"/>
              <w:spacing w:after="40" w:before="0" w:line="264" w:lineRule="auto"/>
            </w:pPr>
            <w:r>
              <w:rPr>
                <w:b/>
                <w:color w:val="000000"/>
                <w:sz w:val="19"/>
              </w:rPr>
              <w:t>抓取内容和访问条件</w:t>
            </w:r>
          </w:p>
        </w:tc>
        <w:tc>
          <w:tcPr>
            <w:tcW w:type="dxa" w:w="3118"/>
            <w:vAlign w:val="center"/>
            <w:shd w:fill="E5EFF5"/>
          </w:tcPr>
          <w:p>
            <w:pPr>
              <w:keepNext w:val="0"/>
              <w:spacing w:after="40" w:before="0" w:line="264" w:lineRule="auto"/>
            </w:pPr>
            <w:r>
              <w:rPr>
                <w:b/>
                <w:color w:val="000000"/>
                <w:sz w:val="19"/>
              </w:rPr>
              <w:t>抓取频次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r/>
            <w:r>
              <w:rPr>
                <w:b/>
              </w:rPr>
              <w:t>伦敦库存</w:t>
            </w:r>
          </w:p>
          <w:p>
            <w:hyperlink r:id="rId16">
              <w:r>
                <w:rPr>
                  <w:rFonts w:ascii="Arial Unicode MS" w:hAnsi="Arial Unicode MS" w:eastAsia="Arial Unicode MS"/>
                  <w:color w:val="155E82"/>
                  <w:u w:val="single"/>
                </w:rPr>
                <w:t>LBMA伦敦库存</w:t>
              </w:r>
            </w:hyperlink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60" w:line="264" w:lineRule="auto"/>
            </w:pPr>
            <w:r>
              <w:rPr>
                <w:sz w:val="19"/>
              </w:rPr>
              <w:t>全伦敦专业金库与英格兰银行月末黄金持有量；不以英格兰银行子集替代。 来源周期：每月第5个工作日公布上月末库存。公开工作簿；需标明来源。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spacing w:after="60" w:line="264" w:lineRule="auto"/>
            </w:pPr>
            <w:r>
              <w:rPr>
                <w:sz w:val="19"/>
              </w:rPr>
              <w:t>每日北京时间09:00查目录；公布日另按伦敦当地10:00、16:00检查。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r/>
            <w:r>
              <w:rPr>
                <w:b/>
              </w:rPr>
              <w:t>COMEX库存</w:t>
            </w:r>
          </w:p>
          <w:p>
            <w:hyperlink r:id="rId23">
              <w:r>
                <w:rPr>
                  <w:rFonts w:ascii="Arial Unicode MS" w:hAnsi="Arial Unicode MS" w:eastAsia="Arial Unicode MS"/>
                  <w:color w:val="155E82"/>
                  <w:u w:val="single"/>
                </w:rPr>
                <w:t>CME Gold Stocks</w:t>
              </w:r>
            </w:hyperlink>
          </w:p>
          <w:p>
            <w:hyperlink r:id="rId24">
              <w:r>
                <w:rPr>
                  <w:rFonts w:ascii="Arial Unicode MS" w:hAnsi="Arial Unicode MS" w:eastAsia="Arial Unicode MS"/>
                  <w:color w:val="155E82"/>
                  <w:u w:val="single"/>
                </w:rPr>
                <w:t>实际公开取数地址</w:t>
              </w:r>
            </w:hyperlink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60" w:line="264" w:lineRule="auto"/>
            </w:pPr>
            <w:r>
              <w:rPr>
                <w:sz w:val="19"/>
              </w:rPr>
              <w:t>Registered、Eligible、总量与活动日；Pledged已含在Registered中。 来源周期：通常按美国营业日更新，以表内活动日为准。当前最新表下载未成功，demo为2026年7月存档，不参与当前趋势。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spacing w:after="60" w:line="264" w:lineRule="auto"/>
            </w:pPr>
            <w:r>
              <w:rPr>
                <w:sz w:val="19"/>
              </w:rPr>
              <w:t>纽约当地美国营业日18:00及次日09:00检查，按当地夏令时换算。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r/>
            <w:r>
              <w:rPr>
                <w:b/>
              </w:rPr>
              <w:t>上海出库与交割</w:t>
            </w:r>
          </w:p>
          <w:p>
            <w:hyperlink r:id="rId25">
              <w:r>
                <w:rPr>
                  <w:rFonts w:ascii="Arial Unicode MS" w:hAnsi="Arial Unicode MS" w:eastAsia="Arial Unicode MS"/>
                  <w:color w:val="155E82"/>
                  <w:u w:val="single"/>
                </w:rPr>
                <w:t>上金所月报</w:t>
              </w:r>
            </w:hyperlink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60" w:line="264" w:lineRule="auto"/>
            </w:pPr>
            <w:r>
              <w:rPr>
                <w:sz w:val="19"/>
              </w:rPr>
              <w:t>月报黄金出库量、交割量及上月值；不是总库存或终端消费。 来源周期：月度，具体发布日期以目录为准。公开月报PDF；需标明来源。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spacing w:after="60" w:line="264" w:lineRule="auto"/>
            </w:pPr>
            <w:r>
              <w:rPr>
                <w:sz w:val="19"/>
              </w:rPr>
              <w:t>每日北京时间10:00、17:00查月报目录，新报告出现后读取。</w:t>
            </w:r>
          </w:p>
        </w:tc>
      </w:tr>
    </w:tbl>
    <w:p>
      <w:pPr>
        <w:spacing w:after="20"/>
      </w:pPr>
      <w:r/>
    </w:p>
    <w:p>
      <w:r>
        <w:rPr>
          <w:b/>
        </w:rPr>
        <w:t>抓取内容：</w:t>
      </w:r>
      <w:r>
        <w:t>多市场解读复用第03板块完整月度出口明细、世界总量及上月值。无需重复下载，校验后重算解读。 范围为非货币黄金710811、710812、710813；当前使用HS7108，不含710820货币黄金，不代表首饰、废料等全部黄金。保存月份、净重、单位、金额币种、估算及修订状态；重量统一为吨。</w:t>
      </w:r>
    </w:p>
    <w:p>
      <w:r>
        <w:rPr>
          <w:b/>
        </w:rPr>
        <w:t>指定来源：</w:t>
      </w:r>
      <w:r>
        <w:t>本版本全部使用UN Comtrade，覆盖瑞士、英国、美国、中国香港、新加坡、阿联酋。同一市场的进口、出口、伙伴明细及比较期均使用同一个源。</w:t>
      </w:r>
    </w:p>
    <w:p>
      <w:r>
        <w:t xml:space="preserve">取数入口 </w:t>
      </w:r>
      <w:hyperlink r:id="rId13">
        <w:r>
          <w:rPr>
            <w:rFonts w:ascii="Arial Unicode MS" w:hAnsi="Arial Unicode MS" w:eastAsia="Arial Unicode MS"/>
            <w:color w:val="155E82"/>
            <w:u w:val="single"/>
          </w:rPr>
          <w:t>UN Comtrade说明</w:t>
        </w:r>
      </w:hyperlink>
      <w:r>
        <w:t>；</w:t>
      </w:r>
      <w:hyperlink r:id="rId14">
        <w:r>
          <w:rPr>
            <w:rFonts w:ascii="Arial Unicode MS" w:hAnsi="Arial Unicode MS" w:eastAsia="Arial Unicode MS"/>
            <w:color w:val="155E82"/>
            <w:u w:val="single"/>
          </w:rPr>
          <w:t>公开月度查询API</w:t>
        </w:r>
      </w:hyperlink>
      <w:r>
        <w:t>；</w:t>
      </w:r>
      <w:hyperlink r:id="rId15">
        <w:r>
          <w:rPr>
            <w:rFonts w:ascii="Arial Unicode MS" w:hAnsi="Arial Unicode MS" w:eastAsia="Arial Unicode MS"/>
            <w:color w:val="155E82"/>
            <w:u w:val="single"/>
          </w:rPr>
          <w:t>已发布月份查询</w:t>
        </w:r>
      </w:hyperlink>
    </w:p>
    <w:p>
      <w:r>
        <w:t>查询时选择月度、该报告市场、商品7108、进口或出口。总量选择世界伙伴；航线选择全部目的地。以净重作为重量依据，不用金额除金价补吨数。必须核验全部分页，不能把预览结果当完整数据。</w:t>
      </w:r>
    </w:p>
    <w:p>
      <w:r>
        <w:rPr>
          <w:b/>
        </w:rPr>
        <w:t>来源周期与抓取频次：</w:t>
      </w:r>
      <w:r>
        <w:t>来源按月发布，各市场报送时间不同；每天北京时间09:00查发布记录。已知发布日起每6小时查一次，持续48小时后恢复每日。新期或修订时取完整明细；每次回查近3个月，每月首日09:00回查近18个月修订。</w:t>
      </w:r>
    </w:p>
    <w:p>
      <w:r>
        <w:t>国家直接来源尚未通过完整重量或访问验证，不作为本版本实施来源；后续换源须完成对账并同步所有依赖板块。</w:t>
      </w:r>
    </w:p>
    <w:p>
      <w:r>
        <w:rPr>
          <w:b/>
        </w:rPr>
        <w:t>当前核实状态：</w:t>
      </w:r>
      <w:r>
        <w:t>伦敦库存及上海出库、交割最新均为2026年9月，未发现新报告或数值修订。COMEX官方最新表两次下载连接超时，无法确认最新活动日；现有2026年7月30日报表仅作历史存档。</w:t>
      </w:r>
    </w:p>
    <w:p>
      <w:r>
        <w:rPr>
          <w:b/>
        </w:rPr>
        <w:t>趋势与验收：</w:t>
      </w:r>
      <w:r>
        <w:t>伦敦相邻月份和COMEX相邻活动日比较写库存增加或减少；上海月出库与上月比较写出库增加或减少，交割单列。不同方向且证据充分可写实物信号分化，保留各自指标和日期，不推断从一地运到另一地。COMEX超过两个美国营业日无可核实新表，标历史存档并退出当前解读。</w:t>
      </w:r>
    </w:p>
    <w:p>
      <w:r>
        <w:rPr>
          <w:b/>
        </w:rPr>
        <w:t>可选AI提示词：</w:t>
      </w:r>
      <w:r>
        <w:t>分别描述已经确认的伦敦库存、COMEX库存、上海出库及监测报关变化。保留日期和指标含义，历史存档不参与当前趋势，不将不同指标相加或编造迁移因果。 只润色已确认结论，不计算、补数据或编造因果。数字另行展示，地区名称统一为中国台湾。</w:t>
      </w:r>
    </w:p>
    <w:p>
      <w:pPr>
        <w:pStyle w:val="3"/>
      </w:pPr>
      <w:r>
        <w:t>06 金价温差</w:t>
      </w:r>
    </w:p>
    <w:p>
      <w:r>
        <w:rPr>
          <w:b/>
        </w:rPr>
        <w:t>要做什么：</w:t>
      </w:r>
      <w:r>
        <w:t>保留上海Au99.99对伦敦PM的指示性溢价或折价、两地价格及共同日期。当前伦敦PM仅为历史快照，页面显示历史观察和待更新，不能叫当前溢价。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438"/>
        <w:gridCol w:w="4082"/>
        <w:gridCol w:w="3118"/>
      </w:tblGrid>
      <w:tr>
        <w:trPr>
          <w:tblHeader/>
          <w:cantSplit/>
        </w:trPr>
        <w:tc>
          <w:tcPr>
            <w:tcW w:type="dxa" w:w="2438"/>
            <w:vAlign w:val="center"/>
            <w:shd w:fill="E5EFF5"/>
          </w:tcPr>
          <w:p>
            <w:pPr>
              <w:keepNext w:val="0"/>
              <w:spacing w:after="40" w:before="0" w:line="264" w:lineRule="auto"/>
            </w:pPr>
            <w:r>
              <w:rPr>
                <w:b/>
                <w:color w:val="000000"/>
                <w:sz w:val="19"/>
              </w:rPr>
              <w:t>数据与指定来源</w:t>
            </w:r>
          </w:p>
        </w:tc>
        <w:tc>
          <w:tcPr>
            <w:tcW w:type="dxa" w:w="4082"/>
            <w:vAlign w:val="center"/>
            <w:shd w:fill="E5EFF5"/>
          </w:tcPr>
          <w:p>
            <w:pPr>
              <w:keepNext w:val="0"/>
              <w:spacing w:after="40" w:before="0" w:line="264" w:lineRule="auto"/>
            </w:pPr>
            <w:r>
              <w:rPr>
                <w:b/>
                <w:color w:val="000000"/>
                <w:sz w:val="19"/>
              </w:rPr>
              <w:t>抓取内容和访问条件</w:t>
            </w:r>
          </w:p>
        </w:tc>
        <w:tc>
          <w:tcPr>
            <w:tcW w:type="dxa" w:w="3118"/>
            <w:vAlign w:val="center"/>
            <w:shd w:fill="E5EFF5"/>
          </w:tcPr>
          <w:p>
            <w:pPr>
              <w:keepNext w:val="0"/>
              <w:spacing w:after="40" w:before="0" w:line="264" w:lineRule="auto"/>
            </w:pPr>
            <w:r>
              <w:rPr>
                <w:b/>
                <w:color w:val="000000"/>
                <w:sz w:val="19"/>
              </w:rPr>
              <w:t>抓取频次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r/>
            <w:r>
              <w:rPr>
                <w:b/>
              </w:rPr>
              <w:t>上海黄金价格</w:t>
            </w:r>
          </w:p>
          <w:p>
            <w:hyperlink r:id="rId17">
              <w:r>
                <w:rPr>
                  <w:rFonts w:ascii="Arial Unicode MS" w:hAnsi="Arial Unicode MS" w:eastAsia="Arial Unicode MS"/>
                  <w:color w:val="155E82"/>
                  <w:u w:val="single"/>
                </w:rPr>
                <w:t>上金所Au99.99日行情</w:t>
              </w:r>
            </w:hyperlink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60" w:line="264" w:lineRule="auto"/>
            </w:pPr>
            <w:r>
              <w:rPr>
                <w:sz w:val="19"/>
              </w:rPr>
              <w:t>Au99.99收盘价，人民币每克，取实际交易日。 来源周期：中国交易日。公开日行情；需标明来源。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spacing w:after="60" w:line="264" w:lineRule="auto"/>
            </w:pPr>
            <w:r>
              <w:rPr>
                <w:sz w:val="19"/>
              </w:rPr>
              <w:t>中国交易日北京时间17:00、20:00检查。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r/>
            <w:r>
              <w:rPr>
                <w:b/>
              </w:rPr>
              <w:t>伦敦黄金价格</w:t>
            </w:r>
          </w:p>
          <w:p>
            <w:hyperlink r:id="rId18">
              <w:r>
                <w:rPr>
                  <w:rFonts w:ascii="Arial Unicode MS" w:hAnsi="Arial Unicode MS" w:eastAsia="Arial Unicode MS"/>
                  <w:color w:val="155E82"/>
                  <w:u w:val="single"/>
                </w:rPr>
                <w:t>LBMA Gold Price PM公开JSON</w:t>
              </w:r>
            </w:hyperlink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60" w:line="264" w:lineRule="auto"/>
            </w:pPr>
            <w:r>
              <w:rPr>
                <w:sz w:val="19"/>
              </w:rPr>
              <w:t>LBMA Gold Price PM，美元每金衡盎司；目前仅历史观察，不能出当前溢价结论。 来源周期：英国交易日；公开接口实际更新延迟须抓取验证。公开JSON实测HTTP 403；尚未验证可持续获取最新同口径PM价格，保留历史观察。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spacing w:after="60" w:line="264" w:lineRule="auto"/>
            </w:pPr>
            <w:r>
              <w:rPr>
                <w:sz w:val="19"/>
              </w:rPr>
              <w:t>英国交易日后按伦敦次日01:00检查公开PM入口；失败按统一重试规则处理，不推进价差日期。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r/>
            <w:r>
              <w:rPr>
                <w:b/>
              </w:rPr>
              <w:t>人民币换算汇率</w:t>
            </w:r>
          </w:p>
          <w:p>
            <w:hyperlink r:id="rId19">
              <w:r>
                <w:rPr>
                  <w:rFonts w:ascii="Arial Unicode MS" w:hAnsi="Arial Unicode MS" w:eastAsia="Arial Unicode MS"/>
                  <w:color w:val="155E82"/>
                  <w:u w:val="single"/>
                </w:rPr>
                <w:t>ECB参考汇率</w:t>
              </w:r>
            </w:hyperlink>
          </w:p>
          <w:p>
            <w:hyperlink r:id="rId20">
              <w:r>
                <w:rPr>
                  <w:rFonts w:ascii="Arial Unicode MS" w:hAnsi="Arial Unicode MS" w:eastAsia="Arial Unicode MS"/>
                  <w:color w:val="155E82"/>
                  <w:u w:val="single"/>
                </w:rPr>
                <w:t>实际公开取数地址</w:t>
              </w:r>
            </w:hyperlink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60" w:line="264" w:lineRule="auto"/>
            </w:pPr>
            <w:r>
              <w:rPr>
                <w:sz w:val="19"/>
              </w:rPr>
              <w:t>同日欧元兑人民币除以欧元兑美元，三源共同自然日期齐全才更新温差。 来源周期：TARGET工作日，通常欧洲中部时间16:00。公开免费XML；是参考汇率，不是实时成交价。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spacing w:after="60" w:line="264" w:lineRule="auto"/>
            </w:pPr>
            <w:r>
              <w:rPr>
                <w:sz w:val="19"/>
              </w:rPr>
              <w:t>北京时间23:30检查；缺同日值时次日01:00复查。</w:t>
            </w:r>
          </w:p>
        </w:tc>
      </w:tr>
    </w:tbl>
    <w:p>
      <w:pPr>
        <w:spacing w:after="20"/>
      </w:pPr>
      <w:r/>
    </w:p>
    <w:p>
      <w:r>
        <w:rPr>
          <w:b/>
        </w:rPr>
        <w:t>当前核实状态：</w:t>
      </w:r>
      <w:r>
        <w:t>上海Au99.99收盘价与ECB汇率已核实并保存至2026年10月9日；伦敦公开历史入口以及官网当前today、limited PM入口均返回403。同日价差保留2026年9月28日历史观察，不将两个新输入与旧伦敦价格混算。页面同时显示三个输入的各自日期和更新状态。</w:t>
      </w:r>
    </w:p>
    <w:p>
      <w:r>
        <w:rPr>
          <w:b/>
        </w:rPr>
        <w:t>为何需要三源：</w:t>
      </w:r>
      <w:r>
        <w:t>上金所提供人民币上海价格，LBMA公开JSON入口提供美元伦敦PM，ECB提供换算汇率；三个输入全部需要。伦敦公开入口当前返回403，按本节频次检查和重试；取到新数据并验证前，不推进价差日期。若发现其他无需付费的同口径公开入口，须核对日期、PM口径与历史重叠值后统一接入。采用不同价格指标须先确认定义，再回算历史，不静默替换。</w:t>
      </w:r>
    </w:p>
    <w:p>
      <w:r>
        <w:rPr>
          <w:b/>
        </w:rPr>
        <w:t>趋势判断：</w:t>
      </w:r>
      <w:r>
        <w:t>伦敦美元每盎司价格除以31.1034768，再乘每美元人民币汇率，得到人民币每克。上海价更高为溢价、更低为折价；价差占伦敦换算价为百分比。同日三项齐全且上一共同日期也齐全才写溢价扩大或收窄、转为折价或溢价。只有一个日期只写该日期状态。</w:t>
      </w:r>
    </w:p>
    <w:p>
      <w:r>
        <w:rPr>
          <w:b/>
        </w:rPr>
        <w:t>缺失与验收：</w:t>
      </w:r>
      <w:r>
        <w:t>取最近共同自然日期，不跨日拼接；缺项保留上一完整日期并标历史。上海收盘、伦敦PM和ECB同日也不同时，显示非实时指示性价差，不称实时套利。不能用期货价、不同定义WGC溢价或早间人民币中间价静默补缺。公开抓取成功、确认数据为最新且三源同日齐全后，才启用当前现货判断。</w:t>
      </w:r>
    </w:p>
    <w:p>
      <w:r>
        <w:rPr>
          <w:b/>
        </w:rPr>
        <w:t>可选AI提示词：</w:t>
      </w:r>
      <w:r>
        <w:t>根据同日已确认溢价或折价及上一共同日期变化写短句，优先上海溢价扩大、溢价收窄或转为折价。历史日期仅描述当时状态，不写当前结论，不解释为可实现运输套利。 只润色已确认结论，不计算、补数据或编造因果。数字另行展示，地区名称统一为中国台湾。</w:t>
      </w:r>
    </w:p>
    <w:p>
      <w:pPr>
        <w:pStyle w:val="3"/>
      </w:pPr>
      <w:r>
        <w:t>交付与更新要求</w:t>
      </w:r>
    </w:p>
    <w:p>
      <w:r>
        <w:rPr>
          <w:b/>
        </w:rPr>
        <w:t>后续换源验收：</w:t>
      </w:r>
      <w:r>
        <w:t>各国直接源实取完整黄金重量、单位及伙伴表，检查分页、世界总量、金额币种、零值、估算和保密，至少3个重叠月份与现源对账并解释差异。尚未实际取到完整数据不认定完成；版权和许可不作为本阶段接入前置条件。本版本实施源、demo实际出处和本文对应，统一维护source-policy.json；候选来源仅保存在评估记录中，不作为本次必选接口；切换须更新全部依赖板块和比较历史，不能只改网址。</w:t>
      </w:r>
    </w:p>
    <w:p>
      <w:r>
        <w:rPr>
          <w:b/>
        </w:rPr>
        <w:t>上线边界：</w:t>
      </w:r>
      <w:r>
        <w:t>六个板块均交付；伦敦PM和COMEX必须实现历史、缺失和失败提示。只有最新取数成功、校验通过才启用其当前趋势。若上线目标要求这两项也提供最新结论，需先解决抓取失败并完成实测，不能以历史快照验收为全部最新。</w:t>
      </w:r>
    </w:p>
    <w:p>
      <w:r>
        <w:rPr>
          <w:b/>
        </w:rPr>
        <w:t>自动更新：</w:t>
      </w:r>
      <w:r>
        <w:t>按各板块频次发现最新文件或月份，不能一直写死共同月或文件名。任一新期或修订通过校验后重算相关板块，4小时内发布并同步GitHub。没新数据不更改观测期；抓取时间、发布日、数据期分别记录。</w:t>
      </w:r>
    </w:p>
    <w:p>
      <w:r>
        <w:rPr>
          <w:b/>
        </w:rPr>
        <w:t>失败处理：</w:t>
      </w:r>
      <w:r>
        <w:t>失败后15分钟和60分钟重试，遵守接口Retry-After；仍失败保留原期，下个周期继续。连续两轮失败通知维护人。缺上期或上期为零不计算增减百分比。月报无统一发布日期时查目录，不虚构新期；部署失败保留可用版本，确认成功才宣布发布。</w:t>
      </w:r>
    </w:p>
    <w:p>
      <w:r>
        <w:rPr>
          <w:b/>
        </w:rPr>
        <w:t>页面验收：</w:t>
      </w:r>
      <w:r>
        <w:t>电脑和手机可打开正式网址，六项目录跳转、路线点选、地图和列表、瑞士两侧切换及属性筛选可用。来源和单位可追溯，旧值不冒充新值，结论优先趋势、数字作依据。页面不增加数据底稿板块。</w:t>
      </w:r>
    </w:p>
    <w:sectPr>
      <w:headerReference r:id="rId5" w:type="default"/>
      <w:footerReference r:id="rId6" w:type="default"/>
      <w:pgSz w:w="11906" w:h="16838"/>
      <w:pgMar w:top="1020" w:right="1134" w:bottom="1020" w:left="1134" w:header="397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9D86F2">
    <w:pPr>
      <w:pStyle w:val="24"/>
      <w:jc w:val="center"/>
    </w:pPr>
    <w:r>
      <w:rPr>
        <w:sz w:val="16"/>
      </w:rPr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F3947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ED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widowControl/>
      <w:spacing w:before="0" w:after="100" w:line="276" w:lineRule="auto"/>
    </w:pPr>
    <w:rPr>
      <w:rFonts w:ascii="Arial Unicode MS" w:hAnsi="Arial Unicode MS" w:eastAsia="Arial Unicode MS" w:cstheme="minorBidi"/>
      <w:color w:val="000000"/>
      <w:sz w:val="21"/>
      <w:szCs w:val="22"/>
      <w:u w:val="none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180" w:after="100" w:line="276" w:lineRule="auto"/>
      <w:outlineLvl w:val="0"/>
    </w:pPr>
    <w:rPr>
      <w:rFonts w:asciiTheme="majorHAnsi" w:hAnsiTheme="majorHAnsi" w:eastAsiaTheme="majorEastAsia" w:cstheme="majorBidi" w:ascii="Arial Unicode MS" w:hAnsi="Arial Unicode MS" w:eastAsia="Arial Unicode MS"/>
      <w:b/>
      <w:bCs/>
      <w:color w:val="000000"/>
      <w:sz w:val="26"/>
      <w:szCs w:val="28"/>
      <w:u w:val="none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180" w:after="100" w:line="276" w:lineRule="auto"/>
      <w:outlineLvl w:val="1"/>
    </w:pPr>
    <w:rPr>
      <w:rFonts w:asciiTheme="majorHAnsi" w:hAnsiTheme="majorHAnsi" w:eastAsiaTheme="majorEastAsia" w:cstheme="majorBidi" w:ascii="Arial Unicode MS" w:hAnsi="Arial Unicode MS" w:eastAsia="Arial Unicode MS"/>
      <w:b/>
      <w:bCs/>
      <w:color w:val="000000"/>
      <w:sz w:val="23"/>
      <w:szCs w:val="26"/>
      <w:u w:val="none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widowControl/>
      <w:spacing w:before="180" w:after="160" w:line="276" w:lineRule="auto"/>
      <w:contextualSpacing/>
    </w:pPr>
    <w:rPr>
      <w:rFonts w:asciiTheme="majorHAnsi" w:hAnsiTheme="majorHAnsi" w:eastAsiaTheme="majorEastAsia" w:cstheme="majorBidi" w:ascii="Arial Unicode MS" w:hAnsi="Arial Unicode MS" w:eastAsia="Arial Unicode MS"/>
      <w:b/>
      <w:color w:val="000000"/>
      <w:spacing w:val="5"/>
      <w:kern w:val="28"/>
      <w:sz w:val="36"/>
      <w:szCs w:val="52"/>
      <w:u w:val="none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hyperlink" Target="https://global-gold-migration-demo.kinardqgumt.chatgpt.site" TargetMode="External"/><Relationship Id="rId12" Type="http://schemas.openxmlformats.org/officeDocument/2006/relationships/hyperlink" Target="https://github.com/JennyChiu68/gold-migration" TargetMode="External"/><Relationship Id="rId13" Type="http://schemas.openxmlformats.org/officeDocument/2006/relationships/hyperlink" Target="https://uncomtrade.org/docs/un-comtrade-api/" TargetMode="External"/><Relationship Id="rId14" Type="http://schemas.openxmlformats.org/officeDocument/2006/relationships/hyperlink" Target="https://comtradeapi.un.org/public/v1/preview/C/M/HS" TargetMode="External"/><Relationship Id="rId15" Type="http://schemas.openxmlformats.org/officeDocument/2006/relationships/hyperlink" Target="https://comtradeapi.un.org/public/v1/getDA/C/M/HS" TargetMode="External"/><Relationship Id="rId16" Type="http://schemas.openxmlformats.org/officeDocument/2006/relationships/hyperlink" Target="https://www.lbma.org.uk/prices-and-data/london-vault-data" TargetMode="External"/><Relationship Id="rId17" Type="http://schemas.openxmlformats.org/officeDocument/2006/relationships/hyperlink" Target="https://www.sge.com.cn/sjzx/quotation_daily_new" TargetMode="External"/><Relationship Id="rId18" Type="http://schemas.openxmlformats.org/officeDocument/2006/relationships/hyperlink" Target="https://prices.lbma.org.uk/json/gold_pm.json" TargetMode="External"/><Relationship Id="rId19" Type="http://schemas.openxmlformats.org/officeDocument/2006/relationships/hyperlink" Target="https://www.ecb.europa.eu/stats/policy_and_exchange_rates/euro_reference_exchange_rates/html/index.en.html" TargetMode="External"/><Relationship Id="rId20" Type="http://schemas.openxmlformats.org/officeDocument/2006/relationships/hyperlink" Target="https://www.ecb.europa.eu/stats/eurofxref/eurofxref-hist-90d.xml" TargetMode="External"/><Relationship Id="rId21" Type="http://schemas.openxmlformats.org/officeDocument/2006/relationships/hyperlink" Target="https://www.bazg.admin.ch/en/swiss-foreign-trade-statistics-gold-silver-and-coins" TargetMode="External"/><Relationship Id="rId22" Type="http://schemas.openxmlformats.org/officeDocument/2006/relationships/hyperlink" Target="https://ocean.nivel.bazg.admin.ch/open-data-reports/TN8_controlCode_Gold_IMP_en_v1/TN8_controlCode_Gold_IMP_en_v1.csv" TargetMode="External"/><Relationship Id="rId23" Type="http://schemas.openxmlformats.org/officeDocument/2006/relationships/hyperlink" Target="https://www.cmegroup.com/solutions/clearing/operations-and-deliveries/nymex-delivery-notices.html" TargetMode="External"/><Relationship Id="rId24" Type="http://schemas.openxmlformats.org/officeDocument/2006/relationships/hyperlink" Target="https://www.cmegroup.com/delivery_reports/Gold_Stocks.xls" TargetMode="External"/><Relationship Id="rId25" Type="http://schemas.openxmlformats.org/officeDocument/2006/relationships/hyperlink" Target="https://www.sge.com.cn/sjzx/hqy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/>
  <cp:lastModifiedBy/>
  <dcterms:modified xsi:type="dcterms:W3CDTF">2026-10-10T08:43:57Z</dcterms:modified>
  <dc:subject>功能 数据来源 趋势判断 抓取更新与上线验收</dc:subject>
  <dc:title>全球黄金迁徙地图上线需求</dc:title>
  <cp:revision>1</cp:revision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573967EC62A847DAC4E4C96AE6671B30_42</vt:lpwstr>
  </property>
</Properties>
</file>