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F3F0F">
      <w:pPr>
        <w:pStyle w:val="31"/>
      </w:pPr>
      <w:r>
        <w:t>美债拍卖雷达需求文档</w:t>
      </w:r>
    </w:p>
    <w:p w14:paraId="4E0F0437">
      <w:pPr>
        <w:pStyle w:val="3"/>
      </w:pPr>
      <w:bookmarkStart w:id="0" w:name="_GoBack"/>
      <w:bookmarkEnd w:id="0"/>
      <w:r>
        <w:t>一 顶部信息与期限选择</w:t>
      </w:r>
    </w:p>
    <w:p w14:paraId="7AD1A2F6">
      <w:r>
        <w:t>顶部展示功能名称“美债拍卖雷达”和最近一次成功更新数据的时间，统一标明北京时间。标题旁设置问号，点击打开“看懂拍卖”说明。必要说明通过问号弹层展示。</w:t>
      </w:r>
    </w:p>
    <w:p w14:paraId="7917F3D7">
      <w:r>
        <w:t>默认选中 30 年期，支持切换 2、3、5、7、10、20、30 年期。切换后，下方最新拍卖结果、需求温度、各项指标、走势图、资金分布和同期限拍卖日历同时切换。</w:t>
      </w:r>
    </w:p>
    <w:p w14:paraId="3240C592">
      <w:r>
        <w:t>只统计普通固定利率美国国债，排除通胀保值债券 TIPS 和浮息债券 FRNs。续发行按原始期限归类，例如剩余 29 年多的 30 年期续发行仍归入 30 年期。</w:t>
      </w:r>
    </w:p>
    <w:p w14:paraId="5E755581">
      <w:pPr>
        <w:keepNext w:val="0"/>
        <w:widowControl/>
        <w:spacing w:before="0" w:after="100" w:line="293" w:lineRule="auto"/>
      </w:pPr>
      <w:r>
        <w:t>后台统一定时抓取，各板块读取后台最近一次成功同步的数据。上线时接入截至当时最新的官方结果和日程，官方抓取频次按各板块下方的要求执行。</w:t>
      </w:r>
    </w:p>
    <w:p w14:paraId="68D89953">
      <w:pPr>
        <w:keepNext w:val="0"/>
        <w:widowControl/>
        <w:spacing w:before="0" w:after="100" w:line="293" w:lineRule="auto"/>
      </w:pPr>
      <w:r>
        <w:t>结果与日程分别记录更新时间；任一来源失败时说明对应内容暂未同步，不把成功请求时间当作数据更新时间。保留上次有效数值，不因失败清空或填零。</w:t>
      </w:r>
    </w:p>
    <w:p w14:paraId="5DE0AF11">
      <w:pPr>
        <w:keepNext/>
        <w:widowControl/>
        <w:spacing w:before="0" w:after="100" w:line="293" w:lineRule="auto"/>
      </w:pPr>
      <w:r>
        <w:rPr>
          <w:b/>
        </w:rPr>
        <w:t>数据来源：</w:t>
      </w:r>
      <w:r>
        <w:t>更新时间取各板块后台最近一次成功同步记录；期限选项为固定配置。</w:t>
      </w:r>
    </w:p>
    <w:p w14:paraId="7C176F81">
      <w:pPr>
        <w:keepNext w:val="0"/>
        <w:widowControl/>
        <w:spacing w:before="0" w:after="100" w:line="293" w:lineRule="auto"/>
      </w:pPr>
      <w:r>
        <w:rPr>
          <w:b/>
        </w:rPr>
        <w:t>更新频次：</w:t>
      </w:r>
      <w:r>
        <w:t>本板块不单独抓取。首次进入读取最新数据；结果集中发布期间，打开的页面每 10 秒检查后台更新，其他时间每 5 分钟检查一次。</w:t>
      </w:r>
    </w:p>
    <w:p w14:paraId="7F1A5AEA">
      <w:pPr>
        <w:pStyle w:val="3"/>
      </w:pPr>
      <w:r>
        <w:t>二 最新拍卖结果</w:t>
      </w:r>
    </w:p>
    <w:p w14:paraId="648776FB">
      <w:r>
        <w:t>该区域标题为“所选期限国债最新拍卖结果”，右侧显示最新一场已公布完整结果的拍卖日期。结果日期使用官方拍卖日期，按美国东部日期显示；问号中说明日期口径。</w:t>
      </w:r>
    </w:p>
    <w:p w14:paraId="6F039280">
      <w:r>
        <w:t>左侧需求温度仪表盘展示 0 至 100 分，以及“需求偏强、需求正常、需求偏弱”。需求温度根据以下步骤使用拍卖数据计算，采用固定规则评分。</w:t>
      </w:r>
    </w:p>
    <w:p>
      <w:pPr>
        <w:keepLines/>
      </w:pPr>
      <w:r>
        <w:t>第一步，确定比较样本。取本期之前最近六次同期限、已有完整结果的普通固定利率国债拍卖，不包含本期，包含新发行和续发行；续发行按原始期限归类。评分只使用投标倍数、间接投标者获配比例、一级交易商获配比例，拍卖规模和中标收益率不参与评分。</w:t>
      </w:r>
    </w:p>
    <w:p>
      <w:pPr>
        <w:keepLines/>
      </w:pPr>
      <w:r>
        <w:t>第二步，计算历史基准。分别计算上述三项指标在六次样本中的均值和总体标准差。总体标准差的计算是：每次值减去均值后平方，将六个平方值相加、除以 6，再开平方。</w:t>
      </w:r>
    </w:p>
    <w:p>
      <w:pPr>
        <w:keepLines/>
      </w:pPr>
      <w:r>
        <w:t>第三步，计算每项偏离值。投标倍数和间接获配使用“（本期值－该项六次均值）÷该项总体标准差”；交易商获配使用“（该项六次均值－本期值）÷该项总体标准差”，使交易商占比下降对应更积极的需求。某项标准差为零时，仅将该项偏离值记为 0，其他两项照常计算。每项偏离值大于 3 时按 3 计，小于 -3 时按 -3 计。</w:t>
      </w:r>
    </w:p>
    <w:p>
      <w:pPr>
        <w:keepLines/>
      </w:pPr>
      <w:r>
        <w:t>第四步，计算总分。将三项处理后的偏离值相加、除以 3，得到等权平均值；总分＝50＋15×等权平均值。将总分限制在 0 至 100 后，四舍五入为整数。均值、标准差及中间偏离值均使用原始精度，不提前取整。</w:t>
      </w:r>
    </w:p>
    <w:p>
      <w:pPr>
        <w:keepLines/>
      </w:pPr>
      <w:r>
        <w:t>第五步，输出需求标签。按四舍五入后的整数分判断：60 分及以上为“需求偏强”，40 分及以下为“需求偏弱”，41 至 59 分为“需求正常”。例如三项偏离值分别为 1、0.5、-0.5，平均为 1/3，总分为 55 分，显示“需求正常”。</w:t>
      </w:r>
    </w:p>
    <w:p>
      <w:r>
        <w:t>如果此前完整样本不足六次，需求温度、需求标签及比较值显示“样本不足”。缺少本期评分所需指标时显示“数据待更新”，不将缺失值当作 0 参与评分。</w:t>
      </w:r>
    </w:p>
    <w:p w14:paraId="322EC171">
      <w:r>
        <w:t>右侧自上而下展示投标倍数、间接投标者获配比例、一级交易商获配比例，并显示此前六次均值。下方两个卡片分别展示中标收益率和拍卖规模，拍卖规模同时展示六次均值。</w:t>
      </w:r>
    </w:p>
    <w:p w14:paraId="366DC758">
      <w:r>
        <w:t>投标倍数：直接使用官方 bidToCoverRatio，保留两位小数。间接获配比例：indirectBidderAccepted ÷ competitiveAccepted × 100%。一级交易商获配比例：primaryDealerAccepted ÷ competitiveAccepted × 100%。两类占比均保留一位小数。</w:t>
      </w:r>
    </w:p>
    <w:p w14:paraId="60F1E9AA">
      <w:r>
        <w:t>中标收益率：使用 highYield，保留三位小数，单位为 %。拍卖规模：使用 offeringAmount，换算为亿美元，不把额外的美联储 SOMA 获配加进去。均值、变化率和评分均先按原始精度计算，再处理显示小数。</w:t>
      </w:r>
    </w:p>
    <w:p w14:paraId="42A0AF2C">
      <w:r>
        <w:t>三项指标右侧使用箭头展示相对变化率，计算为“（本期值－此前六次均值）÷此前六次均值×100%”，保留一位小数，并注明“较此前六次均值变化”。这表示相对变化率，不是百分点；均值为零时显示“—”。投标倍数、间接获配更高，以及交易商获配更低时，显示“优于均值”；反向时显示“弱于均值”，持平时显示“与均值持平”。拍卖规模只描述多于、少于或持平，不按需求好坏着色。</w:t>
      </w:r>
    </w:p>
    <w:p w14:paraId="668F45AC">
      <w:r>
        <w:t>间接获配旁的问号说明“间接投标者包含境内与境外客户，不能直接视为外国央行买入；获配比例以竞争性获配总额为分母”。手机点击查看，电脑可悬浮查看。</w:t>
      </w:r>
    </w:p>
    <w:p w14:paraId="4D0CCCA7">
      <w:pPr>
        <w:keepNext w:val="0"/>
        <w:widowControl/>
        <w:spacing w:before="0" w:after="100" w:line="293" w:lineRule="auto"/>
      </w:pPr>
      <w:r>
        <w:t>尚未公布的项目显示“待公布”；暂时无法取得的项目显示“暂无数据”。已有有效数值正常展示。</w:t>
      </w:r>
    </w:p>
    <w:p w14:paraId="038C89D8">
      <w:pPr>
        <w:keepNext/>
        <w:widowControl/>
        <w:spacing w:before="0" w:after="100" w:line="293" w:lineRule="auto"/>
      </w:pPr>
      <w:r>
        <w:rPr>
          <w:b/>
        </w:rPr>
        <w:t>数据来源：</w:t>
      </w:r>
      <w:r>
        <w:t>美国财政部 TreasuryDirect 的 Notes 和 Bonds 已完成拍卖结果。读取拍卖日期 auctionDate、原始期限 originalSecurityTerm、CUSIP、发行类型 reopening，以及本节使用的规模、收益率、投标倍数和获配金额字段。</w:t>
      </w:r>
    </w:p>
    <w:p w14:paraId="11DB8A5C">
      <w:pPr>
        <w:keepNext/>
        <w:widowControl/>
        <w:spacing w:before="0" w:after="100" w:line="293" w:lineRule="auto"/>
      </w:pPr>
      <w:hyperlink r:id="rId10">
        <w:r>
          <w:rPr>
            <w:color w:val="245A81"/>
            <w:sz w:val="19"/>
          </w:rPr>
          <w:t>https://www.treasurydirect.gov/TA_WS/securities/auctioned?format=json&amp;type=Note</w:t>
        </w:r>
      </w:hyperlink>
    </w:p>
    <w:p w14:paraId="010B60B8">
      <w:pPr>
        <w:keepNext/>
        <w:widowControl/>
        <w:spacing w:before="0" w:after="100" w:line="293" w:lineRule="auto"/>
      </w:pPr>
      <w:hyperlink r:id="rId11">
        <w:r>
          <w:rPr>
            <w:color w:val="245A81"/>
            <w:sz w:val="19"/>
          </w:rPr>
          <w:t>https://www.treasurydirect.gov/TA_WS/securities/auctioned?format=json&amp;type=Bond</w:t>
        </w:r>
      </w:hyperlink>
    </w:p>
    <w:p w14:paraId="1F948E33">
      <w:pPr>
        <w:keepNext w:val="0"/>
        <w:widowControl/>
        <w:spacing w:before="0" w:after="100" w:line="293" w:lineRule="auto"/>
      </w:pPr>
      <w:r>
        <w:rPr>
          <w:b/>
        </w:rPr>
        <w:t>抓取频次：</w:t>
      </w:r>
      <w:r>
        <w:t>平时每 30 分钟抓取并复查最近结果；当日有支持期限的拍卖时，从官方竞争性投标截止前 1 分钟至截止后 30 分钟，每 10 秒抓取一次。官方修订后同步重算均值、评分和各项指标。</w:t>
      </w:r>
    </w:p>
    <w:p w14:paraId="7019B684">
      <w:pPr>
        <w:pStyle w:val="3"/>
      </w:pPr>
      <w:r>
        <w:t>三 需求走势与历史表格</w:t>
      </w:r>
    </w:p>
    <w:p w14:paraId="04956630">
      <w:r>
        <w:t>标题随期限变化，例如“30年期美债需求走势”。支持切换投标倍数、间接获配、交易商获配，默认投标倍数。每个期限保留最近十三次完整记录，新增或修订结果后同步更新。</w:t>
      </w:r>
    </w:p>
    <w:p w14:paraId="39414203">
      <w:r>
        <w:t>图表默认展示这十三次记录，按拍卖日期从早到晚排列，横轴显示日期。下方滑动条可选择查看区间；点击数据点可查看完整日期、指标名称和数值。参考虚线始终表示最新一场之前六次的均值，不随滑动区间重新计算；图例同时显示“此前六次均值”、具体数值和单位，切换指标后同步变化。</w:t>
      </w:r>
    </w:p>
    <w:p w14:paraId="112CE117">
      <w:r>
        <w:t>右侧“图表／表格”切换仅改变展示方式，保留当前期限。表格按日期从新到旧展示十三次记录，列为日期、投标倍数、间接获配、交易商获配，并突出最新一场。占比均带 %，投标倍数保留两位小数。</w:t>
      </w:r>
    </w:p>
    <w:p w14:paraId="05E06201">
      <w:pPr>
        <w:keepNext w:val="0"/>
        <w:widowControl/>
        <w:spacing w:before="0" w:after="100" w:line="293" w:lineRule="auto"/>
      </w:pPr>
      <w:r>
        <w:t>此前完整历史不足六次时，展示已有记录，均值参考线显示“样本不足”。</w:t>
      </w:r>
    </w:p>
    <w:p w14:paraId="49CED8D5">
      <w:pPr>
        <w:keepNext/>
        <w:widowControl/>
        <w:spacing w:before="0" w:after="100" w:line="293" w:lineRule="auto"/>
      </w:pPr>
      <w:r>
        <w:t>数据来源：TreasuryDirect 的 Notes 和 Bonds 已完成拍卖结果，使用拍卖日期、原始期限、投标倍数、间接获配金额、一级交易商获配金额和竞争性获配总额。与最新结果板块共用统一的结果数据及抓取任务。</w:t>
      </w:r>
    </w:p>
    <w:p w14:paraId="31069233">
      <w:pPr>
        <w:keepNext/>
        <w:widowControl/>
        <w:spacing w:before="0" w:after="100" w:line="293" w:lineRule="auto"/>
      </w:pPr>
      <w:hyperlink r:id="rId10">
        <w:r>
          <w:rPr>
            <w:color w:val="245A81"/>
            <w:sz w:val="19"/>
          </w:rPr>
          <w:t>https://www.treasurydirect.gov/TA_WS/securities/auctioned?format=json&amp;type=Note</w:t>
        </w:r>
      </w:hyperlink>
    </w:p>
    <w:p w14:paraId="2A814017">
      <w:pPr>
        <w:keepNext/>
        <w:widowControl/>
        <w:spacing w:before="0" w:after="100" w:line="293" w:lineRule="auto"/>
      </w:pPr>
      <w:hyperlink r:id="rId11">
        <w:r>
          <w:rPr>
            <w:color w:val="245A81"/>
            <w:sz w:val="19"/>
          </w:rPr>
          <w:t>https://www.treasurydirect.gov/TA_WS/securities/auctioned?format=json&amp;type=Bond</w:t>
        </w:r>
      </w:hyperlink>
    </w:p>
    <w:p w14:paraId="13698FA0">
      <w:pPr>
        <w:keepNext w:val="0"/>
        <w:widowControl/>
        <w:spacing w:before="0" w:after="100" w:line="293" w:lineRule="auto"/>
      </w:pPr>
      <w:r>
        <w:rPr>
          <w:b/>
        </w:rPr>
        <w:t>抓取频次：</w:t>
      </w:r>
      <w:r>
        <w:t>平时每 30 分钟抓取并复查最近结果；当日有支持期限的拍卖时，从官方竞争性投标截止前 1 分钟至截止后 30 分钟，每 10 秒抓取一次。结果新增或修订后同步更新图表和表格。</w:t>
      </w:r>
    </w:p>
    <w:p w14:paraId="56ACB1E4">
      <w:pPr>
        <w:pStyle w:val="3"/>
      </w:pPr>
      <w:r>
        <w:t>四 资金由谁承接</w:t>
      </w:r>
    </w:p>
    <w:p w14:paraId="3B0DBFC3">
      <w:r>
        <w:t>以环形图展示间接投标者、直接投标者、一级交易商三类资金，右侧依次展示名称和占比，各类别颜色保持固定，并随所选期限联动。</w:t>
      </w:r>
    </w:p>
    <w:p w14:paraId="3EDEC0FA">
      <w:r>
        <w:t>三类统一以竞争性获配金额 competitiveAccepted 为分母。间接和交易商比例与最新结果板块使用相同计算口径；直接投标者比例为 directBidderAccepted ÷ competitiveAccepted × 100%，保留一位小数。原始占比合计为 100%，显示四舍五入造成的 99.9% 或 100.1% 不必强行修正。</w:t>
      </w:r>
    </w:p>
    <w:p w14:paraId="325DB8AF">
      <w:pPr>
        <w:keepNext/>
        <w:widowControl/>
        <w:spacing w:before="0" w:after="100" w:line="293" w:lineRule="auto"/>
      </w:pPr>
      <w:r>
        <w:t>数据来源：TreasuryDirect 的 Notes 和 Bonds 已完成拍卖结果，使用三类投标者获配金额及 competitiveAccepted。与最新结果板块共用统一的结果数据及抓取任务。</w:t>
      </w:r>
    </w:p>
    <w:p w14:paraId="713FEB1D">
      <w:pPr>
        <w:keepNext/>
        <w:widowControl/>
        <w:spacing w:before="0" w:after="100" w:line="293" w:lineRule="auto"/>
      </w:pPr>
      <w:hyperlink r:id="rId10">
        <w:r>
          <w:rPr>
            <w:color w:val="245A81"/>
            <w:sz w:val="19"/>
          </w:rPr>
          <w:t>https://www.treasurydirect.gov/TA_WS/securities/auctioned?format=json&amp;type=Note</w:t>
        </w:r>
      </w:hyperlink>
    </w:p>
    <w:p w14:paraId="347B7D8A">
      <w:pPr>
        <w:keepNext/>
        <w:widowControl/>
        <w:spacing w:before="0" w:after="100" w:line="293" w:lineRule="auto"/>
      </w:pPr>
      <w:hyperlink r:id="rId11">
        <w:r>
          <w:rPr>
            <w:color w:val="245A81"/>
            <w:sz w:val="19"/>
          </w:rPr>
          <w:t>https://www.treasurydirect.gov/TA_WS/securities/auctioned?format=json&amp;type=Bond</w:t>
        </w:r>
      </w:hyperlink>
    </w:p>
    <w:p w14:paraId="7A407D52">
      <w:pPr>
        <w:keepNext w:val="0"/>
        <w:widowControl/>
        <w:spacing w:before="0" w:after="100" w:line="293" w:lineRule="auto"/>
      </w:pPr>
      <w:r>
        <w:rPr>
          <w:b/>
        </w:rPr>
        <w:t>抓取频次：</w:t>
      </w:r>
      <w:r>
        <w:t>平时每 30 分钟抓取并复查最近结果；当日有支持期限的拍卖时，从官方竞争性投标截止前 1 分钟至截止后 30 分钟，每 10 秒抓取一次。结果新增或修订后同步更新资金分布。</w:t>
      </w:r>
    </w:p>
    <w:p w14:paraId="7DACC80B">
      <w:pPr>
        <w:pStyle w:val="3"/>
      </w:pPr>
      <w:r>
        <w:t>五 同期限拍卖日历预览</w:t>
      </w:r>
    </w:p>
    <w:p w14:paraId="3D479488">
      <w:r>
        <w:t>页面底部标题为“所选期限国债拍卖日历”，注明“以下均为北京时间”。展示该期限未来最近三场拍卖，由近到远排列，不足三场按实际数量展示，不补造场次。卡片显示年份、月日、时间和“暂定／已公告”状态。</w:t>
      </w:r>
    </w:p>
    <w:p w14:paraId="5DB81D47">
      <w:r>
        <w:t>正式公告优先，同一场只展示一次；续发行仍按原始期限匹配。只有暂定安排时标“暂定”，未知规模不填数值。</w:t>
      </w:r>
    </w:p>
    <w:p w14:paraId="3681946D">
      <w:r>
        <w:t>正式公告使用竞争性投标截止时间；尚未公布时间的暂定中长期国债，按美国东部时间 13:00 换算，并明确显示“预计”，不能当作已确认时间。日期和时间按 America/New_York 自动处理夏令时，再转换为北京时间，跨日、跨年一并处理。</w:t>
      </w:r>
    </w:p>
    <w:p w14:paraId="7084A3C6">
      <w:r>
        <w:t>点击“查看所有国债拍卖日历”进入下一节的月历页面。首页预览保持同期限联动，完整月历默认展示全部支持期限。</w:t>
      </w:r>
    </w:p>
    <w:p w14:paraId="23C00868">
      <w:pPr>
        <w:keepNext/>
        <w:widowControl/>
        <w:spacing w:before="0" w:after="100" w:line="293" w:lineRule="auto"/>
      </w:pPr>
      <w:r>
        <w:rPr>
          <w:b/>
        </w:rPr>
        <w:t>数据来源：</w:t>
      </w:r>
      <w:r>
        <w:t>TreasuryDirect 正式拍卖公告与美国财政部季度暂定日历。正式公告读取拍卖日期、原始期限、CUSIP、规模、竞争性投标截止时间和发行类型；暂定日历补充尚未正式公告的未来日期。</w:t>
      </w:r>
    </w:p>
    <w:p w14:paraId="7A3E392B">
      <w:pPr>
        <w:keepNext/>
        <w:widowControl/>
        <w:spacing w:before="0" w:after="100" w:line="293" w:lineRule="auto"/>
      </w:pPr>
      <w:hyperlink r:id="rId12">
        <w:r>
          <w:rPr>
            <w:color w:val="245A81"/>
            <w:sz w:val="19"/>
          </w:rPr>
          <w:t>https://www.treasurydirect.gov/TA_WS/securities/announced?format=json</w:t>
        </w:r>
      </w:hyperlink>
    </w:p>
    <w:p w14:paraId="3062AD9B">
      <w:pPr>
        <w:keepNext/>
        <w:widowControl/>
        <w:spacing w:before="0" w:after="100" w:line="293" w:lineRule="auto"/>
      </w:pPr>
      <w:hyperlink r:id="rId13">
        <w:r>
          <w:rPr>
            <w:color w:val="245A81"/>
            <w:sz w:val="19"/>
          </w:rPr>
          <w:t>https://home.treasury.gov/system/files/221/Tentative-Auction-Schedule.xml</w:t>
        </w:r>
      </w:hyperlink>
    </w:p>
    <w:p w14:paraId="080118C8">
      <w:pPr>
        <w:keepNext w:val="0"/>
        <w:widowControl/>
        <w:spacing w:before="0" w:after="100" w:line="293" w:lineRule="auto"/>
      </w:pPr>
      <w:r>
        <w:t>抓取频次：正式公告每 5 分钟抓取一次；季度暂定日历每 6 小时抓取一次。正式公告发布后覆盖相应暂定项，场次状态按实际公告情况显示。</w:t>
      </w:r>
    </w:p>
    <w:p w14:paraId="7281A002">
      <w:pPr>
        <w:pStyle w:val="3"/>
      </w:pPr>
      <w:r>
        <w:t>六 完整拍卖日历</w:t>
      </w:r>
    </w:p>
    <w:p w14:paraId="24AA21F3">
      <w:r>
        <w:t>以月历形式展示，默认打开当前北京时间月份，期限默认选中“全部”。上方提供“全部、2年期、3年期、5年期、7年期、10年期、20年期、30年期”单选筛选，选中项突出显示。这里的“全部”指上述七种普通固定利率国债，不包含短期国库券、TIPS 和浮息债券。</w:t>
      </w:r>
    </w:p>
    <w:p w14:paraId="77E6AD2C">
      <w:r>
        <w:t>月历按周一至周日排列，月份前后的空位留空，不混入相邻月份日期。月份标题显示年份和月份，左右箭头切换相邻月份。日期内用对应颜色标签展示拍卖期限，颜色与上方筛选保持一致。同一天有多场时全部展示；空间不足可显示数量，点击当天查看下方完整安排。</w:t>
      </w:r>
    </w:p>
    <w:p w14:paraId="702E0689">
      <w:r>
        <w:t>期限筛选同时作用于月历标签和下方安排。切换期限时保留当前月份，清除原先选中的日期，下方恢复展示该月所选期限的全部未来安排。切换月份时保留当前期限筛选，并清除日期选择。</w:t>
      </w:r>
    </w:p>
    <w:p w14:paraId="317FF54A">
      <w:r>
        <w:t>下方默认标题为“本月拍卖安排”，按日期和时间从早到晚排列。点击某一天后，突出选中日期，标题改为“某月某日拍卖安排”，仅展示当天符合期限筛选的场次。每条安排显示月日、北京时间、国债期限和“暂定／已公告”状态；时间未经正式公告确认时加“预计”。</w:t>
      </w:r>
    </w:p>
    <w:p w14:paraId="48AE0947">
      <w:r>
        <w:t>正式公告覆盖相应暂定安排，使用日期、原始期限和 CUSIP 识别场次；不能仅按 CUSIP 去重，因为同一国债可能多次续发行。正式结果发布后，从待拍卖列表移除。有正式截止时间时，到达截止时刻即移除；暂定场次按预计时刻筛出未来安排，并始终保留“预计”标记。</w:t>
      </w:r>
    </w:p>
    <w:p w14:paraId="51187795">
      <w:r>
        <w:t>某个月或所选日期没有符合筛选条件的未来安排时，显示“暂无拍卖安排”，同时保留期限筛选和月份切换。超出官方已提供的日历范围时，显示“后续安排待公布”。点击返回后保留首页原先选择的期限。</w:t>
      </w:r>
    </w:p>
    <w:p w14:paraId="6E1D10E5">
      <w:pPr>
        <w:keepNext/>
        <w:widowControl/>
        <w:spacing w:before="0" w:after="100" w:line="293" w:lineRule="auto"/>
      </w:pPr>
      <w:r>
        <w:t>数据来源：TreasuryDirect 正式拍卖公告与美国财政部季度暂定日历，与首页同期限预览共用数据。使用日期、原始期限、CUSIP、竞争性投标截止时间和公告状态，预览与月历共用同一抓取任务。</w:t>
      </w:r>
    </w:p>
    <w:p w14:paraId="0C1AF7F7">
      <w:pPr>
        <w:keepNext/>
        <w:widowControl/>
        <w:spacing w:before="0" w:after="100" w:line="293" w:lineRule="auto"/>
      </w:pPr>
      <w:hyperlink r:id="rId12">
        <w:r>
          <w:rPr>
            <w:color w:val="245A81"/>
            <w:sz w:val="19"/>
          </w:rPr>
          <w:t>https://www.treasurydirect.gov/TA_WS/securities/announced?format=json</w:t>
        </w:r>
      </w:hyperlink>
    </w:p>
    <w:p w14:paraId="0E18117E">
      <w:pPr>
        <w:keepNext/>
        <w:widowControl/>
        <w:spacing w:before="0" w:after="100" w:line="293" w:lineRule="auto"/>
      </w:pPr>
      <w:hyperlink r:id="rId13">
        <w:r>
          <w:rPr>
            <w:color w:val="245A81"/>
            <w:sz w:val="19"/>
          </w:rPr>
          <w:t>https://home.treasury.gov/system/files/221/Tentative-Auction-Schedule.xml</w:t>
        </w:r>
      </w:hyperlink>
    </w:p>
    <w:p w14:paraId="4E9C40D5">
      <w:pPr>
        <w:keepNext w:val="0"/>
        <w:widowControl/>
        <w:spacing w:before="0" w:after="100" w:line="293" w:lineRule="auto"/>
      </w:pPr>
      <w:r>
        <w:rPr>
          <w:b/>
        </w:rPr>
        <w:t>抓取频次：</w:t>
      </w:r>
      <w:r>
        <w:t>正式公告每 5 分钟抓取一次；季度暂定日历每 6 小时抓取一次。获取新公告或日历调整后，同步更新首页预览、月历和当天安排。</w:t>
      </w:r>
    </w:p>
    <w:p w14:paraId="28819D6E">
      <w:pPr>
        <w:pStyle w:val="3"/>
      </w:pPr>
      <w:r>
        <w:t>七 看懂拍卖说明</w:t>
      </w:r>
    </w:p>
    <w:p w14:paraId="62CB6B7F">
      <w:r>
        <w:t>点击顶部标题旁问号，以弹层展示固定说明，支持关闭和“我知道了”。内容依次解释投标倍数、间接投标者、一级交易商、需求温度、中标收益率与拍卖尾差的区别。</w:t>
      </w:r>
    </w:p>
    <w:p w14:paraId="746C2173">
      <w:r>
        <w:t>需求温度说明包括此前六次同期限基准、交易商反向计分、三项等权及 60／40 分阈值；说明温度不是概率，也不直接表示黄金或美元涨跌。间接投标者不能等同于外国央行；中标收益率不能当作拍卖尾差，拍卖尾差不在本功能展示范围内。以上为固定文案，不调用 AI。</w:t>
      </w:r>
    </w:p>
    <w:p w14:paraId="2134AF6A">
      <w:pPr>
        <w:keepNext/>
        <w:widowControl/>
        <w:spacing w:before="0" w:after="100" w:line="293" w:lineRule="auto"/>
      </w:pPr>
      <w:r>
        <w:rPr>
          <w:b/>
        </w:rPr>
        <w:t>内容来源：</w:t>
      </w:r>
      <w:r>
        <w:t>固定帮助文案，指标含义与本需求中的计算口径保持一致。</w:t>
      </w:r>
    </w:p>
    <w:p w14:paraId="326B8238">
      <w:pPr>
        <w:keepNext w:val="0"/>
        <w:widowControl/>
        <w:spacing w:before="0" w:after="100" w:line="293" w:lineRule="auto"/>
      </w:pPr>
      <w:r>
        <w:rPr>
          <w:b/>
        </w:rPr>
        <w:t>更新频次：</w:t>
      </w:r>
      <w:r>
        <w:t>无需抓取；随帮助文案维护更新。</w:t>
      </w:r>
    </w:p>
    <w:sectPr>
      <w:footerReference r:id="rId5" w:type="default"/>
      <w:pgSz w:w="11906" w:h="16838"/>
      <w:pgMar w:top="1077" w:right="1247" w:bottom="1020" w:left="1247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A8A7E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7C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93" w:lineRule="auto"/>
    </w:pPr>
    <w:rPr>
      <w:rFonts w:ascii="Arial" w:hAnsi="Arial" w:eastAsia="Hiragino Sans GB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="Arial" w:hAnsi="Arial" w:eastAsia="Hiragino Sans GB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="Arial" w:hAnsi="Arial" w:eastAsia="Hiragino Sans GB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Arial" w:hAnsi="Arial" w:eastAsia="Hiragino Sans GB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ascii="Arial" w:hAnsi="Arial" w:eastAsia="Hiragino Sans GB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www.treasurydirect.gov/TA_WS/securities/auctioned?format=json&amp;type=Note" TargetMode="External"/><Relationship Id="rId11" Type="http://schemas.openxmlformats.org/officeDocument/2006/relationships/hyperlink" Target="https://www.treasurydirect.gov/TA_WS/securities/auctioned?format=json&amp;type=Bond" TargetMode="External"/><Relationship Id="rId12" Type="http://schemas.openxmlformats.org/officeDocument/2006/relationships/hyperlink" Target="https://www.treasurydirect.gov/TA_WS/securities/announced?format=json" TargetMode="External"/><Relationship Id="rId13" Type="http://schemas.openxmlformats.org/officeDocument/2006/relationships/hyperlink" Target="https://home.treasury.gov/system/files/221/Tentative-Auction-Schedule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赵美慧</dc:creator>
  <dc:description/>
  <cp:keywords>美债拍卖雷达 Plus 需求文档</cp:keywords>
  <cp:lastModifiedBy>赵美慧</cp:lastModifiedBy>
  <dcterms:modified xsi:type="dcterms:W3CDTF">2026-10-21T13:56:50Z</dcterms:modified>
  <dc:subject>功能要求 数据口径 数据来源与抓取频次</dc:subject>
  <dc:title>美债拍卖雷达需求文档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DE026783AE2810242254D86A992670B9_42</vt:lpwstr>
  </property>
</Properties>
</file>