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potential</w:t>
      </w:r>
      <w:r>
        <w:t xml:space="preserve"> </w:t>
      </w:r>
      <w:r>
        <w:t xml:space="preserve">for</w:t>
      </w:r>
      <w:r>
        <w:t xml:space="preserve"> </w:t>
      </w:r>
      <w:r>
        <w:t xml:space="preserve">sediment</w:t>
      </w:r>
      <w:r>
        <w:t xml:space="preserve"> </w:t>
      </w:r>
      <w:r>
        <w:t xml:space="preserve">management</w:t>
      </w:r>
      <w:r>
        <w:t xml:space="preserve"> </w:t>
      </w:r>
      <w:r>
        <w:t xml:space="preserve">to</w:t>
      </w:r>
      <w:r>
        <w:t xml:space="preserve"> </w:t>
      </w:r>
      <w:r>
        <w:t xml:space="preserve">ameliorate</w:t>
      </w:r>
      <w:r>
        <w:t xml:space="preserve"> </w:t>
      </w:r>
      <w:r>
        <w:t xml:space="preserve">the</w:t>
      </w:r>
      <w:r>
        <w:t xml:space="preserve"> </w:t>
      </w:r>
      <w:r>
        <w:t xml:space="preserve">impacts</w:t>
      </w:r>
      <w:r>
        <w:t xml:space="preserve"> </w:t>
      </w:r>
      <w:r>
        <w:t xml:space="preserve">of</w:t>
      </w:r>
      <w:r>
        <w:t xml:space="preserve"> </w:t>
      </w:r>
      <w:r>
        <w:t xml:space="preserve">sea</w:t>
      </w:r>
      <w:r>
        <w:t xml:space="preserve"> </w:t>
      </w:r>
      <w:r>
        <w:t xml:space="preserve">level</w:t>
      </w:r>
      <w:r>
        <w:t xml:space="preserve"> </w:t>
      </w:r>
      <w:r>
        <w:t xml:space="preserve">rise</w:t>
      </w:r>
      <w:r>
        <w:t xml:space="preserve"> </w:t>
      </w:r>
      <w:r>
        <w:t xml:space="preserve">in</w:t>
      </w:r>
      <w:r>
        <w:t xml:space="preserve"> </w:t>
      </w:r>
      <w:r>
        <w:t xml:space="preserve">coastal</w:t>
      </w:r>
      <w:r>
        <w:t xml:space="preserve"> </w:t>
      </w:r>
      <w:r>
        <w:t xml:space="preserve">salt</w:t>
      </w:r>
      <w:r>
        <w:t xml:space="preserve"> </w:t>
      </w:r>
      <w:r>
        <w:t xml:space="preserve">marsh</w:t>
      </w:r>
      <w:r>
        <w:t xml:space="preserve"> </w:t>
      </w:r>
      <w:r>
        <w:t xml:space="preserve">habitats</w:t>
      </w:r>
    </w:p>
    <w:p>
      <w:pPr>
        <w:pStyle w:val="Author"/>
      </w:pPr>
      <w:r>
        <w:t xml:space="preserve">Jenny</w:t>
      </w:r>
      <w:r>
        <w:t xml:space="preserve"> </w:t>
      </w:r>
      <w:r>
        <w:t xml:space="preserve">Rogers</w:t>
      </w:r>
      <w:r>
        <w:t xml:space="preserve"> </w:t>
      </w:r>
      <w:r>
        <w:t xml:space="preserve">and</w:t>
      </w:r>
      <w:r>
        <w:t xml:space="preserve"> </w:t>
      </w:r>
      <w:r>
        <w:t xml:space="preserve">Matt</w:t>
      </w:r>
      <w:r>
        <w:t xml:space="preserve"> </w:t>
      </w:r>
      <w:r>
        <w:t xml:space="preserve">Brand</w:t>
      </w:r>
    </w:p>
    <w:p>
      <w:pPr>
        <w:pStyle w:val="Date"/>
      </w:pPr>
      <w:r>
        <w:t xml:space="preserve">March</w:t>
      </w:r>
      <w:r>
        <w:t xml:space="preserve"> </w:t>
      </w:r>
      <w:r>
        <w:t xml:space="preserve">29,</w:t>
      </w:r>
      <w:r>
        <w:t xml:space="preserve"> </w:t>
      </w:r>
      <w:r>
        <w:t xml:space="preserve">2020</w:t>
      </w:r>
    </w:p>
    <w:p>
      <w:pPr>
        <w:pStyle w:val="Heading1"/>
      </w:pPr>
      <w:bookmarkStart w:id="21" w:name="abstract"/>
      <w:bookmarkEnd w:id="21"/>
      <w:r>
        <w:t xml:space="preserve">Abstract</w:t>
      </w:r>
    </w:p>
    <w:p>
      <w:pPr>
        <w:pStyle w:val="FirstParagraph"/>
      </w:pPr>
      <w:r>
        <w:t xml:space="preserve">In urban watersheds innovative sediment management approaches have the potential to reduce costs and increase efficiency in the operations of local agencies, and help ensure salt marsh species persistence.Future uncertainty in SLR, complex marsh dynamics, and competing habitats in the marsh make it challenging to evaluate the effectiveness of management scenarios. Here, we demonstrate a series of modeling approaches that can be applied to investigate physical changes to marshes as a result of SLR and sediment management. We then predict the biological changes driven by the physical changes. We apply the approach at a salt marsh is southern CA, which has high importance biologically and recreationally, and experiences highly managed sediment in the watershed and bay.</w:t>
      </w:r>
    </w:p>
    <w:p>
      <w:pPr>
        <w:pStyle w:val="Heading1"/>
      </w:pPr>
      <w:bookmarkStart w:id="22" w:name="keywords"/>
      <w:bookmarkEnd w:id="22"/>
      <w:r>
        <w:t xml:space="preserve">Keywords</w:t>
      </w:r>
    </w:p>
    <w:p>
      <w:pPr>
        <w:pStyle w:val="FirstParagraph"/>
      </w:pPr>
      <w:r>
        <w:t xml:space="preserve">Sea level rise, coastal salt marsh, Delft 3D, habitat suitability, sediment management, Ridgway’s rail, Belding’s savannah sparrow</w:t>
      </w:r>
    </w:p>
    <w:p>
      <w:pPr>
        <w:pStyle w:val="Heading1"/>
      </w:pPr>
      <w:bookmarkStart w:id="23" w:name="acknowledgments"/>
      <w:bookmarkEnd w:id="23"/>
      <w:r>
        <w:t xml:space="preserve">Acknowledgments</w:t>
      </w:r>
    </w:p>
    <w:p>
      <w:pPr>
        <w:pStyle w:val="FirstParagraph"/>
      </w:pPr>
      <w:r>
        <w:t xml:space="preserve">This work was funded by the National Oceanic and Atmospheric Association (NOAA) Ecological Effects of Sea Level Rise program</w:t>
      </w:r>
      <w:r>
        <w:t xml:space="preserve"> </w:t>
      </w:r>
      <w:r>
        <w:t xml:space="preserve">. We thank Dick Zembal from Orange county water district for his maps showing the annual locations of breeding Light-footed Ridgway’s rails. We thank Amber Jolly and Kyle Zolkin for the many hours they spent helping to georeference and digitize 8 years of survey data. We thank Karen Thorne from the USGS Western Ecological Research Center for her elevation and vegetation data from surveys in Upper Newport Bay. Lastly, we thank all the individuals who have participated in the Ridgway’s rail and Belding’s savannah surveys at the salt marshes in southern California.</w:t>
      </w:r>
      <w:r>
        <w:t xml:space="preserve"> </w:t>
      </w:r>
    </w:p>
    <w:p>
      <w:pPr>
        <w:pStyle w:val="Heading1"/>
      </w:pPr>
      <w:bookmarkStart w:id="24" w:name="introduction"/>
      <w:bookmarkEnd w:id="24"/>
      <w:r>
        <w:t xml:space="preserve">Introduction</w:t>
      </w:r>
    </w:p>
    <w:p>
      <w:pPr>
        <w:pStyle w:val="FirstParagraph"/>
      </w:pPr>
      <w:r>
        <w:t xml:space="preserve">High resolution dynamic coastal modeling leads to better conservation planning</w:t>
      </w:r>
      <w:r>
        <w:t xml:space="preserve"> </w:t>
      </w:r>
      <w:r>
        <w:t xml:space="preserve">(Runting, Wilson, and Rhodes 2013)</w:t>
      </w:r>
      <w:r>
        <w:t xml:space="preserve">.</w:t>
      </w:r>
    </w:p>
    <w:p>
      <w:pPr>
        <w:pStyle w:val="Heading1"/>
      </w:pPr>
      <w:bookmarkStart w:id="25" w:name="methods"/>
      <w:bookmarkEnd w:id="25"/>
      <w:r>
        <w:t xml:space="preserve">Methods</w:t>
      </w:r>
    </w:p>
    <w:p>
      <w:pPr>
        <w:pStyle w:val="Heading3"/>
      </w:pPr>
      <w:bookmarkStart w:id="26" w:name="study-region"/>
      <w:bookmarkEnd w:id="26"/>
      <w:r>
        <w:t xml:space="preserve">Study region</w:t>
      </w:r>
    </w:p>
    <w:p>
      <w:pPr>
        <w:pStyle w:val="FirstParagraph"/>
      </w:pPr>
      <w:r>
        <w:t xml:space="preserve">This study focused on a coastal salt marsh in Southern California, Upper Newport Bay (33.6463°N, -117.8862°W), which experiences a Mediterranean climate. The lower portion of the bay is dredged and managed as a recreational harbor. The upper part of the bay - the focus of this study - is managed as an ecological reserve by the California Department of Fish and Wildlife and has approximately 752 acres of land including sub-tidal, mudflat, and salt marsh habitat. The upper bay supports non-motorized recreation and lots of wildlife including migratory birds. This reserve is particularly important because for the past few decades it has supported the largest population of the LFRR, which is an endangered species and endemic to the region. Additionally, it supports a large population of Belding’s savannah sparrow, a threatened salt marsh bird. The upper bay is surrounded by steep bluffs, which make marsh transgression not possible. Instead, the marsh will rely on accretion only to keep pace with sea level rise.</w:t>
      </w:r>
    </w:p>
    <w:p>
      <w:pPr>
        <w:pStyle w:val="BodyText"/>
      </w:pPr>
      <w:r>
        <w:t xml:space="preserve">Two rivers empty into the upper bay: San Diego Creek and the Santa Ana Delhi channel, both of which drain heavily urbanized watersheds.</w:t>
      </w:r>
      <w:r>
        <w:t xml:space="preserve"> </w:t>
      </w:r>
    </w:p>
    <w:p>
      <w:pPr>
        <w:pStyle w:val="Heading3"/>
      </w:pPr>
      <w:bookmarkStart w:id="27" w:name="overview"/>
      <w:bookmarkEnd w:id="27"/>
      <w:r>
        <w:t xml:space="preserve">Overview</w:t>
      </w:r>
    </w:p>
    <w:p>
      <w:pPr>
        <w:pStyle w:val="FirstParagraph"/>
      </w:pPr>
      <w:r>
        <w:t xml:space="preserve">Habitat suitability models were developed for two salt marsh obligate species, the Light-footed Ridgways’s rail</w:t>
      </w:r>
      <w:r>
        <w:t xml:space="preserve"> </w:t>
      </w:r>
      <w:r>
        <w:rPr>
          <w:i/>
        </w:rPr>
        <w:t xml:space="preserve">Rallus obsoletus</w:t>
      </w:r>
      <w:r>
        <w:t xml:space="preserve"> </w:t>
      </w:r>
      <w:r>
        <w:t xml:space="preserve">(LFRR), and the Belding’s savannah sparrow</w:t>
      </w:r>
      <w:r>
        <w:t xml:space="preserve"> </w:t>
      </w:r>
      <w:r>
        <w:rPr>
          <w:i/>
        </w:rPr>
        <w:t xml:space="preserve">Passerculus sandwichensis beldingi</w:t>
      </w:r>
      <w:r>
        <w:t xml:space="preserve"> </w:t>
      </w:r>
      <w:r>
        <w:t xml:space="preserve">(BSS) using marsh surface elevation and vegetaion. We used Delft3D modeling to predict marsh surface elevation in 2050 and 2100 using two different sea level rise scenarios (associated with two different RCPs) and two different marsh dredging scenarios. We used the scenario results from Delft3D modeling to make predictions for suitability for the two birds under the different sea leverl rise and sediment management system.</w:t>
      </w:r>
    </w:p>
    <w:p>
      <w:pPr>
        <w:pStyle w:val="Heading3"/>
      </w:pPr>
      <w:bookmarkStart w:id="28" w:name="light-footed-ridgways-rail-model"/>
      <w:bookmarkEnd w:id="28"/>
      <w:r>
        <w:t xml:space="preserve">Light-footed Ridgway’s rail model</w:t>
      </w:r>
    </w:p>
    <w:p>
      <w:pPr>
        <w:pStyle w:val="FirstParagraph"/>
      </w:pPr>
      <w:r>
        <w:t xml:space="preserve">The LFRR is a sub-species of Ridgway’s rail endemic to salt marshes in southern California and northern Mexico, which has only recently been identified as a separate species from the Clapper rail</w:t>
      </w:r>
      <w:r>
        <w:t xml:space="preserve"> </w:t>
      </w:r>
      <w:r>
        <w:t xml:space="preserve">(Maley and Brumfield 2013)</w:t>
      </w:r>
      <w:r>
        <w:t xml:space="preserve">. While nest sites have been observed in different vegetation settings, generally the LFRR is known to prefer tall cordgrass (</w:t>
      </w:r>
      <w:r>
        <w:rPr>
          <w:i/>
        </w:rPr>
        <w:t xml:space="preserve">Spartina foliosa</w:t>
      </w:r>
      <w:r>
        <w:t xml:space="preserve">) for nesting and foraging</w:t>
      </w:r>
      <w:r>
        <w:t xml:space="preserve"> </w:t>
      </w:r>
      <w:r>
        <w:t xml:space="preserve">(Zedler 1993,</w:t>
      </w:r>
      <w:r>
        <w:t xml:space="preserve"> </w:t>
      </w:r>
      <w:r>
        <w:t xml:space="preserve">Zembal and Fancher (1988)</w:t>
      </w:r>
      <w:r>
        <w:t xml:space="preserve">,</w:t>
      </w:r>
      <w:r>
        <w:t xml:space="preserve"> </w:t>
      </w:r>
      <w:r>
        <w:t xml:space="preserve">Massey, Zembal, and Jorgensen (1984)</w:t>
      </w:r>
      <w:r>
        <w:t xml:space="preserve">)</w:t>
      </w:r>
      <w:r>
        <w:t xml:space="preserve">. We therefore used the maximum height of cordgrass as our indicator for the suitability of the salt marsh under the potential surface elevation scenarios. The modeling for the LFRR consisted of three steps: 1. Develop model to predict</w:t>
      </w:r>
      <w:r>
        <w:t xml:space="preserve"> </w:t>
      </w:r>
      <w:r>
        <w:rPr>
          <w:i/>
        </w:rPr>
        <w:t xml:space="preserve">S. foliosa</w:t>
      </w:r>
      <w:r>
        <w:t xml:space="preserve"> </w:t>
      </w:r>
      <w:r>
        <w:t xml:space="preserve">maximum height from marsh surface elevation, 2. Predict habitat suitability for the LFRR using the maximum height of</w:t>
      </w:r>
      <w:r>
        <w:t xml:space="preserve"> </w:t>
      </w:r>
      <w:r>
        <w:rPr>
          <w:i/>
        </w:rPr>
        <w:t xml:space="preserve">S.foliosa</w:t>
      </w:r>
      <w:r>
        <w:t xml:space="preserve">, and 3. Use marsh surface modeling to predict the surface elevation under different sea level rise and sediment management scenarios.</w:t>
      </w:r>
    </w:p>
    <w:p>
      <w:pPr>
        <w:pStyle w:val="Heading4"/>
      </w:pPr>
      <w:bookmarkStart w:id="29" w:name="model-for-s.-foliosa-maximum-height"/>
      <w:bookmarkEnd w:id="29"/>
      <w:r>
        <w:t xml:space="preserve">Model for</w:t>
      </w:r>
      <w:r>
        <w:t xml:space="preserve"> </w:t>
      </w:r>
      <w:r>
        <w:rPr>
          <w:i/>
        </w:rPr>
        <w:t xml:space="preserve">S. foliosa</w:t>
      </w:r>
      <w:r>
        <w:t xml:space="preserve"> </w:t>
      </w:r>
      <w:r>
        <w:t xml:space="preserve">maximum height</w:t>
      </w:r>
    </w:p>
    <w:p>
      <w:pPr>
        <w:pStyle w:val="FirstParagraph"/>
      </w:pPr>
      <w:r>
        <w:t xml:space="preserve">To develop a model for maximum height of</w:t>
      </w:r>
      <w:r>
        <w:t xml:space="preserve"> </w:t>
      </w:r>
      <w:r>
        <w:rPr>
          <w:i/>
        </w:rPr>
        <w:t xml:space="preserve">S. foliosa</w:t>
      </w:r>
      <w:r>
        <w:t xml:space="preserve"> </w:t>
      </w:r>
      <w:r>
        <w:t xml:space="preserve">we used a zero-inflated negative binomial model</w:t>
      </w:r>
      <w:r>
        <w:t xml:space="preserve"> </w:t>
      </w:r>
      <w:r>
        <w:t xml:space="preserve">(Mullahy 1986)</w:t>
      </w:r>
      <w:r>
        <w:t xml:space="preserve">. For a thorough review of zero-inflated models see the review by</w:t>
      </w:r>
      <w:r>
        <w:t xml:space="preserve"> </w:t>
      </w:r>
      <w:r>
        <w:t xml:space="preserve">Ridout, Demétrio, and Hinde (1998)</w:t>
      </w:r>
      <w:r>
        <w:t xml:space="preserve">. In our model, the height was modeled with annual inundation during the summer month and annual inundation during the summer month squared, and the binomial was modeled with annual inundation during the summer month. This allowed us to first predict the presence or absence of</w:t>
      </w:r>
      <w:r>
        <w:t xml:space="preserve"> </w:t>
      </w:r>
      <w:r>
        <w:rPr>
          <w:i/>
        </w:rPr>
        <w:t xml:space="preserve">S. foliosa</w:t>
      </w:r>
      <w:r>
        <w:t xml:space="preserve">, and if present, we predicted the maximum height. To calculate inundation during the summer months, we used elevation data (NAVD88) collected with RTK-GPS at 1,037 points in a portion of the marsh in the winter of 2012</w:t>
      </w:r>
      <w:r>
        <w:t xml:space="preserve"> </w:t>
      </w:r>
      <w:r>
        <w:t xml:space="preserve">(Thorne et al. 2018)</w:t>
      </w:r>
      <w:r>
        <w:t xml:space="preserve">. We subtracted hourly water level (NAVD88) recorded from a National Oceanic and Atmospheric Association (NOAA) gauge in 2012 from the elevation over the entire year. Any time the subtraction yielded a negative number, it signified that that part of the marsh was submerged. We then calculated the percentage of the summer months (April - September) that that part of the marsh was submerged. We focused on the summer months because that is the growing season in southern California.</w:t>
      </w:r>
    </w:p>
    <w:p>
      <w:pPr>
        <w:pStyle w:val="BodyText"/>
      </w:pPr>
      <w:r>
        <w:t xml:space="preserve">In addition to recording elevation in their 2012 survey,</w:t>
      </w:r>
      <w:r>
        <w:t xml:space="preserve"> </w:t>
      </w:r>
      <w:r>
        <w:t xml:space="preserve">Thorne et al. (2018)</w:t>
      </w:r>
      <w:r>
        <w:t xml:space="preserve"> </w:t>
      </w:r>
      <w:r>
        <w:t xml:space="preserve">documented vegetation characteristics at a subset of the points they measured elevation, including: the heights and percent covers of each vegetation species. we used the inundation metrics to model and predict the maximum height of</w:t>
      </w:r>
      <w:r>
        <w:t xml:space="preserve"> </w:t>
      </w:r>
      <w:r>
        <w:rPr>
          <w:i/>
        </w:rPr>
        <w:t xml:space="preserve">S. foliosa</w:t>
      </w:r>
      <w:r>
        <w:t xml:space="preserve"> </w:t>
      </w:r>
      <w:r>
        <w:t xml:space="preserve">using a zero-inflated model described above, and all the variables were significant at the P&lt;0.001 level. To predict with a zero inflated model, we used the model to predict a</w:t>
      </w:r>
      <w:r>
        <w:t xml:space="preserve"> </w:t>
      </w:r>
      <w:r>
        <w:t xml:space="preserve">“</w:t>
      </w:r>
      <w:r>
        <w:t xml:space="preserve">response</w:t>
      </w:r>
      <w:r>
        <w:t xml:space="preserve">”</w:t>
      </w:r>
      <w:r>
        <w:t xml:space="preserve">, or a numerical value for the</w:t>
      </w:r>
      <w:r>
        <w:t xml:space="preserve"> </w:t>
      </w:r>
      <w:r>
        <w:rPr>
          <w:i/>
        </w:rPr>
        <w:t xml:space="preserve">S. foliosa</w:t>
      </w:r>
      <w:r>
        <w:t xml:space="preserve"> </w:t>
      </w:r>
      <w:r>
        <w:t xml:space="preserve">height, and a</w:t>
      </w:r>
      <w:r>
        <w:t xml:space="preserve"> </w:t>
      </w:r>
      <w:r>
        <w:t xml:space="preserve">“</w:t>
      </w:r>
      <w:r>
        <w:t xml:space="preserve">zero</w:t>
      </w:r>
      <w:r>
        <w:t xml:space="preserve">”</w:t>
      </w:r>
      <w:r>
        <w:t xml:space="preserve"> </w:t>
      </w:r>
      <w:r>
        <w:t xml:space="preserve">or a probability of the maximum height being zero (which is interpreted as no</w:t>
      </w:r>
      <w:r>
        <w:t xml:space="preserve"> </w:t>
      </w:r>
      <w:r>
        <w:rPr>
          <w:i/>
        </w:rPr>
        <w:t xml:space="preserve">S. foliosa</w:t>
      </w:r>
      <w:r>
        <w:t xml:space="preserve"> </w:t>
      </w:r>
      <w:r>
        <w:t xml:space="preserve">present). If the probability of a zero was greater than 0.5, we assigned that value to be 0, and if it was less than 0.5, we assigned it to be 1. Then we multiplied the “response’ and the</w:t>
      </w:r>
      <w:r>
        <w:t xml:space="preserve"> </w:t>
      </w:r>
      <w:r>
        <w:t xml:space="preserve">“</w:t>
      </w:r>
      <w:r>
        <w:t xml:space="preserve">zero</w:t>
      </w:r>
      <w:r>
        <w:t xml:space="preserve">”</w:t>
      </w:r>
      <w:r>
        <w:t xml:space="preserve"> </w:t>
      </w:r>
      <w:r>
        <w:t xml:space="preserve">together such that the final value was 0 is the prob of 0 was &gt;0.5 and it was a numerical height if the probability of zero was &lt;0.5. When using this model for prediction on the training data (2012), 5.8% that show</w:t>
      </w:r>
      <w:r>
        <w:t xml:space="preserve"> </w:t>
      </w:r>
      <w:r>
        <w:rPr>
          <w:i/>
        </w:rPr>
        <w:t xml:space="preserve">S.foliosa</w:t>
      </w:r>
      <w:r>
        <w:t xml:space="preserve"> </w:t>
      </w:r>
      <w:r>
        <w:t xml:space="preserve">presence when in fact there was no</w:t>
      </w:r>
      <w:r>
        <w:t xml:space="preserve"> </w:t>
      </w:r>
      <w:r>
        <w:rPr>
          <w:i/>
        </w:rPr>
        <w:t xml:space="preserve">S. foliosa</w:t>
      </w:r>
      <w:r>
        <w:t xml:space="preserve"> </w:t>
      </w:r>
      <w:r>
        <w:t xml:space="preserve">observed (a false positive), and 6.2% that show no</w:t>
      </w:r>
      <w:r>
        <w:t xml:space="preserve"> </w:t>
      </w:r>
      <w:r>
        <w:rPr>
          <w:i/>
        </w:rPr>
        <w:t xml:space="preserve">S. folida</w:t>
      </w:r>
      <w:r>
        <w:t xml:space="preserve"> </w:t>
      </w:r>
      <w:r>
        <w:t xml:space="preserve">when in fact it was observed (a false negative).</w:t>
      </w:r>
      <w:r>
        <w:t xml:space="preserve"> </w:t>
      </w:r>
      <w:r>
        <w:t xml:space="preserve">The model for</w:t>
      </w:r>
      <w:r>
        <w:t xml:space="preserve"> </w:t>
      </w:r>
      <w:r>
        <w:rPr>
          <w:i/>
        </w:rPr>
        <w:t xml:space="preserve">S. folisa</w:t>
      </w:r>
      <w:r>
        <w:t xml:space="preserve"> </w:t>
      </w:r>
      <w:r>
        <w:t xml:space="preserve">maximum height was applied to baseline years 2011-2018 using the NOAA water level data for the appropriate year and the elevation for the marsh surface calculated by subtracting or adding the average wetland accretion annual rate to the measured 2012 data. The average annual accretion rate was measured from surface elevation tables at Upper Newport Bay (Cite Karens Data, ask her how). While we do not have</w:t>
      </w:r>
      <w:r>
        <w:t xml:space="preserve"> </w:t>
      </w:r>
      <w:r>
        <w:rPr>
          <w:i/>
        </w:rPr>
        <w:t xml:space="preserve">S. foliosa</w:t>
      </w:r>
      <w:r>
        <w:t xml:space="preserve"> </w:t>
      </w:r>
      <w:r>
        <w:t xml:space="preserve">maximum height for these other years to provide additional model validation, we will use the predicted maximum height to predict the habitat suitability for LFRR, which we can validate with annual LFRR surveys during those years.</w:t>
      </w:r>
    </w:p>
    <w:p>
      <w:pPr>
        <w:pStyle w:val="Heading4"/>
      </w:pPr>
      <w:bookmarkStart w:id="30" w:name="habitat-suitability"/>
      <w:bookmarkEnd w:id="30"/>
      <w:r>
        <w:t xml:space="preserve">Habitat suitability</w:t>
      </w:r>
    </w:p>
    <w:p>
      <w:pPr>
        <w:pStyle w:val="FirstParagraph"/>
      </w:pPr>
      <w:r>
        <w:t xml:space="preserve">We modeled LFRR habitat suitability using measures of</w:t>
      </w:r>
      <w:r>
        <w:t xml:space="preserve"> </w:t>
      </w:r>
      <w:r>
        <w:rPr>
          <w:i/>
        </w:rPr>
        <w:t xml:space="preserve">S. foliosa</w:t>
      </w:r>
      <w:r>
        <w:t xml:space="preserve"> </w:t>
      </w:r>
      <w:r>
        <w:t xml:space="preserve">maximum height and LFRR occurrence. The maximum height of</w:t>
      </w:r>
      <w:r>
        <w:t xml:space="preserve"> </w:t>
      </w:r>
      <w:r>
        <w:rPr>
          <w:i/>
        </w:rPr>
        <w:t xml:space="preserve">S. folisa</w:t>
      </w:r>
      <w:r>
        <w:t xml:space="preserve"> </w:t>
      </w:r>
      <w:r>
        <w:t xml:space="preserve">was derived for the yeras 2011-2018 using the method described in the previous section. The LFRR occurrence data was compiled from surveys conducted from the 2011 breeding season through the 2018 breeding season for Upper Newport Bay</w:t>
      </w:r>
      <w:r>
        <w:t xml:space="preserve"> </w:t>
      </w:r>
      <w:r>
        <w:t xml:space="preserve">(Zembal et al. 2016)</w:t>
      </w:r>
      <w:r>
        <w:t xml:space="preserve">. Briefly, the surveys employ</w:t>
      </w:r>
      <w:r>
        <w:t xml:space="preserve"> </w:t>
      </w:r>
      <w:r>
        <w:t xml:space="preserve">‘</w:t>
      </w:r>
      <w:r>
        <w:t xml:space="preserve">evening clappering</w:t>
      </w:r>
      <w:r>
        <w:t xml:space="preserve">’</w:t>
      </w:r>
      <w:r>
        <w:t xml:space="preserve"> </w:t>
      </w:r>
      <w:r>
        <w:t xml:space="preserve">call counts - the surveyor walks around the marsh at the start of breeding season and listens for LFRR calls from pairs vocally defending their nests or advertising for a mate. If no calls are heard, a recording of a LFRR call is played to elicit a response from a pair who thinks their territory is being intruded upon. The type of call indicates if the location is a nesting territory. The location of the call is recorded on a marsh map. The 2011-2018 LFRR survey maps were georeferenced using ArcGIS version 10.6 and a buffer was added surrounding each point to address uncertainty.</w:t>
      </w:r>
      <w:r>
        <w:t xml:space="preserve"> </w:t>
      </w:r>
    </w:p>
    <w:p>
      <w:pPr>
        <w:pStyle w:val="BodyText"/>
      </w:pPr>
      <w:r>
        <w:t xml:space="preserve">We used RStudio to partition the area of Upper Newport Bay, subtidal through upper marsh habitat, into approximately 0.40ha plots, which represents the average area per LFRR nest (R. Zembal per. comm.). Modeling at this scale prevents over predicting the carrying capacity of the marsh. Each plot was assigned a percentage of years occupied, out of eight total years (2011-2018), depending on the number of years that a georeferenced LFRR survey point or buffer occurred within, or intsected, the plot.</w:t>
      </w:r>
    </w:p>
    <w:p>
      <w:pPr>
        <w:pStyle w:val="BodyText"/>
      </w:pPr>
      <w:r>
        <w:t xml:space="preserve">We trained a logistic regression model with eight weights to predict the percentage of years (out of eight total) that a LFRR occupied a plot. We used two measures of maximum</w:t>
      </w:r>
      <w:r>
        <w:t xml:space="preserve"> </w:t>
      </w:r>
      <w:r>
        <w:rPr>
          <w:i/>
        </w:rPr>
        <w:t xml:space="preserve">S. foliosa</w:t>
      </w:r>
      <w:r>
        <w:t xml:space="preserve"> </w:t>
      </w:r>
      <w:r>
        <w:t xml:space="preserve">height: The percentage of the plot with the maximum</w:t>
      </w:r>
      <w:r>
        <w:t xml:space="preserve"> </w:t>
      </w:r>
      <w:r>
        <w:rPr>
          <w:i/>
        </w:rPr>
        <w:t xml:space="preserve">S. foliosa</w:t>
      </w:r>
      <w:r>
        <w:t xml:space="preserve"> </w:t>
      </w:r>
      <w:r>
        <w:t xml:space="preserve">value greater than 60cm</w:t>
      </w:r>
      <w:r>
        <w:t xml:space="preserve"> </w:t>
      </w:r>
      <w:r>
        <w:t xml:space="preserve">(Zedler 1993)</w:t>
      </w:r>
      <w:r>
        <w:t xml:space="preserve"> </w:t>
      </w:r>
      <w:r>
        <w:t xml:space="preserve">and the 95th percentile value of the distribution of maximum</w:t>
      </w:r>
      <w:r>
        <w:t xml:space="preserve"> </w:t>
      </w:r>
      <w:r>
        <w:rPr>
          <w:i/>
        </w:rPr>
        <w:t xml:space="preserve">S.folisa</w:t>
      </w:r>
      <w:r>
        <w:t xml:space="preserve"> </w:t>
      </w:r>
      <w:r>
        <w:t xml:space="preserve">heights. To calculate these two measures, using the Raster package in R, we extracted all the predicted values for the maximum</w:t>
      </w:r>
      <w:r>
        <w:t xml:space="preserve"> </w:t>
      </w:r>
      <w:r>
        <w:rPr>
          <w:i/>
        </w:rPr>
        <w:t xml:space="preserve">S. foliosa</w:t>
      </w:r>
      <w:r>
        <w:t xml:space="preserve"> </w:t>
      </w:r>
      <w:r>
        <w:t xml:space="preserve">heights within each plot and then calculated either the perentage greater than 60cm or the 95th percentile. P-values were significant at the P&lt;0.001 value and odds ratios were greater than one suggesting a postive effect on LFRR occupancy.</w:t>
      </w:r>
    </w:p>
    <w:p>
      <w:pPr>
        <w:pStyle w:val="BodyText"/>
      </w:pPr>
      <w:r>
        <w:t xml:space="preserve">Model confidence is estimated by the upper and lower bounds of the 95% confidence interval for the predicted habitat suitabilty value using the following equation (i.e. the predited percentage of years that LFRR occupied a habitat).</w:t>
      </w:r>
    </w:p>
    <w:p>
      <w:pPr>
        <w:pStyle w:val="BodyText"/>
      </w:pPr>
      <m:oMathPara>
        <m:oMathParaPr>
          <m:jc m:val="center"/>
        </m:oMathParaPr>
        <m:oMath>
          <m:r>
            <m:rPr>
              <m:sty m:val="p"/>
            </m:rPr>
            <m:t>SE</m:t>
          </m:r>
          <m:r>
            <m:t>(</m:t>
          </m:r>
          <m:r>
            <m:t>l</m:t>
          </m:r>
          <m:r>
            <m:t>o</m:t>
          </m:r>
          <m:r>
            <m:t>g</m:t>
          </m:r>
          <m:r>
            <m:t>i</m:t>
          </m:r>
          <m:r>
            <m:t>t</m:t>
          </m:r>
          <m:r>
            <m:t>(</m:t>
          </m:r>
          <m:r>
            <m:t>p</m:t>
          </m:r>
          <m:r>
            <m:t>)</m:t>
          </m:r>
          <m:r>
            <m:t>)</m:t>
          </m:r>
          <m:r>
            <m:t>=</m:t>
          </m:r>
          <m:rad>
            <m:radPr>
              <m:degHide m:val="1"/>
            </m:radPr>
            <m:deg/>
            <m:e>
              <m:r>
                <m:rPr>
                  <m:sty m:val="p"/>
                </m:rPr>
                <m:t>SE</m:t>
              </m:r>
              <m:r>
                <m:t>(</m:t>
              </m:r>
              <m:sSub>
                <m:e>
                  <m:r>
                    <m:t>β</m:t>
                  </m:r>
                </m:e>
                <m:sub>
                  <m:r>
                    <m:t>0</m:t>
                  </m:r>
                </m:sub>
              </m:sSub>
              <m:sSup>
                <m:e>
                  <m:r>
                    <m:t>)</m:t>
                  </m:r>
                </m:e>
                <m:sup>
                  <m:r>
                    <m:t>2</m:t>
                  </m:r>
                </m:sup>
              </m:sSup>
              <m:r>
                <m:t>+</m:t>
              </m:r>
              <m:sSubSup>
                <m:e>
                  <m:r>
                    <m:t>x</m:t>
                  </m:r>
                </m:e>
                <m:sub>
                  <m:r>
                    <m:t>1</m:t>
                  </m:r>
                </m:sub>
                <m:sup>
                  <m:r>
                    <m:t>2</m:t>
                  </m:r>
                </m:sup>
              </m:sSubSup>
              <m:r>
                <m:rPr>
                  <m:sty m:val="p"/>
                </m:rPr>
                <m:t>SE</m:t>
              </m:r>
              <m:r>
                <m:t>(</m:t>
              </m:r>
              <m:sSub>
                <m:e>
                  <m:r>
                    <m:t>β</m:t>
                  </m:r>
                </m:e>
                <m:sub>
                  <m:r>
                    <m:t>1</m:t>
                  </m:r>
                </m:sub>
              </m:sSub>
              <m:sSup>
                <m:e>
                  <m:r>
                    <m:t>)</m:t>
                  </m:r>
                </m:e>
                <m:sup>
                  <m:r>
                    <m:t>2</m:t>
                  </m:r>
                </m:sup>
              </m:sSup>
              <m:r>
                <m:t>+</m:t>
              </m:r>
              <m:sSubSup>
                <m:e>
                  <m:r>
                    <m:t>x</m:t>
                  </m:r>
                </m:e>
                <m:sub>
                  <m:r>
                    <m:t>2</m:t>
                  </m:r>
                </m:sub>
                <m:sup>
                  <m:r>
                    <m:t>2</m:t>
                  </m:r>
                </m:sup>
              </m:sSubSup>
              <m:r>
                <m:rPr>
                  <m:sty m:val="p"/>
                </m:rPr>
                <m:t>SE</m:t>
              </m:r>
              <m:r>
                <m:t>(</m:t>
              </m:r>
              <m:sSub>
                <m:e>
                  <m:r>
                    <m:t>β</m:t>
                  </m:r>
                </m:e>
                <m:sub>
                  <m:r>
                    <m:t>2</m:t>
                  </m:r>
                </m:sub>
              </m:sSub>
              <m:sSup>
                <m:e>
                  <m:r>
                    <m:t>)</m:t>
                  </m:r>
                </m:e>
                <m:sup>
                  <m:r>
                    <m:t>2</m:t>
                  </m:r>
                </m:sup>
              </m:sSup>
            </m:e>
          </m:rad>
        </m:oMath>
      </m:oMathPara>
    </w:p>
    <w:p>
      <w:pPr>
        <w:pStyle w:val="FirstParagraph"/>
      </w:pPr>
      <m:oMathPara>
        <m:oMathParaPr>
          <m:jc m:val="center"/>
        </m:oMathParaPr>
        <m:oMath>
          <m:r>
            <m:t>l</m:t>
          </m:r>
          <m:r>
            <m:t>o</m:t>
          </m:r>
          <m:r>
            <m:t>g</m:t>
          </m:r>
          <m:r>
            <m:t>i</m:t>
          </m:r>
          <m:r>
            <m:t>t</m:t>
          </m:r>
          <m:r>
            <m:t>(</m:t>
          </m:r>
          <m:r>
            <m:t>p</m:t>
          </m:r>
          <m:r>
            <m:t>)</m:t>
          </m:r>
          <m:r>
            <m:t>±</m:t>
          </m:r>
          <m:r>
            <m:t>1.96</m:t>
          </m:r>
          <m:r>
            <m:t>(</m:t>
          </m:r>
          <m:r>
            <m:rPr>
              <m:sty m:val="p"/>
            </m:rPr>
            <m:t>SE</m:t>
          </m:r>
          <m:r>
            <m:t>(</m:t>
          </m:r>
          <m:r>
            <m:t>l</m:t>
          </m:r>
          <m:r>
            <m:t>o</m:t>
          </m:r>
          <m:r>
            <m:t>g</m:t>
          </m:r>
          <m:r>
            <m:t>i</m:t>
          </m:r>
          <m:r>
            <m:t>t</m:t>
          </m:r>
          <m:r>
            <m:t>(</m:t>
          </m:r>
          <m:r>
            <m:t>p</m:t>
          </m:r>
          <m:r>
            <m:t>)</m:t>
          </m:r>
          <m:r>
            <m:t>)</m:t>
          </m:r>
          <m:r>
            <m:t>)</m:t>
          </m:r>
        </m:oMath>
      </m:oMathPara>
    </w:p>
    <w:p>
      <w:pPr>
        <w:pStyle w:val="Heading3"/>
      </w:pPr>
      <w:bookmarkStart w:id="31" w:name="beldings-savannah-sparrow-model"/>
      <w:bookmarkEnd w:id="31"/>
      <w:r>
        <w:t xml:space="preserve">Belding’s savannah sparrow model</w:t>
      </w:r>
    </w:p>
    <w:p>
      <w:pPr>
        <w:pStyle w:val="FirstParagraph"/>
      </w:pPr>
      <w:r>
        <w:t xml:space="preserve">The Belding’s savannah sparrow,</w:t>
      </w:r>
      <w:r>
        <w:t xml:space="preserve"> </w:t>
      </w:r>
      <w:r>
        <w:rPr>
          <w:i/>
        </w:rPr>
        <w:t xml:space="preserve">Passerculus sandwichensis beldingi</w:t>
      </w:r>
      <w:r>
        <w:t xml:space="preserve"> </w:t>
      </w:r>
      <w:r>
        <w:t xml:space="preserve">is a subspecies of savannah sparrow that nests in the upper marsh zone in southern California and is currently listed as a threatened species. The sparrow nests on or near the ground underneath low growing plants in the upper marsh zone. They are commonly associated with</w:t>
      </w:r>
      <w:r>
        <w:t xml:space="preserve"> </w:t>
      </w:r>
      <w:r>
        <w:rPr>
          <w:i/>
        </w:rPr>
        <w:t xml:space="preserve">salicornia pacifica</w:t>
      </w:r>
      <w:r>
        <w:t xml:space="preserve"> </w:t>
      </w:r>
      <w:r>
        <w:t xml:space="preserve">however, the other low growing plants in the upper marsh zone are also frequenty used. They build their nests above the elevation that gets inundated by the high tides in the Spring</w:t>
      </w:r>
      <w:r>
        <w:t xml:space="preserve"> </w:t>
      </w:r>
      <w:r>
        <w:t xml:space="preserve">(Massey 1977)</w:t>
      </w:r>
      <w:r>
        <w:t xml:space="preserve">. The modeling for the BSS consisted of two steps: 1. Predict habitat suitability for the BSS using the inundation time during the Sprng and Summer and 2. predict habitat suitability in future years using marsh surface modeling to predict the surface elevation under different sea level rise and sediment management scenarios.</w:t>
      </w:r>
    </w:p>
    <w:p>
      <w:pPr>
        <w:pStyle w:val="Heading4"/>
      </w:pPr>
      <w:bookmarkStart w:id="32" w:name="habitat-suitability-1"/>
      <w:bookmarkEnd w:id="32"/>
      <w:r>
        <w:t xml:space="preserve">Habitat suitability</w:t>
      </w:r>
    </w:p>
    <w:p>
      <w:pPr>
        <w:pStyle w:val="FirstParagraph"/>
      </w:pPr>
      <w:r>
        <w:t xml:space="preserve">Surveys for the BSS occur every five years and we used the results from the most recent survey done in 2015</w:t>
      </w:r>
      <w:r>
        <w:t xml:space="preserve"> </w:t>
      </w:r>
      <w:r>
        <w:t xml:space="preserve">(Zembal, Hoffman, and Patton 2015)</w:t>
      </w:r>
      <w:r>
        <w:t xml:space="preserve">. These surveys record the presence of territorial birds, which are identified with behaviors such as singing, aerial chases, and prolonged perching (see</w:t>
      </w:r>
      <w:r>
        <w:t xml:space="preserve"> </w:t>
      </w:r>
      <w:r>
        <w:t xml:space="preserve">Zembal, Hoffman, and Patton (2015)</w:t>
      </w:r>
      <w:r>
        <w:t xml:space="preserve"> </w:t>
      </w:r>
      <w:r>
        <w:t xml:space="preserve">for full details).</w:t>
      </w:r>
    </w:p>
    <w:p>
      <w:pPr>
        <w:pStyle w:val="Heading4"/>
      </w:pPr>
      <w:bookmarkStart w:id="33" w:name="future-predictions"/>
      <w:bookmarkEnd w:id="33"/>
      <w:r>
        <w:t xml:space="preserve">Future predictions</w:t>
      </w:r>
    </w:p>
    <w:p>
      <w:pPr>
        <w:pStyle w:val="Heading5"/>
      </w:pPr>
      <w:bookmarkStart w:id="34" w:name="marsh-surface-modeling"/>
      <w:bookmarkEnd w:id="34"/>
      <w:r>
        <w:t xml:space="preserve">Marsh surface modeling</w:t>
      </w:r>
    </w:p>
    <w:p>
      <w:pPr>
        <w:pStyle w:val="Heading5"/>
      </w:pPr>
      <w:bookmarkStart w:id="35" w:name="habitat-suitability-2"/>
      <w:bookmarkEnd w:id="35"/>
      <w:r>
        <w:t xml:space="preserve">Habitat suitability</w:t>
      </w:r>
    </w:p>
    <w:p>
      <w:pPr>
        <w:pStyle w:val="FirstParagraph"/>
      </w:pPr>
      <w:r>
        <w:t xml:space="preserve">We applied both biological models to the future scenarios that were modeled using the Delft3D: Sea level rise of 0.39624m SLR (lower bound of the SLR for RCP 4.5 in 2100) and 1.09728m (higher bound of the SLR for RCP 8.5 in 2100), which encompasses the likely range for RCP 4.5 and 8.5</w:t>
      </w:r>
      <w:r>
        <w:t xml:space="preserve"> </w:t>
      </w:r>
      <w:r>
        <w:t xml:space="preserve">(Griggs et al. 2017)</w:t>
      </w:r>
      <w:r>
        <w:t xml:space="preserve">. For each sea level rise scenarios, we modeled a scenario where dredging in the salt marsh continues as is, and a scenario where there is no dredging in the salt marsh. To calculate the percent of time inundated in the summer months nesessary to predict the maximum height of the</w:t>
      </w:r>
      <w:r>
        <w:t xml:space="preserve"> </w:t>
      </w:r>
      <w:r>
        <w:rPr>
          <w:i/>
        </w:rPr>
        <w:t xml:space="preserve">S. foliosa</w:t>
      </w:r>
      <w:r>
        <w:t xml:space="preserve"> </w:t>
      </w:r>
      <w:r>
        <w:t xml:space="preserve">we used water level data from the same NOAA gauge for the years 2011 and 2015, but we added the appropriate amount of sea level rise to each hourly water level value. The year 2011 represted a normal year and the year 2015 represented an el nino year.</w:t>
      </w:r>
    </w:p>
    <w:p>
      <w:pPr>
        <w:pStyle w:val="Heading1"/>
      </w:pPr>
      <w:bookmarkStart w:id="36" w:name="results"/>
      <w:bookmarkEnd w:id="36"/>
      <w:r>
        <w:t xml:space="preserve">Results</w:t>
      </w:r>
    </w:p>
    <w:p>
      <w:pPr>
        <w:pStyle w:val="SourceCode"/>
      </w:pPr>
      <w:r>
        <w:rPr>
          <w:rStyle w:val="KeywordTok"/>
        </w:rPr>
        <w:t xml:space="preserve">load</w:t>
      </w:r>
      <w:r>
        <w:rPr>
          <w:rStyle w:val="NormalTok"/>
        </w:rPr>
        <w:t xml:space="preserve">(</w:t>
      </w:r>
      <w:r>
        <w:rPr>
          <w:rStyle w:val="StringTok"/>
        </w:rPr>
        <w:t xml:space="preserve">"C:/Users/JennyT/Documents/LitReview/UCI/working data/SPSP_MAX_model.rda"</w:t>
      </w:r>
      <w:r>
        <w:rPr>
          <w:rStyle w:val="NormalTok"/>
        </w:rPr>
        <w:t xml:space="preserve">)</w:t>
      </w:r>
      <w:r>
        <w:br w:type="textWrapping"/>
      </w:r>
      <w:r>
        <w:rPr>
          <w:rStyle w:val="KeywordTok"/>
        </w:rPr>
        <w:t xml:space="preserve">summary</w:t>
      </w:r>
      <w:r>
        <w:rPr>
          <w:rStyle w:val="NormalTok"/>
        </w:rPr>
        <w:t xml:space="preserve">(mdl_sp_max) </w:t>
      </w:r>
      <w:r>
        <w:rPr>
          <w:rStyle w:val="CommentTok"/>
        </w:rPr>
        <w:t xml:space="preserve">#need to make this into a nice table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SPSP_MAX ~ summ_inu_pct + summ_inu_pct_sq | summ_inu_pct, </w:t>
      </w:r>
      <w:r>
        <w:br w:type="textWrapping"/>
      </w:r>
      <w:r>
        <w:rPr>
          <w:rStyle w:val="VerbatimChar"/>
        </w:rPr>
        <w:t xml:space="preserve">##     data = veg,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-3.8632 -0.4407 -0.1948  0.5115  3.0926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3.6953     0.1134  32.579  &lt; 2e-16 ***</w:t>
      </w:r>
      <w:r>
        <w:br w:type="textWrapping"/>
      </w:r>
      <w:r>
        <w:rPr>
          <w:rStyle w:val="VerbatimChar"/>
        </w:rPr>
        <w:t xml:space="preserve">## summ_inu_pct     11.9414     2.2394   5.332 9.69e-08 ***</w:t>
      </w:r>
      <w:r>
        <w:br w:type="textWrapping"/>
      </w:r>
      <w:r>
        <w:rPr>
          <w:rStyle w:val="VerbatimChar"/>
        </w:rPr>
        <w:t xml:space="preserve">## summ_inu_pct_sq -34.1737     8.7022  -3.927 8.60e-05 ***</w:t>
      </w:r>
      <w:r>
        <w:br w:type="textWrapping"/>
      </w:r>
      <w:r>
        <w:rPr>
          <w:rStyle w:val="VerbatimChar"/>
        </w:rPr>
        <w:t xml:space="preserve">## Log(theta)        3.0312     0.1631  18.584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3.5166     0.4795   7.334 2.23e-13 ***</w:t>
      </w:r>
      <w:r>
        <w:br w:type="textWrapping"/>
      </w:r>
      <w:r>
        <w:rPr>
          <w:rStyle w:val="VerbatimChar"/>
        </w:rPr>
        <w:t xml:space="preserve">## summ_inu_pct -77.3171     9.6483  -8.014 1.11e-15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20.7217 </w:t>
      </w:r>
      <w:r>
        <w:br w:type="textWrapping"/>
      </w:r>
      <w:r>
        <w:rPr>
          <w:rStyle w:val="VerbatimChar"/>
        </w:rPr>
        <w:t xml:space="preserve">## Number of iterations in BFGS optimization: 1 </w:t>
      </w:r>
      <w:r>
        <w:br w:type="textWrapping"/>
      </w:r>
      <w:r>
        <w:rPr>
          <w:rStyle w:val="VerbatimChar"/>
        </w:rPr>
        <w:t xml:space="preserve">## Log-likelihood:  -629 on 6 Df</w:t>
      </w:r>
    </w:p>
    <w:p>
      <w:pPr>
        <w:pStyle w:val="Compact"/>
        <w:numPr>
          <w:numId w:val="1001"/>
          <w:ilvl w:val="0"/>
        </w:numPr>
      </w:pPr>
      <w:r>
        <w:t xml:space="preserve">Stacked bar chart comparing habitat outcomes under the different scenarios</w:t>
      </w:r>
    </w:p>
    <w:p>
      <w:pPr>
        <w:pStyle w:val="Compact"/>
        <w:numPr>
          <w:numId w:val="1002"/>
          <w:ilvl w:val="0"/>
        </w:numPr>
      </w:pPr>
      <w:r>
        <w:t xml:space="preserve">Elevation zones, vegetation zones, suitability zones</w:t>
      </w:r>
    </w:p>
    <w:p>
      <w:pPr>
        <w:pStyle w:val="Compact"/>
        <w:numPr>
          <w:numId w:val="1003"/>
          <w:ilvl w:val="0"/>
        </w:numPr>
      </w:pPr>
      <w:r>
        <w:t xml:space="preserve">Table showing acreage of habitat occupancy with</w:t>
      </w:r>
    </w:p>
    <w:p>
      <w:pPr>
        <w:pStyle w:val="Compact"/>
        <w:numPr>
          <w:numId w:val="1004"/>
          <w:ilvl w:val="0"/>
        </w:numPr>
      </w:pPr>
      <w:r>
        <w:t xml:space="preserve">SLR and business as usual sediment management</w:t>
      </w:r>
    </w:p>
    <w:p>
      <w:pPr>
        <w:pStyle w:val="Compact"/>
        <w:numPr>
          <w:numId w:val="1004"/>
          <w:ilvl w:val="0"/>
        </w:numPr>
      </w:pPr>
      <w:r>
        <w:t xml:space="preserve">SLR and no dredge</w:t>
      </w:r>
    </w:p>
    <w:p>
      <w:pPr>
        <w:pStyle w:val="Compact"/>
        <w:numPr>
          <w:numId w:val="1004"/>
          <w:ilvl w:val="0"/>
        </w:numPr>
      </w:pPr>
      <w:r>
        <w:t xml:space="preserve">SLR and, dredging as usual, and augmentation</w:t>
      </w:r>
    </w:p>
    <w:p>
      <w:pPr>
        <w:pStyle w:val="Heading1"/>
      </w:pPr>
      <w:bookmarkStart w:id="37" w:name="references"/>
      <w:bookmarkEnd w:id="37"/>
      <w:r>
        <w:t xml:space="preserve">References</w:t>
      </w:r>
    </w:p>
    <w:p>
      <w:pPr>
        <w:pStyle w:val="Bibliography"/>
      </w:pPr>
      <w:r>
        <w:t xml:space="preserve">Griggs, G, J Árvai, D Cayan, R DeConto, J Fox, HA Fricker, RE Kopp, C Tebaldi, and EA Whiteman. 2017. “(California Ocean Protection Council Science Advisory Team Working Group). Rising Seas in California: An Update on Sea-Level Rise Science. California Ocean Science Trust,” April. California Ocean Protection Council.</w:t>
      </w:r>
      <w:r>
        <w:t xml:space="preserve"> </w:t>
      </w:r>
      <w:hyperlink r:id="rId38">
        <w:r>
          <w:rPr>
            <w:rStyle w:val="Hyperlink"/>
          </w:rPr>
          <w:t xml:space="preserve">http://www.opc.ca.gov/webmaster/ftp/pdf/docs/rising-seas-in-california-an-update-on-sea-level-rise-science.pdf</w:t>
        </w:r>
      </w:hyperlink>
      <w:r>
        <w:t xml:space="preserve">.</w:t>
      </w:r>
    </w:p>
    <w:p>
      <w:pPr>
        <w:pStyle w:val="Bibliography"/>
      </w:pPr>
      <w:r>
        <w:t xml:space="preserve">Maley, James M., and Robb T. Brumfield. 2013. “Mitochondrial and Next-Generation Sequence Data Used to Infer Phylogenetic Relationships and Species Limits in the Clapper/King Rail Complex.”</w:t>
      </w:r>
      <w:r>
        <w:t xml:space="preserve"> </w:t>
      </w:r>
      <w:r>
        <w:rPr>
          <w:i/>
        </w:rPr>
        <w:t xml:space="preserve">The Condor</w:t>
      </w:r>
      <w:r>
        <w:t xml:space="preserve"> </w:t>
      </w:r>
      <w:r>
        <w:t xml:space="preserve">115 (2): 316–29. doi:</w:t>
      </w:r>
      <w:hyperlink r:id="rId39">
        <w:r>
          <w:rPr>
            <w:rStyle w:val="Hyperlink"/>
          </w:rPr>
          <w:t xml:space="preserve">10.1525/cond.2013.110138</w:t>
        </w:r>
      </w:hyperlink>
      <w:r>
        <w:t xml:space="preserve">.</w:t>
      </w:r>
    </w:p>
    <w:p>
      <w:pPr>
        <w:pStyle w:val="Bibliography"/>
      </w:pPr>
      <w:r>
        <w:t xml:space="preserve">Massey, Barbara W. 1977. “A Census of the Breeding Population of the Belding’s Savannah Sparrow in California.” California Department of Fish; Game.</w:t>
      </w:r>
    </w:p>
    <w:p>
      <w:pPr>
        <w:pStyle w:val="Bibliography"/>
      </w:pPr>
      <w:r>
        <w:t xml:space="preserve">Massey, Barbara W., Richard Zembal, and P. D. Jorgensen. 1984. “Nesting Habitat of the Light-Footed Clapper Rail in Southern California.”</w:t>
      </w:r>
      <w:r>
        <w:t xml:space="preserve"> </w:t>
      </w:r>
      <w:r>
        <w:rPr>
          <w:i/>
        </w:rPr>
        <w:t xml:space="preserve">Journal of Field Ornithology</w:t>
      </w:r>
      <w:r>
        <w:t xml:space="preserve"> </w:t>
      </w:r>
      <w:r>
        <w:t xml:space="preserve">55 (1): 67–80.</w:t>
      </w:r>
      <w:r>
        <w:t xml:space="preserve"> </w:t>
      </w:r>
      <w:hyperlink r:id="rId40">
        <w:r>
          <w:rPr>
            <w:rStyle w:val="Hyperlink"/>
          </w:rPr>
          <w:t xml:space="preserve">http://www.jstor.org/stable/4512858</w:t>
        </w:r>
      </w:hyperlink>
      <w:r>
        <w:t xml:space="preserve">.</w:t>
      </w:r>
    </w:p>
    <w:p>
      <w:pPr>
        <w:pStyle w:val="Bibliography"/>
      </w:pPr>
      <w:r>
        <w:t xml:space="preserve">Mullahy, John. 1986. “Specifications and Testing of Some Modified Count Data Models.”</w:t>
      </w:r>
      <w:r>
        <w:t xml:space="preserve"> </w:t>
      </w:r>
      <w:r>
        <w:rPr>
          <w:i/>
        </w:rPr>
        <w:t xml:space="preserve">Journal of Econometrics</w:t>
      </w:r>
      <w:r>
        <w:t xml:space="preserve"> </w:t>
      </w:r>
      <w:r>
        <w:t xml:space="preserve">33 (3): 341–65.</w:t>
      </w:r>
    </w:p>
    <w:p>
      <w:pPr>
        <w:pStyle w:val="Bibliography"/>
      </w:pPr>
      <w:r>
        <w:t xml:space="preserve">Ridout, Martin, Clarice G.B. Demétrio, and John Hinde. 1998.</w:t>
      </w:r>
      <w:r>
        <w:t xml:space="preserve"> </w:t>
      </w:r>
      <w:r>
        <w:rPr>
          <w:i/>
        </w:rPr>
        <w:t xml:space="preserve">Models for Count Data with Many Zeros</w:t>
      </w:r>
      <w:r>
        <w:t xml:space="preserve">. Cape Town: Proceedings from the International Biometric Conference.</w:t>
      </w:r>
    </w:p>
    <w:p>
      <w:pPr>
        <w:pStyle w:val="Bibliography"/>
      </w:pPr>
      <w:r>
        <w:t xml:space="preserve">Runting, Rebecca K, Kerrie A Wilson, and Jonathan R Rhodes. 2013. “Does more mean less ? The value of information for conservation planning under sea level rise.”</w:t>
      </w:r>
      <w:r>
        <w:t xml:space="preserve"> </w:t>
      </w:r>
      <w:r>
        <w:rPr>
          <w:i/>
        </w:rPr>
        <w:t xml:space="preserve">Global Change Biology</w:t>
      </w:r>
      <w:r>
        <w:t xml:space="preserve"> </w:t>
      </w:r>
      <w:r>
        <w:t xml:space="preserve">19: 352–63.</w:t>
      </w:r>
    </w:p>
    <w:p>
      <w:pPr>
        <w:pStyle w:val="Bibliography"/>
      </w:pPr>
      <w:r>
        <w:t xml:space="preserve">Thorne, Karen, Glen Macdonald, Glenn Guntenspergen, Richard Ambrose, Kevin Buffington, Bruce Dugger, Chase Freeman, et al. 2018. “U.S. Pacific coastal wetland resilience and vulnerability to sea-level rise.”</w:t>
      </w:r>
      <w:r>
        <w:t xml:space="preserve"> </w:t>
      </w:r>
      <w:r>
        <w:rPr>
          <w:i/>
        </w:rPr>
        <w:t xml:space="preserve">Science Advances</w:t>
      </w:r>
      <w:r>
        <w:t xml:space="preserve"> </w:t>
      </w:r>
      <w:r>
        <w:t xml:space="preserve">4 (February): 1–11. doi:</w:t>
      </w:r>
      <w:hyperlink r:id="rId41">
        <w:r>
          <w:rPr>
            <w:rStyle w:val="Hyperlink"/>
          </w:rPr>
          <w:t xml:space="preserve">10.1126/sciadv.aao3270</w:t>
        </w:r>
      </w:hyperlink>
      <w:r>
        <w:t xml:space="preserve">.</w:t>
      </w:r>
    </w:p>
    <w:p>
      <w:pPr>
        <w:pStyle w:val="Bibliography"/>
      </w:pPr>
      <w:r>
        <w:t xml:space="preserve">Zedler, Joy B. 1993. “Canopy Architecture of Natural and Planted Cordgrass Marshes : Selecting Habitat Evaluation Criteria.”</w:t>
      </w:r>
      <w:r>
        <w:t xml:space="preserve"> </w:t>
      </w:r>
      <w:r>
        <w:rPr>
          <w:i/>
        </w:rPr>
        <w:t xml:space="preserve">Ecological Applications</w:t>
      </w:r>
      <w:r>
        <w:t xml:space="preserve"> </w:t>
      </w:r>
      <w:r>
        <w:t xml:space="preserve">3 (1): 123–38.</w:t>
      </w:r>
    </w:p>
    <w:p>
      <w:pPr>
        <w:pStyle w:val="Bibliography"/>
      </w:pPr>
      <w:r>
        <w:t xml:space="preserve">Zembal, Richard, and Jack M. Fancher. 1988. “Foraging behavior and foods of the light-footed clapper rail.”</w:t>
      </w:r>
      <w:r>
        <w:t xml:space="preserve"> </w:t>
      </w:r>
      <w:r>
        <w:rPr>
          <w:i/>
        </w:rPr>
        <w:t xml:space="preserve">Condor</w:t>
      </w:r>
      <w:r>
        <w:t xml:space="preserve"> </w:t>
      </w:r>
      <w:r>
        <w:t xml:space="preserve">90 (4): 959–62. doi:</w:t>
      </w:r>
      <w:hyperlink r:id="rId42">
        <w:r>
          <w:rPr>
            <w:rStyle w:val="Hyperlink"/>
          </w:rPr>
          <w:t xml:space="preserve">10.2307/1368864</w:t>
        </w:r>
      </w:hyperlink>
      <w:r>
        <w:t xml:space="preserve">.</w:t>
      </w:r>
    </w:p>
    <w:p>
      <w:pPr>
        <w:pStyle w:val="Bibliography"/>
      </w:pPr>
      <w:r>
        <w:t xml:space="preserve">Zembal, Richard, Susan M Hoffman, and Robert T Patton. 2015. “A survey of the Belding’s savannah sparrow (Passerculus sandwichensis beldingi) in California, 2015.” State of California. Natural Resources Agency, Department of Fish; Wildlife Wildlife Branch.</w:t>
      </w:r>
    </w:p>
    <w:p>
      <w:pPr>
        <w:pStyle w:val="Bibliography"/>
      </w:pPr>
      <w:r>
        <w:t xml:space="preserve">Zembal, Richard, Susan M. Hoffman, Charles Gailband, and John Konecny. 2016. “Light-footed Ridgway’s (Clapper) Rail Management, Study, and Zoological Breeding in California 2016 Season.” Sacramento, CA: California Department of Fish; Wildlife, Wildlife Branch, Nongame Wildlife Program Report, 2016-04.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1f4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84c2f6f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d1d8a2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11caef5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www.jstor.org/stable/4512858" TargetMode="External" /><Relationship Type="http://schemas.openxmlformats.org/officeDocument/2006/relationships/hyperlink" Id="rId38" Target="http://www.opc.ca.gov/webmaster/ftp/pdf/docs/rising-seas-in-california-an-update-on-sea-level-rise-science.pdf" TargetMode="External" /><Relationship Type="http://schemas.openxmlformats.org/officeDocument/2006/relationships/hyperlink" Id="rId41" Target="https://doi.org/10.1126/sciadv.aao3270" TargetMode="External" /><Relationship Type="http://schemas.openxmlformats.org/officeDocument/2006/relationships/hyperlink" Id="rId39" Target="https://doi.org/10.1525/cond.2013.110138" TargetMode="External" /><Relationship Type="http://schemas.openxmlformats.org/officeDocument/2006/relationships/hyperlink" Id="rId42" Target="https://doi.org/10.2307/1368864" TargetMode="External" /></Relationships>
</file>

<file path=word/_rels/footnotes.xml.rels><?xml version="1.0" encoding="UTF-8"?>
<Relationships xmlns="http://schemas.openxmlformats.org/package/2006/relationships"><Relationship Type="http://schemas.openxmlformats.org/officeDocument/2006/relationships/hyperlink" Id="rId40" Target="http://www.jstor.org/stable/4512858" TargetMode="External" /><Relationship Type="http://schemas.openxmlformats.org/officeDocument/2006/relationships/hyperlink" Id="rId38" Target="http://www.opc.ca.gov/webmaster/ftp/pdf/docs/rising-seas-in-california-an-update-on-sea-level-rise-science.pdf" TargetMode="External" /><Relationship Type="http://schemas.openxmlformats.org/officeDocument/2006/relationships/hyperlink" Id="rId41" Target="https://doi.org/10.1126/sciadv.aao3270" TargetMode="External" /><Relationship Type="http://schemas.openxmlformats.org/officeDocument/2006/relationships/hyperlink" Id="rId39" Target="https://doi.org/10.1525/cond.2013.110138" TargetMode="External" /><Relationship Type="http://schemas.openxmlformats.org/officeDocument/2006/relationships/hyperlink" Id="rId42" Target="https://doi.org/10.2307/13688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potential for sediment management to ameliorate the impacts of sea level rise in coastal salt marsh habitats</dc:title>
  <dc:creator>Jenny Rogers and Matt Brand</dc:creator>
  <dcterms:created xsi:type="dcterms:W3CDTF">2020-05-14T23:29:53Z</dcterms:created>
  <dcterms:modified xsi:type="dcterms:W3CDTF">2020-05-14T23:29:53Z</dcterms:modified>
</cp:coreProperties>
</file>