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Table 4: Reduced-Form Models for Change in Employment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t xml:space="preserve">Variable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(i)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(ii)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(iii)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(iv)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(v)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New Jersey dummy</w:t>
            </w:r>
          </w:p>
        </w:tc>
        <w:tc>
          <w:tcPr>
            <w:tcW w:w="1560" w:type="dxa"/>
          </w:tcPr>
          <w:p>
            <w:pPr>
              <w:spacing w:after="0" w:lineRule="auto"/>
            </w:pPr>
            <w:r>
              <w:t xml:space="preserve">2.36</w:t>
              <w:br w:type="textWrapping"/>
            </w:r>
            <w:r>
              <w:t xml:space="preserve">(1.15)</w:t>
            </w:r>
          </w:p>
        </w:tc>
        <w:tc>
          <w:tcPr>
            <w:tcW w:w="1560" w:type="dxa"/>
          </w:tcPr>
          <w:p>
            <w:pPr>
              <w:spacing w:after="0" w:lineRule="auto"/>
            </w:pPr>
            <w:r>
              <w:t xml:space="preserve">2.33</w:t>
              <w:br w:type="textWrapping"/>
            </w:r>
            <w:r>
              <w:t xml:space="preserve">(1.15)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Initial wage gap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560" w:type="dxa"/>
          </w:tcPr>
          <w:p>
            <w:pPr>
              <w:spacing w:after="0" w:lineRule="auto"/>
            </w:pPr>
            <w:r>
              <w:t xml:space="preserve">15.89</w:t>
              <w:br w:type="textWrapping"/>
            </w:r>
            <w:r>
              <w:t xml:space="preserve">(5.95)</w:t>
            </w:r>
          </w:p>
        </w:tc>
        <w:tc>
          <w:tcPr>
            <w:tcW w:w="1560" w:type="dxa"/>
          </w:tcPr>
          <w:p>
            <w:pPr>
              <w:spacing w:after="0" w:lineRule="auto"/>
            </w:pPr>
            <w:r>
              <w:t xml:space="preserve">15.19</w:t>
              <w:br w:type="textWrapping"/>
            </w:r>
            <w:r>
              <w:t xml:space="preserve">(6.08)</w:t>
            </w:r>
          </w:p>
        </w:tc>
        <w:tc>
          <w:tcPr>
            <w:tcW w:w="1560" w:type="dxa"/>
          </w:tcPr>
          <w:p>
            <w:pPr>
              <w:spacing w:after="0" w:lineRule="auto"/>
            </w:pPr>
            <w:r>
              <w:t xml:space="preserve">12.03</w:t>
              <w:br w:type="textWrapping"/>
            </w:r>
            <w:r>
              <w:t xml:space="preserve">(7.32)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Controls for chain and ownership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Controls for region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Standard error of regression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8.71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8.70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8.68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8.67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8.67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Probability value for controls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0.30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0.38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0.37</w:t>
            </w:r>
          </w:p>
        </w:tc>
      </w:tr>
    </w:tbl>
    <w:p>
      <w:r>
        <w:t/>
      </w:r>
    </w:p>
    <w:p>
      <w:r>
        <w:t/>
      </w:r>
      <w:r>
        <w:t xml:space="preserve">Notes: Standard errors are shown in parentheses. The sample consists of 365 stores with available data on employment in waves 1 and 2 and starting wage in wave 1. The dependent variable is the change in FTE employment between waves 1 and 2. The mean (standard deviation) of the dependent variable is -0.252 (8.749). The probability values test the joint hypothesis that the coefficients on the control variables equal zero.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