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Robustness: Composition of the Difference-in-Differences in Employment</w:t>
      </w:r>
    </w:p>
    <w:tbl>
      <w:tblPr>
        <w:tblStyle w:val="TableGri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Employment measure (change, waves 1-2)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(i) New Jersey dummy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(ii) New Jersey dummy + controls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t-statistic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FTE employment (managers + full-time + half of part-time)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2.75</w:t>
              <w:br w:type="textWrapping"/>
            </w:r>
            <w:r>
              <w:t xml:space="preserve">(1.34)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2.78</w:t>
              <w:br w:type="textWrapping"/>
            </w:r>
            <w:r>
              <w:t xml:space="preserve">(1.34)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2.06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Full-time employees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3.16</w:t>
              <w:br w:type="textWrapping"/>
            </w:r>
            <w:r>
              <w:t xml:space="preserve">(1.58)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3.16</w:t>
              <w:br w:type="textWrapping"/>
            </w:r>
            <w:r>
              <w:t xml:space="preserve">(1.58)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2.01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Part-time employees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-0.68</w:t>
              <w:br w:type="textWrapping"/>
            </w:r>
            <w:r>
              <w:t xml:space="preserve">(1.50)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-0.60</w:t>
              <w:br w:type="textWrapping"/>
            </w:r>
            <w:r>
              <w:t xml:space="preserve">(1.50)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-0.45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Managers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-0.07</w:t>
              <w:br w:type="textWrapping"/>
            </w:r>
            <w:r>
              <w:t xml:space="preserve">(0.17)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-0.07</w:t>
              <w:br w:type="textWrapping"/>
            </w:r>
            <w:r>
              <w:t xml:space="preserve">(0.17)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-0.43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Headcount (managers + full-time + part-time)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2.41</w:t>
              <w:br w:type="textWrapping"/>
            </w:r>
            <w:r>
              <w:t xml:space="preserve">(1.49)</w:t>
            </w:r>
          </w:p>
        </w:tc>
        <w:tc>
          <w:tcPr>
            <w:tcW w:w="2340" w:type="dxa"/>
          </w:tcPr>
          <w:p>
            <w:pPr>
              <w:spacing w:after="0" w:lineRule="auto"/>
            </w:pPr>
            <w:r>
              <w:t xml:space="preserve">2.49</w:t>
              <w:br w:type="textWrapping"/>
            </w:r>
            <w:r>
              <w:t xml:space="preserve">(1.50)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1.62</w:t>
            </w:r>
          </w:p>
        </w:tc>
      </w:tr>
    </w:tbl>
    <w:p>
      <w:r>
        <w:t/>
      </w:r>
    </w:p>
    <w:p>
      <w:r>
        <w:t/>
      </w:r>
      <w:r>
        <w:t xml:space="preserve">Notes: Standard errors are shown in parentheses. Each entry is the ordinary-least-squares coefficient on the New Jersey dummy from a regression of the change in that employment measure on the dummy; it is the difference-in-differences for that measure. Column (i) includes only the New Jersey dummy; column (ii) adds controls for chain (KFC, Roy Rogers, Wendy's) and company ownership. Standard errors are heteroskedasticity-robust; column (i) is the regression analogue of the Welch (unequal-variance) standard error of Table 3. The sample is the balanced set of stores with employment data in both waves. FTE employment counts part-time workers as half a full-time worker; headcount counts them as one. Employment at permanently closed stores is set to zero and at temporarily closed stores is treated as missing. The t-statistic is the column (i) coefficient divided by its standard error.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