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UNIVERSIDAD DE SAN CARLOS DE GUATEMALA</w:t>
      </w:r>
    </w:p>
    <w:p>
      <w:pPr>
        <w:spacing w:after="60"/>
      </w:pPr>
      <w:r>
        <w:rPr>
          <w:rFonts w:ascii="Calibri" w:cs="Calibri" w:eastAsia="Calibri" w:hAnsi="Calibri"/>
          <w:color w:val="5B6573"/>
          <w:sz w:val="22"/>
          <w:szCs w:val="22"/>
        </w:rPr>
        <w:t xml:space="preserve">Facultad de Ingeniería · Escuela de Ciencias y Sistemas</w:t>
      </w:r>
    </w:p>
    <w:p>
      <w:pPr>
        <w:spacing w:after="700"/>
      </w:pPr>
      <w:r>
        <w:rPr>
          <w:rFonts w:ascii="Calibri" w:cs="Calibri" w:eastAsia="Calibri" w:hAnsi="Calibri"/>
          <w:color w:val="5B6573"/>
          <w:sz w:val="22"/>
          <w:szCs w:val="22"/>
        </w:rPr>
        <w:t xml:space="preserve">Sistemas Organizacionales y Gerenciales 2 · Segundo Semestre 2026</w:t>
      </w:r>
    </w:p>
    <w:p>
      <w:pPr>
        <w:pBdr>
          <w:bottom w:val="single" w:color="2F5D9B" w:sz="18" w:space="8"/>
        </w:pBdr>
        <w:spacing w:after="220"/>
      </w:pPr>
      <w:r>
        <w:rPr>
          <w:rFonts w:ascii="Calibri" w:cs="Calibri" w:eastAsia="Calibri" w:hAnsi="Calibri"/>
          <w:b/>
          <w:bCs/>
          <w:color w:val="2F5D9B"/>
          <w:sz w:val="24"/>
          <w:szCs w:val="24"/>
        </w:rPr>
        <w:t xml:space="preserve">MANUAL 1</w:t>
      </w:r>
    </w:p>
    <w:p>
      <w:pPr>
        <w:spacing w:after="160" w:line="240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Manual de instalación, uso y automatización</w:t>
      </w:r>
    </w:p>
    <w:p>
      <w:pPr>
        <w:spacing w:after="1400"/>
      </w:pPr>
      <w:r>
        <w:rPr>
          <w:rFonts w:ascii="Calibri" w:cs="Calibri" w:eastAsia="Calibri" w:hAnsi="Calibri"/>
          <w:color w:val="5B6573"/>
          <w:sz w:val="28"/>
          <w:szCs w:val="28"/>
        </w:rPr>
        <w:t xml:space="preserve">ERP Odoo 18, módulos operativos, carga masiva y RPA con UiPath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QuetzalMart, S.A.</w:t>
      </w:r>
    </w:p>
    <w:p>
      <w:pPr>
        <w:spacing w:after="700"/>
      </w:pPr>
      <w:r>
        <w:rPr>
          <w:rFonts w:ascii="Calibri" w:cs="Calibri" w:eastAsia="Calibri" w:hAnsi="Calibri"/>
          <w:color w:val="5B6573"/>
          <w:sz w:val="22"/>
          <w:szCs w:val="22"/>
        </w:rPr>
        <w:t xml:space="preserve">Implementación de ERP Odoo 18, portal web, gestión documental, analítica y RPA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Grupo 12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Guatemala, octubre de 2026</w:t>
      </w:r>
    </w:p>
    <w:p>
      <w:pPr>
        <w:spacing w:after="50"/>
        <w:sectPr>
          <w:pgSz w:w="12240" w:h="15840" w:orient="portrait"/>
          <w:pgMar w:top="1300" w:right="1300" w:bottom="1200" w:left="1300" w:header="600" w:footer="500" w:gutter="0"/>
          <w:pgNumType/>
          <w:docGrid w:linePitch="360"/>
        </w:sectPr>
      </w:pPr>
      <w:r>
        <w:rPr>
          <w:rFonts w:ascii="Calibri" w:cs="Calibri" w:eastAsia="Calibri" w:hAnsi="Calibri"/>
          <w:sz w:val="22"/>
          <w:szCs w:val="22"/>
        </w:rPr>
        <w:t xml:space="preserve">Versión 1.0</w:t>
      </w:r>
    </w:p>
    <w:p>
      <w:pPr>
        <w:pBdr>
          <w:bottom w:val="single" w:color="2F5D9B" w:sz="10" w:space="4"/>
        </w:pBdr>
        <w:spacing w:after="20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Contenido</w:t>
      </w:r>
    </w:p>
    <w:sdt>
      <w:sdtPr>
        <w:alias w:val="Contenido"/>
      </w:sdtPr>
      <w:sdtContent>
        <w:p>
          <w:pPr>
            <w:pStyle w:val="TOC1"/>
            <w:tabs>
              <w:tab w:val="right" w:pos="964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Introducción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2">
            <w:r>
              <w:t xml:space="preserve">Componentes de la solución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3">
            <w:r>
              <w:t xml:space="preserve">Datos cargados en el sistema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40" w:leader="dot"/>
            </w:tabs>
          </w:pPr>
          <w:hyperlink w:history="1" w:anchor="_Toc4">
            <w:r>
              <w:t xml:space="preserve">1. Instalación del sistema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5">
            <w:r>
              <w:t xml:space="preserve">1.1 Arquitectura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6">
            <w:r>
              <w:t xml:space="preserve">1.2 Requisitos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7">
            <w:r>
              <w:t xml:space="preserve">1.3 Crear la instancia EC2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8">
            <w:r>
              <w:t xml:space="preserve">1.4 Abrir los puertos (grupo de seguridad)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9">
            <w:r>
              <w:t xml:space="preserve">1.5 Preparar la máquina virtual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10">
            <w:r>
              <w:t xml:space="preserve">1.6 Configurar las variables de entorno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11">
            <w:r>
              <w:t xml:space="preserve">1.7 Levantar los servicios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12">
            <w:r>
              <w:t xml:space="preserve">1.8 Crear la base y cargar los datos iniciales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13">
            <w:r>
              <w:t xml:space="preserve">1.9 Acceso y cierre del gestor de bases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14">
            <w:r>
              <w:t xml:space="preserve">1.10 Acceso a la base de datos para las consultas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15">
            <w:r>
              <w:t xml:space="preserve">1.11 Instalación local para pruebas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16">
            <w:r>
              <w:t xml:space="preserve">1.12 Respaldo y restauración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17">
            <w:r>
              <w:t xml:space="preserve">1.13 Problemas frecuentes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18">
            <w:r>
              <w:t xml:space="preserve">1.14 Configuración posterior del ERP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40" w:leader="dot"/>
            </w:tabs>
          </w:pPr>
          <w:hyperlink w:history="1" w:anchor="_Toc19">
            <w:r>
              <w:t xml:space="preserve">2. Funcionamiento de cada módulo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20">
            <w:r>
              <w:t xml:space="preserve">2.1 Empleados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21">
            <w:r>
              <w:t xml:space="preserve">2.2 Compras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22">
            <w:r>
              <w:t xml:space="preserve">2.3 Inventario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23">
            <w:r>
              <w:t xml:space="preserve">2.4 Facturación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24">
            <w:r>
              <w:t xml:space="preserve">2.5 Ventas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25">
            <w:r>
              <w:t xml:space="preserve">2.6 Contactos y CRM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26">
            <w:r>
              <w:t xml:space="preserve">2.7 Sitio web y eCommerce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27">
            <w:r>
              <w:t xml:space="preserve">2.8 Google Analytics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28">
            <w:r>
              <w:t xml:space="preserve">2.9 Marketing por correo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29">
            <w:r>
              <w:t xml:space="preserve">2.10 Gestión documental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40" w:leader="dot"/>
            </w:tabs>
          </w:pPr>
          <w:hyperlink w:history="1" w:anchor="_Toc30">
            <w:r>
              <w:t xml:space="preserve">3. Carga masiva de información y operación de los módulos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31">
            <w:r>
              <w:t xml:space="preserve">3.1 Estrategia de carga masiva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32">
            <w:r>
              <w:t xml:space="preserve">3.2 Carga masiva con «Importar registros» (plantillas Excel)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33">
            <w:r>
              <w:t xml:space="preserve">3.3 Carga inicial con el programa seed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34">
            <w:r>
              <w:t xml:space="preserve">3.4 Cómo se generan las órdenes de compra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35">
            <w:r>
              <w:t xml:space="preserve">3.5 Cómo se generan las ventas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36">
            <w:r>
              <w:t xml:space="preserve">3.6 Manejo de clientes en el CRM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37">
            <w:r>
              <w:t xml:space="preserve">3.7 Administración de empleados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38">
            <w:r>
              <w:t xml:space="preserve">3.8 Generación de facturas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39">
            <w:r>
              <w:t xml:space="preserve">3.9 Carga y clasificación de documentos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40">
            <w:r>
              <w:t xml:space="preserve">3.10 Consultas SQL de verificación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40" w:leader="dot"/>
            </w:tabs>
          </w:pPr>
          <w:hyperlink w:history="1" w:anchor="_Toc41">
            <w:r>
              <w:t xml:space="preserve">4. Automatización con RPA (UiPath)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42">
            <w:r>
              <w:t xml:space="preserve">4.1 El problema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43">
            <w:r>
              <w:t xml:space="preserve">4.2 Objetivo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44">
            <w:r>
              <w:t xml:space="preserve">4.3 Requisitos y entorno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45">
            <w:r>
              <w:t xml:space="preserve">4.4 Estructura de carpetas y regla de reconocimiento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46">
            <w:r>
              <w:t xml:space="preserve">4.5 Construcción del robot paso a paso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47">
            <w:r>
              <w:t xml:space="preserve">4.6 Archivos de salida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48">
            <w:r>
              <w:t xml:space="preserve">4.7 Problemas encontrados y soluciones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49">
            <w:r>
              <w:t xml:space="preserve">4.8 Cómo ejecutar el robot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50">
            <w:r>
              <w:t xml:space="preserve">4.9 Ventajas de implementar el RPA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51">
            <w:r>
              <w:t xml:space="preserve">4.10 Limitaciones y riesgos conocidos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pgSz w:w="12240" w:h="15840" w:orient="portrait"/>
          <w:pgMar w:top="1300" w:right="1300" w:bottom="1200" w:left="1300" w:header="600" w:footer="500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color w:val="5B6573"/>
          <w:sz w:val="17"/>
          <w:szCs w:val="17"/>
        </w:rPr>
        <w:t xml:space="preserve">Si el índice aparece vacío, haga clic derecho sobre él y elija «Actualizar campo» (o presione F9).</w:t>
      </w:r>
    </w:p>
    <w:p>
      <w:pPr>
        <w:pStyle w:val="Heading1"/>
      </w:pPr>
      <w:bookmarkStart w:name="_Toc1" w:id="1"/>
      <w:r>
        <w:rPr>
          <w:rFonts w:ascii="Calibri" w:cs="Calibri" w:eastAsia="Calibri" w:hAnsi="Calibri"/>
        </w:rPr>
        <w:t xml:space="preserve">Introducción</w:t>
      </w:r>
      <w:bookmarkEnd w:id="1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QuetzalMart, S.A. es una cadena de tiendas de alimentos, bebidas y suministros de uso diario, con sucursales en Guatemala, México y El Salvador. Al crecer, la empresa necesitaba un sistema que unificara sus ventas, compras, empleados y facturas, una tienda en línea conectada a ese sistema, un repositorio documental y una forma de automatizar tareas repetitivas. Este manual describe cómo se instaló y cómo se usa la solución que se presenta en el proyecto.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documento sigue las cuatro secciones solicitadas: (1) instalación del sistema, (2) funcionamiento de cada módulo, (3) carga masiva de información y generación de órdenes, ventas, clientes, empleados y facturas, y (4) construcción paso a paso del RPA con UiPath y sus ventajas. Los procesos se representan con diagramas de flujo en el Manual 2, y el análisis de Google Analytics se desarrolla en el Manual 3.</w:t>
      </w:r>
    </w:p>
    <w:p>
      <w:pPr>
        <w:pStyle w:val="Heading2"/>
      </w:pPr>
      <w:bookmarkStart w:name="_Toc2" w:id="2"/>
      <w:r>
        <w:rPr>
          <w:rFonts w:ascii="Calibri" w:cs="Calibri" w:eastAsia="Calibri" w:hAnsi="Calibri"/>
        </w:rPr>
        <w:t xml:space="preserve">Componentes de la solución</w:t>
      </w:r>
      <w:bookmarkEnd w:id="2"/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3740"/>
      </w:tblGrid>
      <w:tr>
        <w:trPr>
          <w:cantSplit/>
          <w:tblHeader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37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ERP, sitio web, eCommerce y CRM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Odoo 18 Community</w:t>
            </w:r>
          </w:p>
        </w:tc>
        <w:tc>
          <w:tcPr>
            <w:tcW w:type="dxa" w:w="37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Ventas, compras, inventario, facturación, empleados, tienda en línea y correos.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37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Almacena todos los datos del ERP; se consulta con SQL.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Infraestructura en la nube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AWS EC2 con Docker Compose y nginx</w:t>
            </w:r>
          </w:p>
        </w:tc>
        <w:tc>
          <w:tcPr>
            <w:tcW w:type="dxa" w:w="37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Aloja Odoo y la base de datos en la misma máquina virtual.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Gestión documental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Módulo OCA «dms»</w:t>
            </w:r>
          </w:p>
        </w:tc>
        <w:tc>
          <w:tcPr>
            <w:tcW w:type="dxa" w:w="37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Repositorio de contratos y facturas, con carpetas y etiquetas.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Analítica web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Google Analytics 4</w:t>
            </w:r>
          </w:p>
        </w:tc>
        <w:tc>
          <w:tcPr>
            <w:tcW w:type="dxa" w:w="37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Eventos de comercio electrónico, segmentos y audiencias.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Automatización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UiPath Studio (RPA)</w:t>
            </w:r>
          </w:p>
        </w:tc>
        <w:tc>
          <w:tcPr>
            <w:tcW w:type="dxa" w:w="37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Consolida archivos de Excel y los carga en Odoo.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1.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Componentes de la solución.</w:t>
      </w:r>
    </w:p>
    <w:p>
      <w:pPr>
        <w:pStyle w:val="Heading2"/>
      </w:pPr>
      <w:bookmarkStart w:name="_Toc3" w:id="3"/>
      <w:r>
        <w:rPr>
          <w:rFonts w:ascii="Calibri" w:cs="Calibri" w:eastAsia="Calibri" w:hAnsi="Calibri"/>
        </w:rPr>
        <w:t xml:space="preserve">Datos cargados en el sistema</w:t>
      </w:r>
      <w:bookmarkEnd w:id="3"/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40"/>
      </w:tblGrid>
      <w:tr>
        <w:trPr>
          <w:cantSplit/>
          <w:tblHeader/>
        </w:trP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Requisito del proyecto</w:t>
            </w:r>
          </w:p>
        </w:tc>
        <w:tc>
          <w:tcPr>
            <w:tcW w:type="dxa" w:w="3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Registrado en el sistema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Ventas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 menos 150 ventas con distintos productos y clientes</w:t>
            </w:r>
          </w:p>
        </w:tc>
        <w:tc>
          <w:tcPr>
            <w:tcW w:type="dxa" w:w="3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Más de 150 órdenes de venta confirmadas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Cotizaciones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 menos 20 a clientes y proveedores</w:t>
            </w:r>
          </w:p>
        </w:tc>
        <w:tc>
          <w:tcPr>
            <w:tcW w:type="dxa" w:w="3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 cotizaciones activas (auditoría E2E) y 12 solicitudes a proveedores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Empleados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 menos 35 empleados, 6 cargos y 5 departamentos</w:t>
            </w:r>
          </w:p>
        </w:tc>
        <w:tc>
          <w:tcPr>
            <w:tcW w:type="dxa" w:w="3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 empleados, 8 cargos y 5 departamentos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Compras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 menos 100 compras con sus facturas</w:t>
            </w:r>
          </w:p>
        </w:tc>
        <w:tc>
          <w:tcPr>
            <w:tcW w:type="dxa" w:w="3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105 compras confirmadas, recibidas y facturadas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Materiales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 menos 60 materiales para las sucursales</w:t>
            </w:r>
          </w:p>
        </w:tc>
        <w:tc>
          <w:tcPr>
            <w:tcW w:type="dxa" w:w="3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 materiales en 8 categorías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Facturas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 menos 50 facturas (compras o ventas)</w:t>
            </w:r>
          </w:p>
        </w:tc>
        <w:tc>
          <w:tcPr>
            <w:tcW w:type="dxa" w:w="3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105 facturas de proveedor y 59 de clientes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Gestión documental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facturas, 5 contratos de outsourcing y 5 contratos de empleados</w:t>
            </w:r>
          </w:p>
        </w:tc>
        <w:tc>
          <w:tcPr>
            <w:tcW w:type="dxa" w:w="3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 archivos clasificados con etiquetas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2.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Requisitos del proyecto y datos registrados.</w:t>
      </w:r>
    </w:p>
    <w:p>
      <w:pPr>
        <w:pStyle w:val="Heading1"/>
        <w:pageBreakBefore/>
      </w:pPr>
      <w:bookmarkStart w:name="_Toc4" w:id="4"/>
      <w:r>
        <w:rPr>
          <w:rFonts w:ascii="Calibri" w:cs="Calibri" w:eastAsia="Calibri" w:hAnsi="Calibri"/>
        </w:rPr>
        <w:t xml:space="preserve">1. Instalación del sistema</w:t>
      </w:r>
      <w:bookmarkEnd w:id="4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solución se despliega con Docker Compose sobre una máquina virtual de AWS EC2: Odoo 18 y PostgreSQL 16 corren en contenedores de la misma máquina y nginx publica el sitio por el puerto 80. El mismo proyecto funciona en una computadora local para pruebas, cambiando únicamente el archivo de configuración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.env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</w:pPr>
      <w:bookmarkStart w:name="_Toc5" w:id="5"/>
      <w:r>
        <w:rPr>
          <w:rFonts w:ascii="Calibri" w:cs="Calibri" w:eastAsia="Calibri" w:hAnsi="Calibri"/>
        </w:rPr>
        <w:t xml:space="preserve">1.1 Arquitectura</w:t>
      </w:r>
      <w:bookmarkEnd w:id="5"/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1900"/>
        <w:gridCol w:w="2240"/>
      </w:tblGrid>
      <w:tr>
        <w:trPr>
          <w:cantSplit/>
          <w:tblHeader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Imagen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Puerto en la EC2</w:t>
            </w:r>
          </w:p>
        </w:tc>
        <w:tc>
          <w:tcPr>
            <w:tcW w:type="dxa" w:w="2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Odoo 18 (ERP, sitio web, eCommerce, CRM)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odoo:18.0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8069 (interno)</w:t>
            </w:r>
          </w:p>
        </w:tc>
        <w:tc>
          <w:tcPr>
            <w:tcW w:type="dxa" w:w="2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Aplicación principal.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postgres:16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5432 (solo local)</w:t>
            </w:r>
          </w:p>
        </w:tc>
        <w:tc>
          <w:tcPr>
            <w:tcW w:type="dxa" w:w="2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de datos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quetzalmart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nginx (perfil proxy)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nginx:1.27-alpine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 (público)</w:t>
            </w:r>
          </w:p>
        </w:tc>
        <w:tc>
          <w:tcPr>
            <w:tcW w:type="dxa" w:w="2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Proxy inverso hacia Odoo.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Adminer (perfil tools)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adminer:4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18081 (túnel SSH)</w:t>
            </w:r>
          </w:p>
        </w:tc>
        <w:tc>
          <w:tcPr>
            <w:tcW w:type="dxa" w:w="2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 SQL web opcional.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3.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Servicios del despliegue.</w:t>
      </w:r>
    </w:p>
    <w:p>
      <w:pPr>
        <w:pStyle w:val="Heading2"/>
      </w:pPr>
      <w:bookmarkStart w:name="_Toc6" w:id="6"/>
      <w:r>
        <w:rPr>
          <w:rFonts w:ascii="Calibri" w:cs="Calibri" w:eastAsia="Calibri" w:hAnsi="Calibri"/>
        </w:rPr>
        <w:t xml:space="preserve">1.2 Requisitos</w:t>
      </w:r>
      <w:bookmarkEnd w:id="6"/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Cuenta de AWS con permiso para crear instancias EC2, grupos de seguridad e IP elástica.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Instancia con al menos 2 GiB de memoria (tipo t3.small o superior) y 25 GiB de disco.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Cliente SSH y la llave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.pem</w:t>
      </w:r>
      <w:r>
        <w:rPr>
          <w:rFonts w:ascii="Calibri" w:cs="Calibri" w:eastAsia="Calibri" w:hAnsi="Calibri"/>
          <w:sz w:val="21"/>
          <w:szCs w:val="21"/>
        </w:rPr>
        <w:t xml:space="preserve"> de la instancia.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El proyecto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quetzalmart</w:t>
      </w:r>
      <w:r>
        <w:rPr>
          <w:rFonts w:ascii="Calibri" w:cs="Calibri" w:eastAsia="Calibri" w:hAnsi="Calibri"/>
          <w:sz w:val="21"/>
          <w:szCs w:val="21"/>
        </w:rPr>
        <w:t xml:space="preserve"> (repositorio privado del equipo o archivo ZIP).</w:t>
      </w:r>
    </w:p>
    <w:p>
      <w:pPr>
        <w:pStyle w:val="Heading2"/>
      </w:pPr>
      <w:bookmarkStart w:name="_Toc7" w:id="7"/>
      <w:r>
        <w:rPr>
          <w:rFonts w:ascii="Calibri" w:cs="Calibri" w:eastAsia="Calibri" w:hAnsi="Calibri"/>
        </w:rPr>
        <w:t xml:space="preserve">1.3 Crear la instancia EC2</w:t>
      </w:r>
      <w:bookmarkEnd w:id="7"/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40"/>
      </w:tblGrid>
      <w:tr>
        <w:trPr>
          <w:cantSplit/>
          <w:tblHeader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6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quetzalmart-erp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Sistema operativo (AMI)</w:t>
            </w:r>
          </w:p>
        </w:tc>
        <w:tc>
          <w:tcPr>
            <w:tcW w:type="dxa" w:w="6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Amazon Linux 2023 (usuario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ec2-user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 También es compatible Ubuntu 24.04 (usuario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Tipo de instancia</w:t>
            </w:r>
          </w:p>
        </w:tc>
        <w:tc>
          <w:tcPr>
            <w:tcW w:type="dxa" w:w="6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t3.small (2 vCPU, 2 GiB) como mínimo; t3.medium si el presupuesto lo permite.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 de llaves</w:t>
            </w:r>
          </w:p>
        </w:tc>
        <w:tc>
          <w:tcPr>
            <w:tcW w:type="dxa" w:w="6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Crear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quetzalmart-key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(.pem) y compartirla solo con el equipo.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Almacenamiento</w:t>
            </w:r>
          </w:p>
        </w:tc>
        <w:tc>
          <w:tcPr>
            <w:tcW w:type="dxa" w:w="6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 GiB gp3.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IP</w:t>
            </w:r>
          </w:p>
        </w:tc>
        <w:tc>
          <w:tcPr>
            <w:tcW w:type="dxa" w:w="6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Asignar una IP elástica para que la dirección no cambie al detener la instancia.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4.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Parámetros de la instancia.</w:t>
      </w:r>
    </w:p>
    <w:p>
      <w:pPr>
        <w:pBdr>
          <w:left w:val="single" w:color="2F5D9B" w:sz="18" w:space="8"/>
        </w:pBdr>
        <w:shd w:fill="EAF1FB" w:color="auto" w:val="clear"/>
        <w:spacing w:after="160" w:before="60" w:line="264"/>
        <w:ind w:left="160" w:right="12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Importante. </w:t>
      </w:r>
      <w:r>
        <w:rPr>
          <w:rFonts w:ascii="Calibri" w:cs="Calibri" w:eastAsia="Calibri" w:hAnsi="Calibri"/>
          <w:sz w:val="20"/>
          <w:szCs w:val="20"/>
        </w:rPr>
        <w:t xml:space="preserve">Con una instancia de 1 GiB, Odoo se queda sin memoria al instalar los módulos aunque exista espacio de intercambio (swap).</w:t>
      </w:r>
    </w:p>
    <w:p>
      <w:pPr>
        <w:pStyle w:val="Heading2"/>
      </w:pPr>
      <w:bookmarkStart w:name="_Toc8" w:id="8"/>
      <w:r>
        <w:rPr>
          <w:rFonts w:ascii="Calibri" w:cs="Calibri" w:eastAsia="Calibri" w:hAnsi="Calibri"/>
        </w:rPr>
        <w:t xml:space="preserve">1.4 Abrir los puertos (grupo de seguridad)</w:t>
      </w:r>
      <w:bookmarkEnd w:id="8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EC2 → Security Groups</w:t>
      </w:r>
      <w:r>
        <w:rPr>
          <w:rFonts w:ascii="Calibri" w:cs="Calibri" w:eastAsia="Calibri" w:hAnsi="Calibri"/>
          <w:sz w:val="21"/>
          <w:szCs w:val="21"/>
        </w:rPr>
        <w:t xml:space="preserve"> se crea el grupo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quetzalmart-sg</w:t>
      </w:r>
      <w:r>
        <w:rPr>
          <w:rFonts w:ascii="Calibri" w:cs="Calibri" w:eastAsia="Calibri" w:hAnsi="Calibri"/>
          <w:sz w:val="21"/>
          <w:szCs w:val="21"/>
        </w:rPr>
        <w:t xml:space="preserve"> y se agregan estas reglas de entrada:</w:t>
      </w:r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800"/>
        <w:gridCol w:w="3240"/>
      </w:tblGrid>
      <w:tr>
        <w:trPr>
          <w:cantSplit/>
          <w:tblHeader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Puerto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Origen</w:t>
            </w:r>
          </w:p>
        </w:tc>
        <w:tc>
          <w:tcPr>
            <w:tcW w:type="dxa" w:w="3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SSH</w:t>
            </w:r>
          </w:p>
        </w:tc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IP de cada integrante (/32)</w:t>
            </w:r>
          </w:p>
        </w:tc>
        <w:tc>
          <w:tcPr>
            <w:tcW w:type="dxa" w:w="3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Administrar la máquina y ejecutar consultas.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</w:t>
            </w:r>
          </w:p>
        </w:tc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0.0.0.0/0</w:t>
            </w:r>
          </w:p>
        </w:tc>
        <w:tc>
          <w:tcPr>
            <w:tcW w:type="dxa" w:w="3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Sitio web, tienda en línea y ERP.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 (opcional)</w:t>
            </w:r>
          </w:p>
        </w:tc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443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0.0.0.0/0</w:t>
            </w:r>
          </w:p>
        </w:tc>
        <w:tc>
          <w:tcPr>
            <w:tcW w:type="dxa" w:w="3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Solo si se configura dominio y certificado.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PostgreSQL (opcional)</w:t>
            </w:r>
          </w:p>
        </w:tc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5432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IP del equipo (/32)</w:t>
            </w:r>
          </w:p>
        </w:tc>
        <w:tc>
          <w:tcPr>
            <w:tcW w:type="dxa" w:w="3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Acceso directo con DBeaver; se recomienda el túnel SSH.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5.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Reglas de entrada del grupo de seguridad.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base de datos nunca se abre a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0.0.0.0/0</w:t>
      </w:r>
      <w:r>
        <w:rPr>
          <w:rFonts w:ascii="Calibri" w:cs="Calibri" w:eastAsia="Calibri" w:hAnsi="Calibri"/>
          <w:sz w:val="21"/>
          <w:szCs w:val="21"/>
        </w:rPr>
        <w:t xml:space="preserve">. La salida se deja con la regla por defecto, porque Odoo necesita salir a internet para el correo (puerto 587), Google Analytics y las pasarelas de pago; AWS bloquea el puerto 25.</w:t>
      </w:r>
    </w:p>
    <w:p>
      <w:pPr>
        <w:pStyle w:val="Heading2"/>
      </w:pPr>
      <w:bookmarkStart w:name="_Toc9" w:id="9"/>
      <w:r>
        <w:rPr>
          <w:rFonts w:ascii="Calibri" w:cs="Calibri" w:eastAsia="Calibri" w:hAnsi="Calibri"/>
        </w:rPr>
        <w:t xml:space="preserve">1.5 Preparar la máquina virtual</w:t>
      </w:r>
      <w:bookmarkEnd w:id="9"/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Conectarse por SSH: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ssh -i quetzalmart-key.pem ec2-user@IP_ELASTICA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Obtener el proyecto: clonar el repositorio privado, o subir el ZIP con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scp</w:t>
      </w:r>
      <w:r>
        <w:rPr>
          <w:rFonts w:ascii="Calibri" w:cs="Calibri" w:eastAsia="Calibri" w:hAnsi="Calibri"/>
          <w:sz w:val="21"/>
          <w:szCs w:val="21"/>
        </w:rPr>
        <w:t xml:space="preserve"> y descomprimirlo.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Ejecutar el script de preparación, que instala Docker y el plugin de Compose, crea 2 GB de swap y fija la zona horaria de Guatemala.</w:t>
      </w:r>
    </w:p>
    <w:p>
      <w:pPr>
        <w:pBdr>
          <w:left w:val="single" w:color="2F5D9B" w:sz="12" w:space="6"/>
        </w:pBdr>
        <w:shd w:fill="F3F5F8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clone https://github.com/USUARIO/quetzalmart.git &amp;&amp; cd quetzalmart</w:t>
      </w:r>
    </w:p>
    <w:p>
      <w:pPr>
        <w:pBdr>
          <w:left w:val="single" w:color="2F5D9B" w:sz="12" w:space="6"/>
        </w:pBdr>
        <w:shd w:fill="F3F5F8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bash scripts/ec2-bootstrap.sh</w:t>
      </w:r>
    </w:p>
    <w:p>
      <w:pPr>
        <w:pBdr>
          <w:left w:val="single" w:color="2F5D9B" w:sz="12" w:space="6"/>
        </w:pBdr>
        <w:shd w:fill="F3F5F8" w:color="auto" w:val="clear"/>
        <w:spacing w:after="14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newgrp docker</w:t>
      </w:r>
    </w:p>
    <w:p>
      <w:pPr>
        <w:pStyle w:val="Heading2"/>
      </w:pPr>
      <w:bookmarkStart w:name="_Toc10" w:id="10"/>
      <w:r>
        <w:rPr>
          <w:rFonts w:ascii="Calibri" w:cs="Calibri" w:eastAsia="Calibri" w:hAnsi="Calibri"/>
        </w:rPr>
        <w:t xml:space="preserve">1.6 Configurar las variables de entorno</w:t>
      </w:r>
      <w:bookmarkEnd w:id="10"/>
    </w:p>
    <w:p>
      <w:pPr>
        <w:pBdr>
          <w:left w:val="single" w:color="2F5D9B" w:sz="12" w:space="6"/>
        </w:pBdr>
        <w:shd w:fill="F3F5F8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cp .env.ec2.example .env</w:t>
      </w:r>
    </w:p>
    <w:p>
      <w:pPr>
        <w:pBdr>
          <w:left w:val="single" w:color="2F5D9B" w:sz="12" w:space="6"/>
        </w:pBdr>
        <w:shd w:fill="F3F5F8" w:color="auto" w:val="clear"/>
        <w:spacing w:after="14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nano .env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Se cambian como mínimo estas variables. Las contraseñas deben usar solo letras, números, guion y guion bajo, y no se guardan nunca en el repositorio (el archivo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.env</w:t>
      </w:r>
      <w:r>
        <w:rPr>
          <w:rFonts w:ascii="Calibri" w:cs="Calibri" w:eastAsia="Calibri" w:hAnsi="Calibri"/>
          <w:sz w:val="21"/>
          <w:szCs w:val="21"/>
        </w:rPr>
        <w:t xml:space="preserve"> está excluido).</w:t>
      </w:r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40"/>
      </w:tblGrid>
      <w:tr>
        <w:trPr>
          <w:cantSplit/>
          <w:tblHeader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POSTGRES_PASSWORD</w:t>
            </w:r>
          </w:p>
        </w:tc>
        <w:tc>
          <w:tcPr>
            <w:tcW w:type="dxa" w:w="6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Contraseña del usuario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odoo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PostgreSQL.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ODOO_MASTER_PASSWORD</w:t>
            </w:r>
          </w:p>
        </w:tc>
        <w:tc>
          <w:tcPr>
            <w:tcW w:type="dxa" w:w="6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Contraseña maestra del gestor de bases de Odoo.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ODOO_ADMIN_PASSWORD</w:t>
            </w:r>
          </w:p>
        </w:tc>
        <w:tc>
          <w:tcPr>
            <w:tcW w:type="dxa" w:w="6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Contraseña del usuario administrador de Odoo.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ODOO_PUBLIC_URL</w:t>
            </w:r>
          </w:p>
        </w:tc>
        <w:tc>
          <w:tcPr>
            <w:tcW w:type="dxa" w:w="6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Dirección pública, por ejemplo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http://IP_ELASTICA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ODOO_PROXY_MODE</w:t>
            </w:r>
          </w:p>
        </w:tc>
        <w:tc>
          <w:tcPr>
            <w:tcW w:type="dxa" w:w="6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True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: obligatorio al operar detrás de nginx.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ODOO_LIST_DB</w:t>
            </w:r>
          </w:p>
        </w:tc>
        <w:tc>
          <w:tcPr>
            <w:tcW w:type="dxa" w:w="6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True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mientras se crea la base; luego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False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6.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Variables que se deben personalizar.</w:t>
      </w:r>
    </w:p>
    <w:p>
      <w:pPr>
        <w:pStyle w:val="Heading2"/>
      </w:pPr>
      <w:bookmarkStart w:name="_Toc11" w:id="11"/>
      <w:r>
        <w:rPr>
          <w:rFonts w:ascii="Calibri" w:cs="Calibri" w:eastAsia="Calibri" w:hAnsi="Calibri"/>
        </w:rPr>
        <w:t xml:space="preserve">1.7 Levantar los servicios</w:t>
      </w:r>
      <w:bookmarkEnd w:id="11"/>
    </w:p>
    <w:p>
      <w:pPr>
        <w:pBdr>
          <w:left w:val="single" w:color="2F5D9B" w:sz="12" w:space="6"/>
        </w:pBdr>
        <w:shd w:fill="F3F5F8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docker compose --profile proxy up -d      # base de datos + Odoo + nginx</w:t>
      </w:r>
    </w:p>
    <w:p>
      <w:pPr>
        <w:pBdr>
          <w:left w:val="single" w:color="2F5D9B" w:sz="12" w:space="6"/>
        </w:pBdr>
        <w:shd w:fill="F3F5F8" w:color="auto" w:val="clear"/>
        <w:spacing w:after="14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docker compose ps                         # esperar a que odoo esté "healthy"</w:t>
      </w:r>
    </w:p>
    <w:p>
      <w:pPr>
        <w:pStyle w:val="Heading2"/>
      </w:pPr>
      <w:bookmarkStart w:name="_Toc12" w:id="12"/>
      <w:r>
        <w:rPr>
          <w:rFonts w:ascii="Calibri" w:cs="Calibri" w:eastAsia="Calibri" w:hAnsi="Calibri"/>
        </w:rPr>
        <w:t xml:space="preserve">1.8 Crear la base y cargar los datos iniciales</w:t>
      </w:r>
      <w:bookmarkEnd w:id="12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perfil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seed</w:t>
      </w:r>
      <w:r>
        <w:rPr>
          <w:rFonts w:ascii="Calibri" w:cs="Calibri" w:eastAsia="Calibri" w:hAnsi="Calibri"/>
          <w:sz w:val="21"/>
          <w:szCs w:val="21"/>
        </w:rPr>
        <w:t xml:space="preserve"> crea la base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quetzalmart</w:t>
      </w:r>
      <w:r>
        <w:rPr>
          <w:rFonts w:ascii="Calibri" w:cs="Calibri" w:eastAsia="Calibri" w:hAnsi="Calibri"/>
          <w:sz w:val="21"/>
          <w:szCs w:val="21"/>
        </w:rPr>
        <w:t xml:space="preserve"> (idioma español, país Guatemala, moneda GTQ), instala los módulos necesarios y carga los datos administrativos. Tarda entre 8 y 12 minutos la primera vez y es idempotente: si se ejecuta de nuevo, solo completa lo que falte.</w:t>
      </w:r>
    </w:p>
    <w:p>
      <w:pPr>
        <w:pBdr>
          <w:left w:val="single" w:color="2F5D9B" w:sz="12" w:space="6"/>
        </w:pBdr>
        <w:shd w:fill="F3F5F8" w:color="auto" w:val="clear"/>
        <w:spacing w:after="14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docker compose --profile seed run --rm seed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Al terminar, el programa muestra un resumen con cada meta cumplida y genera la carpeta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facturas_pdf/</w:t>
      </w:r>
      <w:r>
        <w:rPr>
          <w:rFonts w:ascii="Calibri" w:cs="Calibri" w:eastAsia="Calibri" w:hAnsi="Calibri"/>
          <w:sz w:val="21"/>
          <w:szCs w:val="21"/>
        </w:rPr>
        <w:t xml:space="preserve"> con los PDF de las facturas.</w:t>
      </w:r>
    </w:p>
    <w:p>
      <w:pPr>
        <w:pStyle w:val="Heading2"/>
      </w:pPr>
      <w:bookmarkStart w:name="_Toc13" w:id="13"/>
      <w:r>
        <w:rPr>
          <w:rFonts w:ascii="Calibri" w:cs="Calibri" w:eastAsia="Calibri" w:hAnsi="Calibri"/>
        </w:rPr>
        <w:t xml:space="preserve">1.9 Acceso y cierre del gestor de bases</w:t>
      </w:r>
      <w:bookmarkEnd w:id="13"/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Abrir en el navegador la dirección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http://IP_ELASTICA</w:t>
      </w:r>
      <w:r>
        <w:rPr>
          <w:rFonts w:ascii="Calibri" w:cs="Calibri" w:eastAsia="Calibri" w:hAnsi="Calibri"/>
          <w:sz w:val="21"/>
          <w:szCs w:val="21"/>
        </w:rPr>
        <w:t xml:space="preserve"> e iniciar sesión con el usuario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admin</w:t>
      </w:r>
      <w:r>
        <w:rPr>
          <w:rFonts w:ascii="Calibri" w:cs="Calibri" w:eastAsia="Calibri" w:hAnsi="Calibri"/>
          <w:sz w:val="21"/>
          <w:szCs w:val="21"/>
        </w:rPr>
        <w:t xml:space="preserve"> y la contraseña de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ODOO_ADMIN_PASSWORD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Verificar que aparezcan las aplicaciones instaladas: Contactos, Empleados, Compras, Inventario, Facturación, Ventas, CRM, Sitio web, Email Marketing y Documentos.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Cerrar el gestor de bases para que nadie pueda crear o borrar bases desde la web: cambiar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ODOO_LIST_DB=False</w:t>
      </w:r>
      <w:r>
        <w:rPr>
          <w:rFonts w:ascii="Calibri" w:cs="Calibri" w:eastAsia="Calibri" w:hAnsi="Calibri"/>
          <w:sz w:val="21"/>
          <w:szCs w:val="21"/>
        </w:rPr>
        <w:t xml:space="preserve"> en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.env</w:t>
      </w:r>
      <w:r>
        <w:rPr>
          <w:rFonts w:ascii="Calibri" w:cs="Calibri" w:eastAsia="Calibri" w:hAnsi="Calibri"/>
          <w:sz w:val="21"/>
          <w:szCs w:val="21"/>
        </w:rPr>
        <w:t xml:space="preserve"> y recrear Odoo con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docker compose --profile proxy up -d odoo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</w:pPr>
      <w:bookmarkStart w:name="_Toc14" w:id="14"/>
      <w:r>
        <w:rPr>
          <w:rFonts w:ascii="Calibri" w:cs="Calibri" w:eastAsia="Calibri" w:hAnsi="Calibri"/>
        </w:rPr>
        <w:t xml:space="preserve">1.10 Acceso a la base de datos para las consultas</w:t>
      </w:r>
      <w:bookmarkEnd w:id="14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base de datos también está en la nube, dentro de la misma instancia. Se consulta de tres maneras:</w:t>
      </w:r>
    </w:p>
    <w:p>
      <w:pPr>
        <w:pBdr>
          <w:left w:val="single" w:color="2F5D9B" w:sz="12" w:space="6"/>
        </w:pBdr>
        <w:shd w:fill="F3F5F8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1) Desde la EC2, con todas las consultas de la calificación</w:t>
      </w:r>
    </w:p>
    <w:p>
      <w:pPr>
        <w:pBdr>
          <w:left w:val="single" w:color="2F5D9B" w:sz="12" w:space="6"/>
        </w:pBdr>
        <w:shd w:fill="F3F5F8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docker compose exec db psql -U odoo -d quetzalmart -f /sql/consultas_calificacion.sql</w:t>
      </w:r>
    </w:p>
    <w:p>
      <w:pPr>
        <w:pBdr>
          <w:left w:val="single" w:color="2F5D9B" w:sz="12" w:space="6"/>
        </w:pBdr>
        <w:shd w:fill="F3F5F8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left w:val="single" w:color="2F5D9B" w:sz="12" w:space="6"/>
        </w:pBdr>
        <w:shd w:fill="F3F5F8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2) Consola interactiva</w:t>
      </w:r>
    </w:p>
    <w:p>
      <w:pPr>
        <w:pBdr>
          <w:left w:val="single" w:color="2F5D9B" w:sz="12" w:space="6"/>
        </w:pBdr>
        <w:shd w:fill="F3F5F8" w:color="auto" w:val="clear"/>
        <w:spacing w:after="14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docker compose exec db psql -U odoo -d quetzalmart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DBeaver o pgAdmin</w:t>
      </w:r>
      <w:r>
        <w:rPr>
          <w:rFonts w:ascii="Calibri" w:cs="Calibri" w:eastAsia="Calibri" w:hAnsi="Calibri"/>
          <w:sz w:val="21"/>
          <w:szCs w:val="21"/>
        </w:rPr>
        <w:t xml:space="preserve"> mediante túnel SSH: host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localhost</w:t>
      </w:r>
      <w:r>
        <w:rPr>
          <w:rFonts w:ascii="Calibri" w:cs="Calibri" w:eastAsia="Calibri" w:hAnsi="Calibri"/>
          <w:sz w:val="21"/>
          <w:szCs w:val="21"/>
        </w:rPr>
        <w:t xml:space="preserve">, puerto 5432, base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quetzalmart</w:t>
      </w:r>
      <w:r>
        <w:rPr>
          <w:rFonts w:ascii="Calibri" w:cs="Calibri" w:eastAsia="Calibri" w:hAnsi="Calibri"/>
          <w:sz w:val="21"/>
          <w:szCs w:val="21"/>
        </w:rPr>
        <w:t xml:space="preserve">, usuario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odoo</w:t>
      </w:r>
      <w:r>
        <w:rPr>
          <w:rFonts w:ascii="Calibri" w:cs="Calibri" w:eastAsia="Calibri" w:hAnsi="Calibri"/>
          <w:sz w:val="21"/>
          <w:szCs w:val="21"/>
        </w:rPr>
        <w:t xml:space="preserve">, y en la pestaña SSH la dirección de la EC2 con la llave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.pem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Adminer</w:t>
      </w:r>
      <w:r>
        <w:rPr>
          <w:rFonts w:ascii="Calibri" w:cs="Calibri" w:eastAsia="Calibri" w:hAnsi="Calibri"/>
          <w:sz w:val="21"/>
          <w:szCs w:val="21"/>
        </w:rPr>
        <w:t xml:space="preserve"> (opcional):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docker compose --profile tools up -d adminer</w:t>
      </w:r>
      <w:r>
        <w:rPr>
          <w:rFonts w:ascii="Calibri" w:cs="Calibri" w:eastAsia="Calibri" w:hAnsi="Calibri"/>
          <w:sz w:val="21"/>
          <w:szCs w:val="21"/>
        </w:rPr>
        <w:t xml:space="preserve"> y un túnel SSH al puerto 18081.</w:t>
      </w:r>
    </w:p>
    <w:p>
      <w:pPr>
        <w:pStyle w:val="Heading2"/>
      </w:pPr>
      <w:bookmarkStart w:name="_Toc15" w:id="15"/>
      <w:r>
        <w:rPr>
          <w:rFonts w:ascii="Calibri" w:cs="Calibri" w:eastAsia="Calibri" w:hAnsi="Calibri"/>
        </w:rPr>
        <w:t xml:space="preserve">1.11 Instalación local para pruebas</w:t>
      </w:r>
      <w:bookmarkEnd w:id="15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Requiere Docker Desktop. No cambia el procedimiento: se copia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.env.example</w:t>
      </w:r>
      <w:r>
        <w:rPr>
          <w:rFonts w:ascii="Calibri" w:cs="Calibri" w:eastAsia="Calibri" w:hAnsi="Calibri"/>
          <w:sz w:val="21"/>
          <w:szCs w:val="21"/>
        </w:rPr>
        <w:t xml:space="preserve"> a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.env</w:t>
      </w:r>
      <w:r>
        <w:rPr>
          <w:rFonts w:ascii="Calibri" w:cs="Calibri" w:eastAsia="Calibri" w:hAnsi="Calibri"/>
          <w:sz w:val="21"/>
          <w:szCs w:val="21"/>
        </w:rPr>
        <w:t xml:space="preserve">, se levantan los servicios y se ejecuta el seed. Odoo queda en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http://localhost:18069</w:t>
      </w:r>
      <w:r>
        <w:rPr>
          <w:rFonts w:ascii="Calibri" w:cs="Calibri" w:eastAsia="Calibri" w:hAnsi="Calibri"/>
          <w:sz w:val="21"/>
          <w:szCs w:val="21"/>
        </w:rPr>
        <w:t xml:space="preserve"> y PostgreSQL en el puerto 15432, para no chocar con otros proyectos.</w:t>
      </w:r>
    </w:p>
    <w:p>
      <w:pPr>
        <w:pBdr>
          <w:left w:val="single" w:color="2F5D9B" w:sz="12" w:space="6"/>
        </w:pBdr>
        <w:shd w:fill="F3F5F8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copy .env.example .env</w:t>
      </w:r>
    </w:p>
    <w:p>
      <w:pPr>
        <w:pBdr>
          <w:left w:val="single" w:color="2F5D9B" w:sz="12" w:space="6"/>
        </w:pBdr>
        <w:shd w:fill="F3F5F8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docker compose up -d</w:t>
      </w:r>
    </w:p>
    <w:p>
      <w:pPr>
        <w:pBdr>
          <w:left w:val="single" w:color="2F5D9B" w:sz="12" w:space="6"/>
        </w:pBdr>
        <w:shd w:fill="F3F5F8" w:color="auto" w:val="clear"/>
        <w:spacing w:after="14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docker compose --profile seed run --rm seed</w:t>
      </w:r>
    </w:p>
    <w:p>
      <w:pPr>
        <w:pStyle w:val="Heading2"/>
      </w:pPr>
      <w:bookmarkStart w:name="_Toc16" w:id="16"/>
      <w:r>
        <w:rPr>
          <w:rFonts w:ascii="Calibri" w:cs="Calibri" w:eastAsia="Calibri" w:hAnsi="Calibri"/>
        </w:rPr>
        <w:t xml:space="preserve">1.12 Respaldo y restauración</w:t>
      </w:r>
      <w:bookmarkEnd w:id="16"/>
    </w:p>
    <w:p>
      <w:pPr>
        <w:pBdr>
          <w:left w:val="single" w:color="2F5D9B" w:sz="12" w:space="6"/>
        </w:pBdr>
        <w:shd w:fill="F3F5F8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bash scripts/backup.sh                                  # base de datos + adjuntos</w:t>
      </w:r>
    </w:p>
    <w:p>
      <w:pPr>
        <w:pBdr>
          <w:left w:val="single" w:color="2F5D9B" w:sz="12" w:space="6"/>
        </w:pBdr>
        <w:shd w:fill="F3F5F8" w:color="auto" w:val="clear"/>
        <w:spacing w:after="14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bash scripts/restore.sh backups/quetzalmart_AAAAMMDD_HHMM  # restaurar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Se recomienda hacer un respaldo antes de cambios grandes, como la carga del RPA. El comando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docker compose down -v</w:t>
      </w:r>
      <w:r>
        <w:rPr>
          <w:rFonts w:ascii="Calibri" w:cs="Calibri" w:eastAsia="Calibri" w:hAnsi="Calibri"/>
          <w:sz w:val="21"/>
          <w:szCs w:val="21"/>
        </w:rPr>
        <w:t xml:space="preserve"> borra la base de datos completa y no debe ejecutarse en la EC2.</w:t>
      </w:r>
    </w:p>
    <w:p>
      <w:pPr>
        <w:pStyle w:val="Heading2"/>
      </w:pPr>
      <w:bookmarkStart w:name="_Toc17" w:id="17"/>
      <w:r>
        <w:rPr>
          <w:rFonts w:ascii="Calibri" w:cs="Calibri" w:eastAsia="Calibri" w:hAnsi="Calibri"/>
        </w:rPr>
        <w:t xml:space="preserve">1.13 Problemas frecuentes</w:t>
      </w:r>
      <w:bookmarkEnd w:id="17"/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40"/>
      </w:tblGrid>
      <w:tr>
        <w:trPr>
          <w:cantSplit/>
          <w:tblHeader/>
        </w:trPr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Síntoma</w:t>
            </w:r>
          </w:p>
        </w:tc>
        <w:tc>
          <w:tcPr>
            <w:tcW w:type="dxa" w:w="57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 y solución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Odoo se reinicia o se cae al instalar módulos</w:t>
            </w:r>
          </w:p>
        </w:tc>
        <w:tc>
          <w:tcPr>
            <w:tcW w:type="dxa" w:w="57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Falta memoria. Usar t3.small o mayor y verificar el swap con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free -h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Error 502 en el puerto 80</w:t>
            </w:r>
          </w:p>
        </w:tc>
        <w:tc>
          <w:tcPr>
            <w:tcW w:type="dxa" w:w="57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Odoo todavía está arrancando. Revisar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docker compose logs -f odoo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PDF sin estilos o sin logo</w:t>
            </w:r>
          </w:p>
        </w:tc>
        <w:tc>
          <w:tcPr>
            <w:tcW w:type="dxa" w:w="57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parámetro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report.url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debe ser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http://localhost:8069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(lo configura el seed).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se pueden escribir los PDF en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facturas_pdf</w:t>
            </w:r>
          </w:p>
        </w:tc>
        <w:tc>
          <w:tcPr>
            <w:tcW w:type="dxa" w:w="57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Ejecutar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sudo chown -R 1000:1000 facturas_pdf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llegan los correos</w:t>
            </w:r>
          </w:p>
        </w:tc>
        <w:tc>
          <w:tcPr>
            <w:tcW w:type="dxa" w:w="57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Configurar el servidor SMTP con el puerto 587 (AWS bloquea el 25).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«Database manager has been disabled»</w:t>
            </w:r>
          </w:p>
        </w:tc>
        <w:tc>
          <w:tcPr>
            <w:tcW w:type="dxa" w:w="57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 lo esperado con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ODOO_LIST_DB=False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7.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Problemas frecuentes de la instalación.</w:t>
      </w:r>
    </w:p>
    <w:p>
      <w:pPr>
        <w:pStyle w:val="Heading2"/>
      </w:pPr>
      <w:bookmarkStart w:name="_Toc18" w:id="18"/>
      <w:r>
        <w:rPr>
          <w:rFonts w:ascii="Calibri" w:cs="Calibri" w:eastAsia="Calibri" w:hAnsi="Calibri"/>
        </w:rPr>
        <w:t xml:space="preserve">1.14 Configuración posterior del ERP</w:t>
      </w:r>
      <w:bookmarkEnd w:id="18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Después del despliegue se configuran tres elementos que dependen de servicios externos. Su funcionamiento se explica en los módulos correspondientes de la sección 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Servidor de correo saliente</w:t>
      </w:r>
      <w:r>
        <w:rPr>
          <w:rFonts w:ascii="Calibri" w:cs="Calibri" w:eastAsia="Calibri" w:hAnsi="Calibri"/>
          <w:sz w:val="21"/>
          <w:szCs w:val="21"/>
        </w:rPr>
        <w:t xml:space="preserve"> (Ajustes → Técnico → Servidores de correo saliente): Gmail con STARTTLS en el puerto 587 y una contraseña de aplicaciones.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Proveedor de pago</w:t>
      </w:r>
      <w:r>
        <w:rPr>
          <w:rFonts w:ascii="Calibri" w:cs="Calibri" w:eastAsia="Calibri" w:hAnsi="Calibri"/>
          <w:sz w:val="21"/>
          <w:szCs w:val="21"/>
        </w:rPr>
        <w:t xml:space="preserve"> (Facturación → Configuración → Proveedores de pago): transferencia bancaria en modo de prueba, publicada.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Google Analytics</w:t>
      </w:r>
      <w:r>
        <w:rPr>
          <w:rFonts w:ascii="Calibri" w:cs="Calibri" w:eastAsia="Calibri" w:hAnsi="Calibri"/>
          <w:sz w:val="21"/>
          <w:szCs w:val="21"/>
        </w:rPr>
        <w:t xml:space="preserve"> (Ajustes → Sitio web): se activa la opción de Google Analytics y se escribe el ID de medición de la propiedad GA4.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4581525" cy="1905000"/>
            <wp:effectExtent t="0" r="0" b="0" l="0"/>
            <wp:docPr id="1" name="Servidor de correo saliente configurado en Odoo (Gmail, STARTTLS)." descr="Servidor de correo saliente configurado en Odoo (Gmail, STARTTLS)." title="Servidor de correo saliente configurado en Odoo (Gmail, STARTTL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1.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Servidor de correo saliente configurado en Odoo (Gmail, STARTTLS).</w:t>
      </w:r>
    </w:p>
    <w:p>
      <w:pPr>
        <w:pStyle w:val="Heading1"/>
        <w:pageBreakBefore/>
      </w:pPr>
      <w:bookmarkStart w:name="_Toc19" w:id="19"/>
      <w:r>
        <w:rPr>
          <w:rFonts w:ascii="Calibri" w:cs="Calibri" w:eastAsia="Calibri" w:hAnsi="Calibri"/>
        </w:rPr>
        <w:t xml:space="preserve">2. Funcionamiento de cada módulo</w:t>
      </w:r>
      <w:bookmarkEnd w:id="19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Odoo organiza el negocio en aplicaciones que comparten los mismos datos: lo que se registra en una aparece en las demás. Por ejemplo, una compra recibida en Inventario genera la factura en Facturación, y una venta confirmada en Ventas descuenta existencias y dispara correos de marketing.</w:t>
      </w:r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40"/>
        <w:gridCol w:w="2200"/>
      </w:tblGrid>
      <w:tr>
        <w:trPr>
          <w:cantSplit/>
          <w:tblHeader/>
        </w:trP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4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qué se usa en QuetzalMart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Ruta principal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Empleados</w:t>
            </w:r>
          </w:p>
        </w:tc>
        <w:tc>
          <w:tcPr>
            <w:tcW w:type="dxa" w:w="4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Directorio de personal, cargos, departamentos y contratos.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Empleados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Compras</w:t>
            </w:r>
          </w:p>
        </w:tc>
        <w:tc>
          <w:tcPr>
            <w:tcW w:type="dxa" w:w="4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Cotizaciones y órdenes de compra a proveedores.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Compras → Órdenes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Inventario</w:t>
            </w:r>
          </w:p>
        </w:tc>
        <w:tc>
          <w:tcPr>
            <w:tcW w:type="dxa" w:w="4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Recepciones, entregas y existencias por sucursal.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Inventario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Facturación</w:t>
            </w:r>
          </w:p>
        </w:tc>
        <w:tc>
          <w:tcPr>
            <w:tcW w:type="dxa" w:w="4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Facturas de proveedores y de clientes, pagos y PDF.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Facturación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Ventas</w:t>
            </w:r>
          </w:p>
        </w:tc>
        <w:tc>
          <w:tcPr>
            <w:tcW w:type="dxa" w:w="4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Cotizaciones y órdenes de venta.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Ventas → Órdenes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Contactos y CRM</w:t>
            </w:r>
          </w:p>
        </w:tc>
        <w:tc>
          <w:tcPr>
            <w:tcW w:type="dxa" w:w="4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Clientes, proveedores y seguimiento comercial.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Contactos / CRM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Sitio web y eCommerce</w:t>
            </w:r>
          </w:p>
        </w:tc>
        <w:tc>
          <w:tcPr>
            <w:tcW w:type="dxa" w:w="4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Tienda en línea con catálogo, carrito y pago.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Sitio web / /shop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Google Analytics</w:t>
            </w:r>
          </w:p>
        </w:tc>
        <w:tc>
          <w:tcPr>
            <w:tcW w:type="dxa" w:w="4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Medición del comportamiento en la tienda.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Ajustes → Sitio web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Marketing por correo</w:t>
            </w:r>
          </w:p>
        </w:tc>
        <w:tc>
          <w:tcPr>
            <w:tcW w:type="dxa" w:w="4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Correos automáticos de recibo y campaña.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Ajustes → Técnico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Documentos</w:t>
            </w:r>
          </w:p>
        </w:tc>
        <w:tc>
          <w:tcPr>
            <w:tcW w:type="dxa" w:w="4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Repositorio de contratos y facturas con etiquetas.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Documentos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8.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Resumen de módulos.</w:t>
      </w:r>
    </w:p>
    <w:p>
      <w:pPr>
        <w:pStyle w:val="Heading2"/>
      </w:pPr>
      <w:bookmarkStart w:name="_Toc20" w:id="20"/>
      <w:r>
        <w:rPr>
          <w:rFonts w:ascii="Calibri" w:cs="Calibri" w:eastAsia="Calibri" w:hAnsi="Calibri"/>
        </w:rPr>
        <w:t xml:space="preserve">2.1 Empleados</w:t>
      </w:r>
      <w:bookmarkEnd w:id="20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módulo concentra la ficha de cada persona (cargo, departamento, sucursal, jefe directo, correo, teléfono y contrato). QuetzalMart tiene 37 empleados distribuidos en 5 departamentos y 8 cargos, cada uno con su contrato laboral en curso y salario en quetzales.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2543175"/>
            <wp:effectExtent t="0" r="0" b="0" l="0"/>
            <wp:docPr id="2" name="Directorio de empleados (vista Kanban) con el filtro lateral por departamento." descr="Directorio de empleados (vista Kanban) con el filtro lateral por departamento." title="Directorio de empleados (vista Kanban) con el filtro lateral por departamen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2.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Directorio de empleados (vista Kanban) con el filtro lateral por departamento.</w:t>
      </w:r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40"/>
      </w:tblGrid>
      <w:tr>
        <w:trPr>
          <w:cantSplit/>
          <w:tblHeader/>
        </w:trPr>
        <w:tc>
          <w:tcPr>
            <w:tcW w:type="dxa" w:w="6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3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Empleados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Compras y Logística</w:t>
            </w:r>
          </w:p>
        </w:tc>
        <w:tc>
          <w:tcPr>
            <w:tcW w:type="dxa" w:w="3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Operaciones de Sucursal</w:t>
            </w:r>
          </w:p>
        </w:tc>
        <w:tc>
          <w:tcPr>
            <w:tcW w:type="dxa" w:w="3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Dirección General y Finanzas</w:t>
            </w:r>
          </w:p>
        </w:tc>
        <w:tc>
          <w:tcPr>
            <w:tcW w:type="dxa" w:w="3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Ventas y Atención al Cliente</w:t>
            </w:r>
          </w:p>
        </w:tc>
        <w:tc>
          <w:tcPr>
            <w:tcW w:type="dxa" w:w="3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Marketing y Tecnología</w:t>
            </w:r>
          </w:p>
        </w:tc>
        <w:tc>
          <w:tcPr>
            <w:tcW w:type="dxa" w:w="3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9.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Empleados por departamento.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4838700" cy="2190750"/>
            <wp:effectExtent t="0" r="0" b="0" l="0"/>
            <wp:docPr id="3" name="Los cinco departamentos con su responsable." descr="Los cinco departamentos con su responsable." title="Los cinco departamentos con su respons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3.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Los cinco departamentos con su responsable.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4838700" cy="2190750"/>
            <wp:effectExtent t="0" r="0" b="0" l="0"/>
            <wp:docPr id="4" name="Los ocho cargos registrados: Gerente General, Contador General, Gerente de Sucursal, Cajero, Agente de Compras, Bodeguero, Ejecutivo de Ventas y Analista de Marketing Digital." descr="Los ocho cargos registrados: Gerente General, Contador General, Gerente de Sucursal, Cajero, Agente de Compras, Bodeguero, Ejecutivo de Ventas y Analista de Marketing Digital." title="Los ocho cargos registrados: Gerente General, Contador General, Gerente de Sucursal, Cajero, Agente de Compras, Bodeguero, Ejecutivo de Ventas y Analista de Marketing Digit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4.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Los ocho cargos registrados: Gerente General, Contador General, Gerente de Sucursal, Cajero, Agente de Compras, Bodeguero, Ejecutivo de Ventas y Analista de Marketing Digital.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2333625"/>
            <wp:effectExtent t="0" r="0" b="0" l="0"/>
            <wp:docPr id="5" name="Contratos laborales en proceso: uno por empleado, con departamento, puesto y fecha de inicio." descr="Contratos laborales en proceso: uno por empleado, con departamento, puesto y fecha de inicio." title="Contratos laborales en proceso: uno por empleado, con departamento, puesto y fecha de inic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5.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Contratos laborales en proceso: uno por empleado, con departamento, puesto y fecha de inicio.</w:t>
      </w:r>
    </w:p>
    <w:p>
      <w:pPr>
        <w:pStyle w:val="Heading2"/>
      </w:pPr>
      <w:bookmarkStart w:name="_Toc21" w:id="21"/>
      <w:r>
        <w:rPr>
          <w:rFonts w:ascii="Calibri" w:cs="Calibri" w:eastAsia="Calibri" w:hAnsi="Calibri"/>
        </w:rPr>
        <w:t xml:space="preserve">2.2 Compras</w:t>
      </w:r>
      <w:bookmarkEnd w:id="21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Gestiona el ciclo de abastecimiento: solicitud de cotización, orden de compra, recepción y factura. Cada orden muestra el proveedor, la sucursal que recibe, los productos y, en la parte superior, los botones inteligentes hacia sus recepciones y facturas. El sistema registra 105 órdenes de compra, todas en estado «Totalmente facturado».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2762250"/>
            <wp:effectExtent t="0" r="0" b="0" l="0"/>
            <wp:docPr id="6" name="Listado de órdenes de compra con su estado de facturación." descr="Listado de órdenes de compra con su estado de facturación." title="Listado de órdenes de compra con su estado de factur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6.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Listado de órdenes de compra con su estado de facturación.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2333625"/>
            <wp:effectExtent t="0" r="0" b="0" l="0"/>
            <wp:docPr id="7" name="Detalle de una orden de compra: proveedor, destino (almacén de la sucursal), productos, y enlaces a facturas y recepción." descr="Detalle de una orden de compra: proveedor, destino (almacén de la sucursal), productos, y enlaces a facturas y recepción." title="Detalle de una orden de compra: proveedor, destino (almacén de la sucursal), productos, y enlaces a facturas y recep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7.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Detalle de una orden de compra: proveedor, destino (almacén de la sucursal), productos, y enlaces a facturas y recepción.</w:t>
      </w:r>
    </w:p>
    <w:p>
      <w:pPr>
        <w:pStyle w:val="Heading2"/>
      </w:pPr>
      <w:bookmarkStart w:name="_Toc22" w:id="22"/>
      <w:r>
        <w:rPr>
          <w:rFonts w:ascii="Calibri" w:cs="Calibri" w:eastAsia="Calibri" w:hAnsi="Calibri"/>
        </w:rPr>
        <w:t xml:space="preserve">2.3 Inventario</w:t>
      </w:r>
      <w:bookmarkEnd w:id="22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Controla dónde y cuántas unidades hay de cada producto. Las recepciones validadas aumentan la existencia del almacén de la sucursal; las entregas de ventas la reducen. Los 64 materiales de uso interno de las sucursales se organizan en 8 categorías y se identifican con códigos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MAT-XXX-nn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2333625"/>
            <wp:effectExtent t="0" r="0" b="0" l="0"/>
            <wp:docPr id="8" name="Existencias de materiales por producto y ubicación." descr="Existencias de materiales por producto y ubicación." title="Existencias de materiales por producto y ubic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8.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Existencias de materiales por producto y ubicación.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2333625"/>
            <wp:effectExtent t="0" r="0" b="0" l="0"/>
            <wp:docPr id="9" name="Catálogo de productos con código interno, precio y existencia." descr="Catálogo de productos con código interno, precio y existencia." title="Catálogo de productos con código interno, precio y existenc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9.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Catálogo de productos con código interno, precio y existencia.</w:t>
      </w:r>
    </w:p>
    <w:p>
      <w:pPr>
        <w:pStyle w:val="Heading2"/>
      </w:pPr>
      <w:bookmarkStart w:name="_Toc23" w:id="23"/>
      <w:r>
        <w:rPr>
          <w:rFonts w:ascii="Calibri" w:cs="Calibri" w:eastAsia="Calibri" w:hAnsi="Calibri"/>
        </w:rPr>
        <w:t xml:space="preserve">2.4 Facturación</w:t>
      </w:r>
      <w:bookmarkEnd w:id="23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Registra las facturas de proveedores (nacidas de las compras recibidas) y las de clientes (nacidas de las ventas), con IVA del 12 % según la localización contable de Guatemala. Cada factura se puede imprimir en PDF con el logo de la empresa y registrar su pago.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2543175"/>
            <wp:effectExtent t="0" r="0" b="0" l="0"/>
            <wp:docPr id="10" name="Facturas de proveedor: número, proveedor, referencia del proveedor, total y estado de pago." descr="Facturas de proveedor: número, proveedor, referencia del proveedor, total y estado de pago." title="Facturas de proveedor: número, proveedor, referencia del proveedor, total y estado de pa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10.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Facturas de proveedor: número, proveedor, referencia del proveedor, total y estado de pago.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2333625"/>
            <wp:effectExtent t="0" r="0" b="0" l="0"/>
            <wp:docPr id="11" name="Facturas de clientes generadas desde las ventas." descr="Facturas de clientes generadas desde las ventas." title="Facturas de clientes generadas desde las ven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11.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Facturas de clientes generadas desde las ventas.</w:t>
      </w:r>
    </w:p>
    <w:p>
      <w:pPr>
        <w:pStyle w:val="Heading2"/>
      </w:pPr>
      <w:bookmarkStart w:name="_Toc24" w:id="24"/>
      <w:r>
        <w:rPr>
          <w:rFonts w:ascii="Calibri" w:cs="Calibri" w:eastAsia="Calibri" w:hAnsi="Calibri"/>
        </w:rPr>
        <w:t xml:space="preserve">2.5 Ventas</w:t>
      </w:r>
      <w:bookmarkEnd w:id="24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Permite preparar cotizaciones, enviarlas por correo y convertirlas en órdenes de venta. El sistema distingue las cotizaciones (borrador o enviada) de las ventas confirmadas, y vincula cada orden con el cliente y con su entrega y su factura.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2762250"/>
            <wp:effectExtent t="0" r="0" b="0" l="0"/>
            <wp:docPr id="12" name="Órdenes de venta confirmadas, con diversidad de clientes y productos." descr="Órdenes de venta confirmadas, con diversidad de clientes y productos." title="Órdenes de venta confirmadas, con diversidad de clientes y produc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12.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Órdenes de venta confirmadas, con diversidad de clientes y productos.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2762250"/>
            <wp:effectExtent t="0" r="0" b="0" l="0"/>
            <wp:docPr id="13" name="Cotizaciones comerciales registradas en el módulo de Ventas." descr="Cotizaciones comerciales registradas en el módulo de Ventas." title="Cotizaciones comerciales registradas en el módulo de Ven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13.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Cotizaciones comerciales registradas en el módulo de Ventas.</w:t>
      </w:r>
    </w:p>
    <w:p>
      <w:pPr>
        <w:pStyle w:val="Heading2"/>
      </w:pPr>
      <w:bookmarkStart w:name="_Toc25" w:id="25"/>
      <w:r>
        <w:rPr>
          <w:rFonts w:ascii="Calibri" w:cs="Calibri" w:eastAsia="Calibri" w:hAnsi="Calibri"/>
        </w:rPr>
        <w:t xml:space="preserve">2.6 Contactos y CRM</w:t>
      </w:r>
      <w:bookmarkEnd w:id="25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Contactos es el directorio único de clientes y proveedores: cada ficha reúne datos de contacto, etiquetas, ventas y facturas relacionadas. El módulo CRM aporta el tablero de oportunidades (Nuevo, Calificado, Propuesta, Ganado) para dar seguimiento comercial, y las reglas de automatización de correo permiten enviar campañas a los clientes después de cada compra.</w:t>
      </w:r>
    </w:p>
    <w:p>
      <w:pPr>
        <w:pStyle w:val="Heading2"/>
      </w:pPr>
      <w:bookmarkStart w:name="_Toc26" w:id="26"/>
      <w:r>
        <w:rPr>
          <w:rFonts w:ascii="Calibri" w:cs="Calibri" w:eastAsia="Calibri" w:hAnsi="Calibri"/>
        </w:rPr>
        <w:t xml:space="preserve">2.7 Sitio web y eCommerce</w:t>
      </w:r>
      <w:bookmarkEnd w:id="26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tienda en línea (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/shop</w:t>
      </w:r>
      <w:r>
        <w:rPr>
          <w:rFonts w:ascii="Calibri" w:cs="Calibri" w:eastAsia="Calibri" w:hAnsi="Calibri"/>
          <w:sz w:val="21"/>
          <w:szCs w:val="21"/>
        </w:rPr>
        <w:t xml:space="preserve">) está conectada al ERP: los productos publicados aparecen en el catálogo con imagen, descripción y precio; el cliente agrega artículos al carrito, ve el IVA y el costo de envío, paga y recibe la confirmación. Cada pedido genera una orden de venta y descuenta el inventario.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2762250"/>
            <wp:effectExtent t="0" r="0" b="0" l="0"/>
            <wp:docPr id="14" name="Catálogo de la tienda en línea con imágenes sobre fondo blanco." descr="Catálogo de la tienda en línea con imágenes sobre fondo blanco." title="Catálogo de la tienda en línea con imágenes sobre fondo blanc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14.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Catálogo de la tienda en línea con imágenes sobre fondo blanco.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2762250"/>
            <wp:effectExtent t="0" r="0" b="0" l="0"/>
            <wp:docPr id="15" name="Ficha de producto con precio, IVA y botón para agregar al carrito." descr="Ficha de producto con precio, IVA y botón para agregar al carrito." title="Ficha de producto con precio, IVA y botón para agregar al carri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15.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Ficha de producto con precio, IVA y botón para agregar al carrito.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2762250"/>
            <wp:effectExtent t="0" r="0" b="0" l="0"/>
            <wp:docPr id="16" name="Proceso de pago con confirmación de dirección y método de pago." descr="Proceso de pago con confirmación de dirección y método de pago." title="Proceso de pago con confirmación de dirección y método de pa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16.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Proceso de pago con confirmación de dirección y método de pago.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2762250"/>
            <wp:effectExtent t="0" r="0" b="0" l="0"/>
            <wp:docPr id="17" name="Confirmación del pedido con el número de orden." descr="Confirmación del pedido con el número de orden." title="Confirmación del pedido con el número de ord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17.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Confirmación del pedido con el número de orden.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método de pago habilitado 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transferencia bancaria</w:t>
      </w:r>
      <w:r>
        <w:rPr>
          <w:rFonts w:ascii="Calibri" w:cs="Calibri" w:eastAsia="Calibri" w:hAnsi="Calibri"/>
          <w:sz w:val="21"/>
          <w:szCs w:val="21"/>
        </w:rPr>
        <w:t xml:space="preserve"> en modo de prueba y publicado, de modo que cualquier cliente puede completar un pedido de práctica sin tarjeta.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2333625"/>
            <wp:effectExtent t="0" r="0" b="0" l="0"/>
            <wp:docPr id="18" name="Proveedores de pago: transferencia bancaria en modo de prueba y publicada." descr="Proveedores de pago: transferencia bancaria en modo de prueba y publicada." title="Proveedores de pago: transferencia bancaria en modo de prueba y public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18.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Proveedores de pago: transferencia bancaria en modo de prueba y publicada.</w:t>
      </w:r>
    </w:p>
    <w:p>
      <w:pPr>
        <w:pStyle w:val="Heading2"/>
      </w:pPr>
      <w:bookmarkStart w:name="_Toc27" w:id="27"/>
      <w:r>
        <w:rPr>
          <w:rFonts w:ascii="Calibri" w:cs="Calibri" w:eastAsia="Calibri" w:hAnsi="Calibri"/>
        </w:rPr>
        <w:t xml:space="preserve">2.8 Google Analytics</w:t>
      </w:r>
      <w:bookmarkEnd w:id="27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tienda se integra con Google Analytics 4 mediante el ID de medición configurado en Ajustes → Sitio web. Odoo envía los eventos de comercio electrónico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view_item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add_to_cart</w:t>
      </w:r>
      <w:r>
        <w:rPr>
          <w:rFonts w:ascii="Calibri" w:cs="Calibri" w:eastAsia="Calibri" w:hAnsi="Calibri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purchase</w:t>
      </w:r>
      <w:r>
        <w:rPr>
          <w:rFonts w:ascii="Calibri" w:cs="Calibri" w:eastAsia="Calibri" w:hAnsi="Calibri"/>
          <w:sz w:val="21"/>
          <w:szCs w:val="21"/>
        </w:rPr>
        <w:t xml:space="preserve">, y se agrega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begin_checkout</w:t>
      </w:r>
      <w:r>
        <w:rPr>
          <w:rFonts w:ascii="Calibri" w:cs="Calibri" w:eastAsia="Calibri" w:hAnsi="Calibri"/>
          <w:sz w:val="21"/>
          <w:szCs w:val="21"/>
        </w:rPr>
        <w:t xml:space="preserve"> para registrar el inicio del pago. Con ellos se calculan la tasa de conversión, la adquisición de usuarios, los ingresos, los productos más vendidos y el abandono de carrito, y se definen segmentos, exploraciones y audiencias. El análisis de esos datos, con sus gráficos, se presenta en el Manual 3.</w:t>
      </w:r>
    </w:p>
    <w:p>
      <w:pPr>
        <w:pStyle w:val="Heading2"/>
      </w:pPr>
      <w:bookmarkStart w:name="_Toc28" w:id="28"/>
      <w:r>
        <w:rPr>
          <w:rFonts w:ascii="Calibri" w:cs="Calibri" w:eastAsia="Calibri" w:hAnsi="Calibri"/>
        </w:rPr>
        <w:t xml:space="preserve">2.9 Marketing por correo</w:t>
      </w:r>
      <w:bookmarkEnd w:id="28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Dos reglas de automatización actúan sobre la orden de venta cuando pasa al estado «Orden de venta»: la primera envía el recibo de compra con el PDF adjunto y la segunda envía la campaña «Gracias por preferir a QuetzalMart», con asunto distinto y un banner corporativo. Ambos correos salen del servidor SMTP del proyecto, no de un correo personal.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2333625"/>
            <wp:effectExtent t="0" r="0" b="0" l="0"/>
            <wp:docPr id="19" name="Reglas de automatización de correo para las órdenes de venta." descr="Reglas de automatización de correo para las órdenes de venta." title="Reglas de automatización de correo para las órdenes de ven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19.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Reglas de automatización de correo para las órdenes de venta.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457825" cy="2857500"/>
            <wp:effectExtent t="0" r="0" b="0" l="0"/>
            <wp:docPr id="20" name="Configuración de la regla automática de marketing sobre la orden de venta." descr="Configuración de la regla automática de marketing sobre la orden de venta." title="Configuración de la regla automática de marketing sobre la orden de ven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20.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Configuración de la regla automática de marketing sobre la orden de venta.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2124075"/>
            <wp:effectExtent t="0" r="0" b="0" l="0"/>
            <wp:docPr id="21" name="La acción planificada de la cola de correo se ajusta a 1 minuto para que el envío sea inmediato." descr="La acción planificada de la cola de correo se ajusta a 1 minuto para que el envío sea inmediato." title="La acción planificada de la cola de correo se ajusta a 1 minuto para que el envío sea inmedia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21.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La acción planificada de la cola de correo se ajusta a 1 minuto para que el envío sea inmediato.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2762250"/>
            <wp:effectExtent t="0" r="0" b="0" l="0"/>
            <wp:docPr id="22" name="Orden de venta con los dos correos registrados en el historial (chatter)." descr="Orden de venta con los dos correos registrados en el historial (chatter)." title="Orden de venta con los dos correos registrados en el historial (chatter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22.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Orden de venta con los dos correos registrados en el historial (chatter).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2162175"/>
            <wp:effectExtent t="0" r="0" b="0" l="0"/>
            <wp:docPr id="23" name="Correo de marketing recibido por el cliente." descr="Correo de marketing recibido por el cliente." title="Correo de marketing recibido por el cli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23.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Correo de marketing recibido por el cliente.</w:t>
      </w:r>
    </w:p>
    <w:p>
      <w:pPr>
        <w:pStyle w:val="Heading2"/>
      </w:pPr>
      <w:bookmarkStart w:name="_Toc29" w:id="29"/>
      <w:r>
        <w:rPr>
          <w:rFonts w:ascii="Calibri" w:cs="Calibri" w:eastAsia="Calibri" w:hAnsi="Calibri"/>
        </w:rPr>
        <w:t xml:space="preserve">2.10 Gestión documental</w:t>
      </w:r>
      <w:bookmarkEnd w:id="29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módulo Documentos (OCA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dms</w:t>
      </w:r>
      <w:r>
        <w:rPr>
          <w:rFonts w:ascii="Calibri" w:cs="Calibri" w:eastAsia="Calibri" w:hAnsi="Calibri"/>
          <w:sz w:val="21"/>
          <w:szCs w:val="21"/>
        </w:rPr>
        <w:t xml:space="preserve">) está integrado en Odoo y centraliza los archivos esenciales en tres carpetas: Contratos de Empleados, Contratos de Outsourcing y Facturas de Proveedores. Cada archivo lleva una etiqueta de color (Laboral, Outsourcing o Factura) que permite filtrar la información desde la barra de búsqueda o el panel lateral.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2762250"/>
            <wp:effectExtent t="0" r="0" b="0" l="0"/>
            <wp:docPr id="24" name="Repositorio documental con 15 archivos clasificados por carpeta y etiqueta." descr="Repositorio documental con 15 archivos clasificados por carpeta y etiqueta." title="Repositorio documental con 15 archivos clasificados por carpeta y etique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24.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Repositorio documental con 15 archivos clasificados por carpeta y etiqueta.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4191000" cy="2667000"/>
            <wp:effectExtent t="0" r="0" b="0" l="0"/>
            <wp:docPr id="25" name="Vista por carpetas: cinco archivos en cada una." descr="Vista por carpetas: cinco archivos en cada una." title="Vista por carpetas: cinco archivos en cada u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25.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Vista por carpetas: cinco archivos en cada una.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914400"/>
            <wp:effectExtent t="0" r="0" b="0" l="0"/>
            <wp:docPr id="26" name="Filtro por la etiqueta «Outsourcing»." descr="Filtro por la etiqueta «Outsourcing»." title="Filtro por la etiqueta «Outsourcing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26.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Filtro por la etiqueta «Outsourcing».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714375"/>
            <wp:effectExtent t="0" r="0" b="0" l="0"/>
            <wp:docPr id="27" name="Filtro por la etiqueta «Factura»." descr="Filtro por la etiqueta «Factura»." title="Filtro por la etiqueta «Factura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27.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Filtro por la etiqueta «Factura».</w:t>
      </w:r>
    </w:p>
    <w:p>
      <w:pPr>
        <w:pStyle w:val="Heading1"/>
        <w:pageBreakBefore/>
      </w:pPr>
      <w:bookmarkStart w:name="_Toc30" w:id="30"/>
      <w:r>
        <w:rPr>
          <w:rFonts w:ascii="Calibri" w:cs="Calibri" w:eastAsia="Calibri" w:hAnsi="Calibri"/>
        </w:rPr>
        <w:t xml:space="preserve">3. Carga masiva de información y operación de los módulos</w:t>
      </w:r>
      <w:bookmarkEnd w:id="30"/>
    </w:p>
    <w:p>
      <w:pPr>
        <w:pStyle w:val="Heading2"/>
      </w:pPr>
      <w:bookmarkStart w:name="_Toc31" w:id="31"/>
      <w:r>
        <w:rPr>
          <w:rFonts w:ascii="Calibri" w:cs="Calibri" w:eastAsia="Calibri" w:hAnsi="Calibri"/>
        </w:rPr>
        <w:t xml:space="preserve">3.1 Estrategia de carga masiva</w:t>
      </w:r>
      <w:bookmarkEnd w:id="31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Para cada módulo se eligió el mecanismo más adecuado según el origen y el volumen de los datos. En todos los casos el resultado se puede comprobar en la interfaz de Odoo y con una consulta SQL.</w:t>
      </w:r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900"/>
        <w:gridCol w:w="2440"/>
      </w:tblGrid>
      <w:tr>
        <w:trPr>
          <w:cantSplit/>
          <w:tblHeader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2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Volumen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Empleados, cargos, departamentos y contratos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 de carga inicial (seed) por la API de Odoo; plantillas Excel equivalentes en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carga_masiva/</w:t>
            </w:r>
          </w:p>
        </w:tc>
        <w:tc>
          <w:tcPr>
            <w:tcW w:type="dxa" w:w="2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 empleados, 8 cargos, 5 departamentos, 36 contratos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Proveedores y materiales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Seed; plantillas Excel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datos_proveedores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datos_materiales</w:t>
            </w:r>
          </w:p>
        </w:tc>
        <w:tc>
          <w:tcPr>
            <w:tcW w:type="dxa" w:w="2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 proveedores y 64 materiales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Compras y facturas de proveedor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Seed: compra → recepción → factura → pago</w:t>
            </w:r>
          </w:p>
        </w:tc>
        <w:tc>
          <w:tcPr>
            <w:tcW w:type="dxa" w:w="2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105 compras y 105 facturas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Clientes y productos de venta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RPA con UiPath desde carpetas de Excel (sección 4)</w:t>
            </w:r>
          </w:p>
        </w:tc>
        <w:tc>
          <w:tcPr>
            <w:tcW w:type="dxa" w:w="2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Según los archivos de entrada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Ventas y cotizaciones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Registro de órdenes en Ventas; también admite importación de Excel</w:t>
            </w:r>
          </w:p>
        </w:tc>
        <w:tc>
          <w:tcPr>
            <w:tcW w:type="dxa" w:w="2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Más de 150 ventas y 66 cotizaciones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Documentos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Subida de archivos PDF a las carpetas de Documentos</w:t>
            </w:r>
          </w:p>
        </w:tc>
        <w:tc>
          <w:tcPr>
            <w:tcW w:type="dxa" w:w="2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 archivos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10.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Mecanismos de carga por módulo.</w:t>
      </w:r>
    </w:p>
    <w:p>
      <w:pPr>
        <w:pStyle w:val="Heading2"/>
      </w:pPr>
      <w:bookmarkStart w:name="_Toc32" w:id="32"/>
      <w:r>
        <w:rPr>
          <w:rFonts w:ascii="Calibri" w:cs="Calibri" w:eastAsia="Calibri" w:hAnsi="Calibri"/>
        </w:rPr>
        <w:t xml:space="preserve">3.2 Carga masiva con «Importar registros» (plantillas Excel)</w:t>
      </w:r>
      <w:bookmarkEnd w:id="32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Odoo importa archivos de Excel o CSV en cualquier lista. La carpeta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carga_masiva/</w:t>
      </w:r>
      <w:r>
        <w:rPr>
          <w:rFonts w:ascii="Calibri" w:cs="Calibri" w:eastAsia="Calibri" w:hAnsi="Calibri"/>
          <w:sz w:val="21"/>
          <w:szCs w:val="21"/>
        </w:rPr>
        <w:t xml:space="preserve"> contiene una plantilla por módulo con los encabezados técnicos que el importador reconoce automáticamente, y un archivo de demostración con pocos registros nuevos.</w:t>
      </w:r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3840"/>
      </w:tblGrid>
      <w:tr>
        <w:trPr>
          <w:cantSplit/>
          <w:tblHeader/>
        </w:trPr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Plantilla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Módulo destino</w:t>
            </w:r>
          </w:p>
        </w:tc>
        <w:tc>
          <w:tcPr>
            <w:tcW w:type="dxa" w:w="38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Columnas principales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datos_departamentos / demo_departamentos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Empleados → Departamentos</w:t>
            </w:r>
          </w:p>
        </w:tc>
        <w:tc>
          <w:tcPr>
            <w:tcW w:type="dxa" w:w="38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name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datos_cargos / demo_cargos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Empleados → Puestos de trabajo</w:t>
            </w:r>
          </w:p>
        </w:tc>
        <w:tc>
          <w:tcPr>
            <w:tcW w:type="dxa" w:w="38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name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department_id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datos_empleados / demo_empleados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Empleados</w:t>
            </w:r>
          </w:p>
        </w:tc>
        <w:tc>
          <w:tcPr>
            <w:tcW w:type="dxa" w:w="38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name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job_id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job_title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department_id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work_location_id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work_email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work_phone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datos_proveedores / demo_proveedores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Contactos (proveedores)</w:t>
            </w:r>
          </w:p>
        </w:tc>
        <w:tc>
          <w:tcPr>
            <w:tcW w:type="dxa" w:w="38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name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is_company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vat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street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city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country_id/id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phone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email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supplier_rank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datos_materiales / demo_materiales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Compras → Productos</w:t>
            </w:r>
          </w:p>
        </w:tc>
        <w:tc>
          <w:tcPr>
            <w:tcW w:type="dxa" w:w="38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default_code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name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categ_id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type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standard_price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list_price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seller_ids/partner_id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11.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Plantillas de carga masiva.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Procedimiento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Abrir la lista del módulo que se desea cargar (por ejemplo, Empleados).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Pulsar el icono de engranaje junto al título (o el menú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Favoritos</w:t>
      </w:r>
      <w:r>
        <w:rPr>
          <w:rFonts w:ascii="Calibri" w:cs="Calibri" w:eastAsia="Calibri" w:hAnsi="Calibri"/>
          <w:sz w:val="21"/>
          <w:szCs w:val="21"/>
        </w:rPr>
        <w:t xml:space="preserve">) y elegir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Importar registros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Pulsar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Cargar archivo</w:t>
      </w:r>
      <w:r>
        <w:rPr>
          <w:rFonts w:ascii="Calibri" w:cs="Calibri" w:eastAsia="Calibri" w:hAnsi="Calibri"/>
          <w:sz w:val="21"/>
          <w:szCs w:val="21"/>
        </w:rPr>
        <w:t xml:space="preserve"> y seleccionar la plantilla de Excel.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Revisar la vista previa: Odoo empareja cada columna del archivo con un campo; las columnas sin coincidencia se señalan en rojo.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Pulsar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Probar</w:t>
      </w:r>
      <w:r>
        <w:rPr>
          <w:rFonts w:ascii="Calibri" w:cs="Calibri" w:eastAsia="Calibri" w:hAnsi="Calibri"/>
          <w:sz w:val="21"/>
          <w:szCs w:val="21"/>
        </w:rPr>
        <w:t xml:space="preserve"> para validar los datos sin guardarlos. Si hay errores, el importador indica la fila y el motivo.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Pulsar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Importar</w:t>
      </w:r>
      <w:r>
        <w:rPr>
          <w:rFonts w:ascii="Calibri" w:cs="Calibri" w:eastAsia="Calibri" w:hAnsi="Calibri"/>
          <w:sz w:val="21"/>
          <w:szCs w:val="21"/>
        </w:rPr>
        <w:t xml:space="preserve">. Los registros quedan creados y se muestran en la lista.</w:t>
      </w:r>
    </w:p>
    <w:p>
      <w:pPr>
        <w:pBdr>
          <w:left w:val="single" w:color="2F5D9B" w:sz="18" w:space="8"/>
        </w:pBdr>
        <w:shd w:fill="EAF1FB" w:color="auto" w:val="clear"/>
        <w:spacing w:after="160" w:before="60" w:line="264"/>
        <w:ind w:left="160" w:right="12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Buena práctica. </w:t>
      </w:r>
      <w:r>
        <w:rPr>
          <w:rFonts w:ascii="Calibri" w:cs="Calibri" w:eastAsia="Calibri" w:hAnsi="Calibri"/>
          <w:sz w:val="20"/>
          <w:szCs w:val="20"/>
        </w:rPr>
        <w:t xml:space="preserve">Si la primera columna es </w:t>
      </w:r>
      <w:r>
        <w:rPr>
          <w:rFonts w:ascii="Consolas" w:cs="Consolas" w:eastAsia="Consolas" w:hAnsi="Consolas"/>
          <w:color w:val="1F3A5F"/>
          <w:sz w:val="18"/>
          <w:szCs w:val="18"/>
          <w:shd w:fill="EEF2F7" w:color="auto" w:val="clear"/>
        </w:rPr>
        <w:t xml:space="preserve">id</w:t>
      </w:r>
      <w:r>
        <w:rPr>
          <w:rFonts w:ascii="Calibri" w:cs="Calibri" w:eastAsia="Calibri" w:hAnsi="Calibri"/>
          <w:sz w:val="20"/>
          <w:szCs w:val="20"/>
        </w:rPr>
        <w:t xml:space="preserve"> (ID externo), una segunda importación actualiza los registros existentes en lugar de duplicarlos. El RPA aprovecha esta característica.</w:t>
      </w:r>
    </w:p>
    <w:p>
      <w:pPr>
        <w:pStyle w:val="Heading2"/>
      </w:pPr>
      <w:bookmarkStart w:name="_Toc33" w:id="33"/>
      <w:r>
        <w:rPr>
          <w:rFonts w:ascii="Calibri" w:cs="Calibri" w:eastAsia="Calibri" w:hAnsi="Calibri"/>
        </w:rPr>
        <w:t xml:space="preserve">3.3 Carga inicial con el programa seed</w:t>
      </w:r>
      <w:bookmarkEnd w:id="33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Para el volumen de la compra (105 órdenes con recepción, factura y pago) se usa el programa de carga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seed/seed.py</w:t>
      </w:r>
      <w:r>
        <w:rPr>
          <w:rFonts w:ascii="Calibri" w:cs="Calibri" w:eastAsia="Calibri" w:hAnsi="Calibri"/>
          <w:sz w:val="21"/>
          <w:szCs w:val="21"/>
        </w:rPr>
        <w:t xml:space="preserve">, que habla con Odoo por su API y repite el flujo real de cada compra. En orden, el programa: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Crea la base, configura la empresa, el logo, las tres sucursales con su almacén, la moneda GTQ y el IVA del 12 %.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Crea 5 departamentos, 8 cargos, 36 empleados y sus contratos.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Registra 16 proveedores de materiales y 4 de servicios de outsourcing.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Crea los 64 materiales con código, categoría, proveedor y existencias por sucursal.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Genera 105 compras confirmadas, recibidas en bodega y facturadas con IVA; alrededor del 80 % queda pagado; añade 12 solicitudes de cotización a proveedores.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Exporta a la carpeta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facturas_pdf/</w:t>
      </w:r>
      <w:r>
        <w:rPr>
          <w:rFonts w:ascii="Calibri" w:cs="Calibri" w:eastAsia="Calibri" w:hAnsi="Calibri"/>
          <w:sz w:val="21"/>
          <w:szCs w:val="21"/>
        </w:rPr>
        <w:t xml:space="preserve"> un PDF por cada factura.</w:t>
      </w:r>
    </w:p>
    <w:p>
      <w:pPr>
        <w:pStyle w:val="Heading2"/>
      </w:pPr>
      <w:bookmarkStart w:name="_Toc34" w:id="34"/>
      <w:r>
        <w:rPr>
          <w:rFonts w:ascii="Calibri" w:cs="Calibri" w:eastAsia="Calibri" w:hAnsi="Calibri"/>
        </w:rPr>
        <w:t xml:space="preserve">3.4 Cómo se generan las órdenes de compra</w:t>
      </w:r>
      <w:bookmarkEnd w:id="34"/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Ir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Compras → Órdenes → Nuevo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Elegir el proveedor y, en «Entregar a», el almacén de la sucursal que recibirá la mercadería.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En la pestaña Productos, agregar las líneas: producto, cantidad y precio.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Pulsar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Confirmar pedido</w:t>
      </w:r>
      <w:r>
        <w:rPr>
          <w:rFonts w:ascii="Calibri" w:cs="Calibri" w:eastAsia="Calibri" w:hAnsi="Calibri"/>
          <w:sz w:val="21"/>
          <w:szCs w:val="21"/>
        </w:rPr>
        <w:t xml:space="preserve">: la solicitud de cotización pasa a orden de compra.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Pulsar el botón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Recepción</w:t>
      </w:r>
      <w:r>
        <w:rPr>
          <w:rFonts w:ascii="Calibri" w:cs="Calibri" w:eastAsia="Calibri" w:hAnsi="Calibri"/>
          <w:sz w:val="21"/>
          <w:szCs w:val="21"/>
        </w:rPr>
        <w:t xml:space="preserve"> y luego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Validar</w:t>
      </w:r>
      <w:r>
        <w:rPr>
          <w:rFonts w:ascii="Calibri" w:cs="Calibri" w:eastAsia="Calibri" w:hAnsi="Calibri"/>
          <w:sz w:val="21"/>
          <w:szCs w:val="21"/>
        </w:rPr>
        <w:t xml:space="preserve">: la mercadería entra al inventario de la sucursal.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Volver a la orden y pulsar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Crear factura</w:t>
      </w:r>
      <w:r>
        <w:rPr>
          <w:rFonts w:ascii="Calibri" w:cs="Calibri" w:eastAsia="Calibri" w:hAnsi="Calibri"/>
          <w:sz w:val="21"/>
          <w:szCs w:val="21"/>
        </w:rPr>
        <w:t xml:space="preserve">; completar la fecha y la referencia del proveedor y pulsar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Confirmar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Pulsar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Imprimir → Factura</w:t>
      </w:r>
      <w:r>
        <w:rPr>
          <w:rFonts w:ascii="Calibri" w:cs="Calibri" w:eastAsia="Calibri" w:hAnsi="Calibri"/>
          <w:sz w:val="21"/>
          <w:szCs w:val="21"/>
        </w:rPr>
        <w:t xml:space="preserve"> para obtener el PDF, 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Registrar pago</w:t>
      </w:r>
      <w:r>
        <w:rPr>
          <w:rFonts w:ascii="Calibri" w:cs="Calibri" w:eastAsia="Calibri" w:hAnsi="Calibri"/>
          <w:sz w:val="21"/>
          <w:szCs w:val="21"/>
        </w:rPr>
        <w:t xml:space="preserve"> si ya se pagó.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2333625"/>
            <wp:effectExtent t="0" r="0" b="0" l="0"/>
            <wp:docPr id="28" name="Orden de compra confirmada con sus botones de facturas de proveedores y recepción." descr="Orden de compra confirmada con sus botones de facturas de proveedores y recepción." title="Orden de compra confirmada con sus botones de facturas de proveedores y recep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28.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Orden de compra confirmada con sus botones de facturas de proveedores y recepción.</w:t>
      </w:r>
    </w:p>
    <w:p>
      <w:pPr>
        <w:pStyle w:val="Heading2"/>
      </w:pPr>
      <w:bookmarkStart w:name="_Toc35" w:id="35"/>
      <w:r>
        <w:rPr>
          <w:rFonts w:ascii="Calibri" w:cs="Calibri" w:eastAsia="Calibri" w:hAnsi="Calibri"/>
        </w:rPr>
        <w:t xml:space="preserve">3.5 Cómo se generan las ventas</w:t>
      </w:r>
      <w:bookmarkEnd w:id="35"/>
    </w:p>
    <w:p>
      <w:pPr>
        <w:pStyle w:val="ListParagraph"/>
        <w:numPr>
          <w:ilvl w:val="0"/>
          <w:numId w:val="8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Ir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Ventas → Órdenes → Nuevo</w:t>
      </w:r>
      <w:r>
        <w:rPr>
          <w:rFonts w:ascii="Calibri" w:cs="Calibri" w:eastAsia="Calibri" w:hAnsi="Calibri"/>
          <w:sz w:val="21"/>
          <w:szCs w:val="21"/>
        </w:rPr>
        <w:t xml:space="preserve"> y elegir el cliente.</w:t>
      </w:r>
    </w:p>
    <w:p>
      <w:pPr>
        <w:pStyle w:val="ListParagraph"/>
        <w:numPr>
          <w:ilvl w:val="0"/>
          <w:numId w:val="8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Agregar los productos y cantidades; el IVA del 12 % se aplica automáticamente.</w:t>
      </w:r>
    </w:p>
    <w:p>
      <w:pPr>
        <w:pStyle w:val="ListParagraph"/>
        <w:numPr>
          <w:ilvl w:val="0"/>
          <w:numId w:val="8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Pulsar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Enviar por correo electrónico</w:t>
      </w:r>
      <w:r>
        <w:rPr>
          <w:rFonts w:ascii="Calibri" w:cs="Calibri" w:eastAsia="Calibri" w:hAnsi="Calibri"/>
          <w:sz w:val="21"/>
          <w:szCs w:val="21"/>
        </w:rPr>
        <w:t xml:space="preserve"> para mandar la cotización al cliente (estado «Cotización enviada»).</w:t>
      </w:r>
    </w:p>
    <w:p>
      <w:pPr>
        <w:pStyle w:val="ListParagraph"/>
        <w:numPr>
          <w:ilvl w:val="0"/>
          <w:numId w:val="8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Cuando el cliente acepta, pulsar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Confirmar</w:t>
      </w:r>
      <w:r>
        <w:rPr>
          <w:rFonts w:ascii="Calibri" w:cs="Calibri" w:eastAsia="Calibri" w:hAnsi="Calibri"/>
          <w:sz w:val="21"/>
          <w:szCs w:val="21"/>
        </w:rPr>
        <w:t xml:space="preserve">. La cotización pasa a «Orden de venta» y las reglas de automatización envían el recibo con PDF y el correo de marketing.</w:t>
      </w:r>
    </w:p>
    <w:p>
      <w:pPr>
        <w:pStyle w:val="ListParagraph"/>
        <w:numPr>
          <w:ilvl w:val="0"/>
          <w:numId w:val="8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Validar la entrega en el botón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Entrega</w:t>
      </w:r>
      <w:r>
        <w:rPr>
          <w:rFonts w:ascii="Calibri" w:cs="Calibri" w:eastAsia="Calibri" w:hAnsi="Calibri"/>
          <w:sz w:val="21"/>
          <w:szCs w:val="21"/>
        </w:rPr>
        <w:t xml:space="preserve"> y pulsar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Crear factura</w:t>
      </w:r>
      <w:r>
        <w:rPr>
          <w:rFonts w:ascii="Calibri" w:cs="Calibri" w:eastAsia="Calibri" w:hAnsi="Calibri"/>
          <w:sz w:val="21"/>
          <w:szCs w:val="21"/>
        </w:rPr>
        <w:t xml:space="preserve"> para facturar la venta.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2762250"/>
            <wp:effectExtent t="0" r="0" b="0" l="0"/>
            <wp:docPr id="29" name="Orden de venta S00221 confirmada: líneas, impuestos y los correos automáticos en el chatter." descr="Orden de venta S00221 confirmada: líneas, impuestos y los correos automáticos en el chatter." title="Orden de venta S00221 confirmada: líneas, impuestos y los correos automáticos en el chat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29.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Orden de venta S00221 confirmada: líneas, impuestos y los correos automáticos en el chatter.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Las ventas realizadas por la tienda en línea siguen el mismo camino: el pedido del cliente crea la orden de venta de forma automática.</w:t>
      </w:r>
    </w:p>
    <w:p>
      <w:pPr>
        <w:pStyle w:val="Heading2"/>
      </w:pPr>
      <w:bookmarkStart w:name="_Toc36" w:id="36"/>
      <w:r>
        <w:rPr>
          <w:rFonts w:ascii="Calibri" w:cs="Calibri" w:eastAsia="Calibri" w:hAnsi="Calibri"/>
        </w:rPr>
        <w:t xml:space="preserve">3.6 Manejo de clientes en el CRM</w:t>
      </w:r>
      <w:bookmarkEnd w:id="36"/>
    </w:p>
    <w:p>
      <w:pPr>
        <w:pStyle w:val="ListParagraph"/>
        <w:numPr>
          <w:ilvl w:val="0"/>
          <w:numId w:val="9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Ir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Contactos → Nuevo</w:t>
      </w:r>
      <w:r>
        <w:rPr>
          <w:rFonts w:ascii="Calibri" w:cs="Calibri" w:eastAsia="Calibri" w:hAnsi="Calibri"/>
          <w:sz w:val="21"/>
          <w:szCs w:val="21"/>
        </w:rPr>
        <w:t xml:space="preserve"> y registrar al cliente: nombre, tipo (persona o empresa), correo, teléfono, dirección, NIT y etiquetas.</w:t>
      </w:r>
    </w:p>
    <w:p>
      <w:pPr>
        <w:pStyle w:val="ListParagraph"/>
        <w:numPr>
          <w:ilvl w:val="0"/>
          <w:numId w:val="9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Desde la ficha del cliente, consultar sus ventas, facturas y cotizaciones mediante los botones inteligentes.</w:t>
      </w:r>
    </w:p>
    <w:p>
      <w:pPr>
        <w:pStyle w:val="ListParagraph"/>
        <w:numPr>
          <w:ilvl w:val="0"/>
          <w:numId w:val="9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CRM → Flujo</w:t>
      </w:r>
      <w:r>
        <w:rPr>
          <w:rFonts w:ascii="Calibri" w:cs="Calibri" w:eastAsia="Calibri" w:hAnsi="Calibri"/>
          <w:sz w:val="21"/>
          <w:szCs w:val="21"/>
        </w:rPr>
        <w:t xml:space="preserve">, crear una oportunidad por cada negocio en seguimiento y moverla entre las etapas Nuevo, Calificado, Propuesta y Ganado.</w:t>
      </w:r>
    </w:p>
    <w:p>
      <w:pPr>
        <w:pStyle w:val="ListParagraph"/>
        <w:numPr>
          <w:ilvl w:val="0"/>
          <w:numId w:val="9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Al confirmar una venta, el cliente recibe automáticamente el correo de agradecimiento con la campaña de marketing.</w:t>
      </w:r>
    </w:p>
    <w:p>
      <w:pPr>
        <w:pStyle w:val="ListParagraph"/>
        <w:numPr>
          <w:ilvl w:val="0"/>
          <w:numId w:val="9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Cuando el cliente compra en la tienda en línea, su contacto se crea o se actualiza en el mismo directorio, de manera que ventas, web y CRM comparten la información.</w:t>
      </w:r>
    </w:p>
    <w:p>
      <w:pPr>
        <w:pStyle w:val="Heading2"/>
      </w:pPr>
      <w:bookmarkStart w:name="_Toc37" w:id="37"/>
      <w:r>
        <w:rPr>
          <w:rFonts w:ascii="Calibri" w:cs="Calibri" w:eastAsia="Calibri" w:hAnsi="Calibri"/>
        </w:rPr>
        <w:t xml:space="preserve">3.7 Administración de empleados</w:t>
      </w:r>
      <w:bookmarkEnd w:id="37"/>
    </w:p>
    <w:p>
      <w:pPr>
        <w:pStyle w:val="ListParagraph"/>
        <w:numPr>
          <w:ilvl w:val="0"/>
          <w:numId w:val="10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Ir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Empleados → Nuevo</w:t>
      </w:r>
      <w:r>
        <w:rPr>
          <w:rFonts w:ascii="Calibri" w:cs="Calibri" w:eastAsia="Calibri" w:hAnsi="Calibri"/>
          <w:sz w:val="21"/>
          <w:szCs w:val="21"/>
        </w:rPr>
        <w:t xml:space="preserve"> y completar nombre, puesto, departamento, jefe directo, ubicación de trabajo (sucursal), correo y teléfono.</w:t>
      </w:r>
    </w:p>
    <w:p>
      <w:pPr>
        <w:pStyle w:val="ListParagraph"/>
        <w:numPr>
          <w:ilvl w:val="0"/>
          <w:numId w:val="10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Empleados → Contratos</w:t>
      </w:r>
      <w:r>
        <w:rPr>
          <w:rFonts w:ascii="Calibri" w:cs="Calibri" w:eastAsia="Calibri" w:hAnsi="Calibri"/>
          <w:sz w:val="21"/>
          <w:szCs w:val="21"/>
        </w:rPr>
        <w:t xml:space="preserve">, crear el contrato con salario, fecha de inicio y horario, y pasarlo a «En proceso».</w:t>
      </w:r>
    </w:p>
    <w:p>
      <w:pPr>
        <w:pStyle w:val="ListParagraph"/>
        <w:numPr>
          <w:ilvl w:val="0"/>
          <w:numId w:val="10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Mantener los cargos 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Configuración → Puestos de trabajo</w:t>
      </w:r>
      <w:r>
        <w:rPr>
          <w:rFonts w:ascii="Calibri" w:cs="Calibri" w:eastAsia="Calibri" w:hAnsi="Calibri"/>
          <w:sz w:val="21"/>
          <w:szCs w:val="21"/>
        </w:rPr>
        <w:t xml:space="preserve"> y los departamentos 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Departamentos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Para consultar, agrupar la lista por departamento o por ubicación de trabajo, o abrir el organigrama desde la ficha.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2762250"/>
            <wp:effectExtent t="0" r="0" b="0" l="0"/>
            <wp:docPr id="30" name="Directorio de 37 empleados activos." descr="Directorio de 37 empleados activos." title="Directorio de 37 empleados activ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30.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Directorio de 37 empleados activos.</w:t>
      </w:r>
    </w:p>
    <w:p>
      <w:pPr>
        <w:pStyle w:val="Heading2"/>
      </w:pPr>
      <w:bookmarkStart w:name="_Toc38" w:id="38"/>
      <w:r>
        <w:rPr>
          <w:rFonts w:ascii="Calibri" w:cs="Calibri" w:eastAsia="Calibri" w:hAnsi="Calibri"/>
        </w:rPr>
        <w:t xml:space="preserve">3.8 Generación de facturas</w:t>
      </w:r>
      <w:bookmarkEnd w:id="38"/>
    </w:p>
    <w:p>
      <w:pPr>
        <w:pStyle w:val="ListParagraph"/>
        <w:numPr>
          <w:ilvl w:val="0"/>
          <w:numId w:val="11"/>
        </w:numPr>
        <w:spacing w:after="7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Factura de proveedor:</w:t>
      </w:r>
      <w:r>
        <w:rPr>
          <w:rFonts w:ascii="Calibri" w:cs="Calibri" w:eastAsia="Calibri" w:hAnsi="Calibri"/>
          <w:sz w:val="21"/>
          <w:szCs w:val="21"/>
        </w:rPr>
        <w:t xml:space="preserve"> nace de una compra recibida (botón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Crear factura</w:t>
      </w:r>
      <w:r>
        <w:rPr>
          <w:rFonts w:ascii="Calibri" w:cs="Calibri" w:eastAsia="Calibri" w:hAnsi="Calibri"/>
          <w:sz w:val="21"/>
          <w:szCs w:val="21"/>
        </w:rPr>
        <w:t xml:space="preserve"> en la orden), como se describe en la sección 3.4.</w:t>
      </w:r>
    </w:p>
    <w:p>
      <w:pPr>
        <w:pStyle w:val="ListParagraph"/>
        <w:numPr>
          <w:ilvl w:val="0"/>
          <w:numId w:val="11"/>
        </w:numPr>
        <w:spacing w:after="7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Factura de cliente:</w:t>
      </w:r>
      <w:r>
        <w:rPr>
          <w:rFonts w:ascii="Calibri" w:cs="Calibri" w:eastAsia="Calibri" w:hAnsi="Calibri"/>
          <w:sz w:val="21"/>
          <w:szCs w:val="21"/>
        </w:rPr>
        <w:t xml:space="preserve"> desde la orden de venta con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Crear factura</w:t>
      </w:r>
      <w:r>
        <w:rPr>
          <w:rFonts w:ascii="Calibri" w:cs="Calibri" w:eastAsia="Calibri" w:hAnsi="Calibri"/>
          <w:sz w:val="21"/>
          <w:szCs w:val="21"/>
        </w:rPr>
        <w:t xml:space="preserve">, o 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Facturación → Clientes → Facturas → Nuevo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Pulsar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Confirmar</w:t>
      </w:r>
      <w:r>
        <w:rPr>
          <w:rFonts w:ascii="Calibri" w:cs="Calibri" w:eastAsia="Calibri" w:hAnsi="Calibri"/>
          <w:sz w:val="21"/>
          <w:szCs w:val="21"/>
        </w:rPr>
        <w:t xml:space="preserve"> para publicar la factura; Odoo le asigna su número consecutivo.</w:t>
      </w:r>
    </w:p>
    <w:p>
      <w:pPr>
        <w:pStyle w:val="ListParagraph"/>
        <w:numPr>
          <w:ilvl w:val="0"/>
          <w:numId w:val="11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Pulsar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Imprimir</w:t>
      </w:r>
      <w:r>
        <w:rPr>
          <w:rFonts w:ascii="Calibri" w:cs="Calibri" w:eastAsia="Calibri" w:hAnsi="Calibri"/>
          <w:sz w:val="21"/>
          <w:szCs w:val="21"/>
        </w:rPr>
        <w:t xml:space="preserve"> para generar el PDF 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Registrar pago</w:t>
      </w:r>
      <w:r>
        <w:rPr>
          <w:rFonts w:ascii="Calibri" w:cs="Calibri" w:eastAsia="Calibri" w:hAnsi="Calibri"/>
          <w:sz w:val="21"/>
          <w:szCs w:val="21"/>
        </w:rPr>
        <w:t xml:space="preserve"> para conciliarla.</w:t>
      </w:r>
    </w:p>
    <w:p>
      <w:pPr>
        <w:pStyle w:val="ListParagraph"/>
        <w:numPr>
          <w:ilvl w:val="0"/>
          <w:numId w:val="11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Para tener una copia de todos los PDF en una carpeta, ejecutar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export_invoices.py</w:t>
      </w:r>
      <w:r>
        <w:rPr>
          <w:rFonts w:ascii="Calibri" w:cs="Calibri" w:eastAsia="Calibri" w:hAnsi="Calibri"/>
          <w:sz w:val="21"/>
          <w:szCs w:val="21"/>
        </w:rPr>
        <w:t xml:space="preserve">: descarga solo las facturas nuevas y actualiza el índice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indice_facturas.csv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left w:val="single" w:color="2F5D9B" w:sz="12" w:space="6"/>
        </w:pBdr>
        <w:shd w:fill="F3F5F8" w:color="auto" w:val="clear"/>
        <w:spacing w:after="14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docker compose --profile seed run --rm --entrypoint python3 seed -u /seed/export_invoices.py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619750" cy="2543175"/>
            <wp:effectExtent t="0" r="0" b="0" l="0"/>
            <wp:docPr id="31" name="Facturas de proveedor publicadas y su estado de pago." descr="Facturas de proveedor publicadas y su estado de pago." title="Facturas de proveedor publicadas y su estado de pa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31.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Facturas de proveedor publicadas y su estado de pago.</w:t>
      </w:r>
    </w:p>
    <w:p>
      <w:pPr>
        <w:pStyle w:val="Heading2"/>
      </w:pPr>
      <w:bookmarkStart w:name="_Toc39" w:id="39"/>
      <w:r>
        <w:rPr>
          <w:rFonts w:ascii="Calibri" w:cs="Calibri" w:eastAsia="Calibri" w:hAnsi="Calibri"/>
        </w:rPr>
        <w:t xml:space="preserve">3.9 Carga y clasificación de documentos</w:t>
      </w:r>
      <w:bookmarkEnd w:id="39"/>
    </w:p>
    <w:p>
      <w:pPr>
        <w:pStyle w:val="ListParagraph"/>
        <w:numPr>
          <w:ilvl w:val="0"/>
          <w:numId w:val="12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Documentos</w:t>
      </w:r>
      <w:r>
        <w:rPr>
          <w:rFonts w:ascii="Calibri" w:cs="Calibri" w:eastAsia="Calibri" w:hAnsi="Calibri"/>
          <w:sz w:val="21"/>
          <w:szCs w:val="21"/>
        </w:rPr>
        <w:t xml:space="preserve">, seleccionar la carpeta de destino en el panel izquierdo (por ejemplo, «Contratos de Empleados»).</w:t>
      </w:r>
    </w:p>
    <w:p>
      <w:pPr>
        <w:pStyle w:val="ListParagraph"/>
        <w:numPr>
          <w:ilvl w:val="0"/>
          <w:numId w:val="12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Pulsar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Subir</w:t>
      </w:r>
      <w:r>
        <w:rPr>
          <w:rFonts w:ascii="Calibri" w:cs="Calibri" w:eastAsia="Calibri" w:hAnsi="Calibri"/>
          <w:sz w:val="21"/>
          <w:szCs w:val="21"/>
        </w:rPr>
        <w:t xml:space="preserve"> y elegir los archivos PDF; esperar a que se generen las miniaturas.</w:t>
      </w:r>
    </w:p>
    <w:p>
      <w:pPr>
        <w:pStyle w:val="ListParagraph"/>
        <w:numPr>
          <w:ilvl w:val="0"/>
          <w:numId w:val="12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Hacer clic sobre cada documento y, en el campo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Etiquetas</w:t>
      </w:r>
      <w:r>
        <w:rPr>
          <w:rFonts w:ascii="Calibri" w:cs="Calibri" w:eastAsia="Calibri" w:hAnsi="Calibri"/>
          <w:sz w:val="21"/>
          <w:szCs w:val="21"/>
        </w:rPr>
        <w:t xml:space="preserve">, elegir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Laboral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Outsourcing</w:t>
      </w:r>
      <w:r>
        <w:rPr>
          <w:rFonts w:ascii="Calibri" w:cs="Calibri" w:eastAsia="Calibri" w:hAnsi="Calibri"/>
          <w:sz w:val="21"/>
          <w:szCs w:val="21"/>
        </w:rPr>
        <w:t xml:space="preserve"> o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Factura</w:t>
      </w:r>
      <w:r>
        <w:rPr>
          <w:rFonts w:ascii="Calibri" w:cs="Calibri" w:eastAsia="Calibri" w:hAnsi="Calibri"/>
          <w:sz w:val="21"/>
          <w:szCs w:val="21"/>
        </w:rPr>
        <w:t xml:space="preserve"> según corresponda.</w:t>
      </w:r>
    </w:p>
    <w:p>
      <w:pPr>
        <w:pStyle w:val="ListParagraph"/>
        <w:numPr>
          <w:ilvl w:val="0"/>
          <w:numId w:val="12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Para recuperar la información, escribir la etiqueta en la barra de búsqueda o usar el panel de filtros.</w:t>
      </w:r>
    </w:p>
    <w:p>
      <w:pPr>
        <w:pStyle w:val="Heading2"/>
      </w:pPr>
      <w:bookmarkStart w:name="_Toc40" w:id="40"/>
      <w:r>
        <w:rPr>
          <w:rFonts w:ascii="Calibri" w:cs="Calibri" w:eastAsia="Calibri" w:hAnsi="Calibri"/>
        </w:rPr>
        <w:t xml:space="preserve">3.10 Consultas SQL de verificación</w:t>
      </w:r>
      <w:bookmarkEnd w:id="40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Cada resultado visible en la interfaz se puede comprobar en la base de datos. El archivo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sql/consultas_calificacion.sql</w:t>
      </w:r>
      <w:r>
        <w:rPr>
          <w:rFonts w:ascii="Calibri" w:cs="Calibri" w:eastAsia="Calibri" w:hAnsi="Calibri"/>
          <w:sz w:val="21"/>
          <w:szCs w:val="21"/>
        </w:rPr>
        <w:t xml:space="preserve"> contiene un resumen con todas las metas y el detalle por criterio. Algunas consultas clave:</w:t>
      </w:r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40"/>
      </w:tblGrid>
      <w:tr>
        <w:trPr>
          <w:cantSplit/>
          <w:tblHeader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6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Consulta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Ventas confirmadas</w:t>
            </w:r>
          </w:p>
        </w:tc>
        <w:tc>
          <w:tcPr>
            <w:tcW w:type="dxa" w:w="6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SELECT count(*) FROM sale_order WHERE state = 'sale';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Cotizaciones a clientes</w:t>
            </w:r>
          </w:p>
        </w:tc>
        <w:tc>
          <w:tcPr>
            <w:tcW w:type="dxa" w:w="6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SELECT count(*) FROM sale_order WHERE state IN ('draft','sent');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Cotizaciones a proveedores</w:t>
            </w:r>
          </w:p>
        </w:tc>
        <w:tc>
          <w:tcPr>
            <w:tcW w:type="dxa" w:w="6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SELECT count(*) FROM purchase_order WHERE state IN ('draft','sent');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Empleados activos</w:t>
            </w:r>
          </w:p>
        </w:tc>
        <w:tc>
          <w:tcPr>
            <w:tcW w:type="dxa" w:w="6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SELECT count(*) FROM hr_employee WHERE active;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Cargos y departamentos</w:t>
            </w:r>
          </w:p>
        </w:tc>
        <w:tc>
          <w:tcPr>
            <w:tcW w:type="dxa" w:w="6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SELECT count(*) FROM hr_job;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SELECT count(*) FROM hr_department WHERE active;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Compras confirmadas</w:t>
            </w:r>
          </w:p>
        </w:tc>
        <w:tc>
          <w:tcPr>
            <w:tcW w:type="dxa" w:w="6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SELECT count(*) FROM purchase_order WHERE state IN ('purchase','done');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Facturas publicadas</w:t>
            </w:r>
          </w:p>
        </w:tc>
        <w:tc>
          <w:tcPr>
            <w:tcW w:type="dxa" w:w="6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SELECT move_type, count(*) FROM account_move WHERE move_type IN ('in_invoice','out_invoice') AND state = 'posted' GROUP BY move_type;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Materiales de sucursal</w:t>
            </w:r>
          </w:p>
        </w:tc>
        <w:tc>
          <w:tcPr>
            <w:tcW w:type="dxa" w:w="6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SELECT count(*) FROM product_template pt JOIN product_category pc ON pc.id = pt.categ_id WHERE pc.complete_name LIKE 'Materiales de Sucursal%';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Archivos documentales</w:t>
            </w:r>
          </w:p>
        </w:tc>
        <w:tc>
          <w:tcPr>
            <w:tcW w:type="dxa" w:w="6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SELECT count(*) FROM dms_file WHERE active;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12.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Consultas SQL de verificación.</w:t>
      </w:r>
    </w:p>
    <w:p>
      <w:pPr>
        <w:pBdr>
          <w:left w:val="single" w:color="2F5D9B" w:sz="18" w:space="8"/>
        </w:pBdr>
        <w:shd w:fill="EAF1FB" w:color="auto" w:val="clear"/>
        <w:spacing w:after="160" w:before="60" w:line="264"/>
        <w:ind w:left="160" w:right="12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Nota técnica. </w:t>
      </w:r>
      <w:r>
        <w:rPr>
          <w:rFonts w:ascii="Calibri" w:cs="Calibri" w:eastAsia="Calibri" w:hAnsi="Calibri"/>
          <w:sz w:val="20"/>
          <w:szCs w:val="20"/>
        </w:rPr>
        <w:t xml:space="preserve">En Odoo 18 los nombres traducibles (cargos, departamentos y productos) son campos JSONB y se leen con </w:t>
      </w:r>
      <w:r>
        <w:rPr>
          <w:rFonts w:ascii="Consolas" w:cs="Consolas" w:eastAsia="Consolas" w:hAnsi="Consolas"/>
          <w:color w:val="1F3A5F"/>
          <w:sz w:val="18"/>
          <w:szCs w:val="18"/>
          <w:shd w:fill="EEF2F7" w:color="auto" w:val="clear"/>
        </w:rPr>
        <w:t xml:space="preserve">COALESCE(name-&gt;&gt;'es_419', name-&gt;&gt;'en_US')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1"/>
        <w:pageBreakBefore/>
      </w:pPr>
      <w:bookmarkStart w:name="_Toc41" w:id="41"/>
      <w:r>
        <w:rPr>
          <w:rFonts w:ascii="Calibri" w:cs="Calibri" w:eastAsia="Calibri" w:hAnsi="Calibri"/>
        </w:rPr>
        <w:t xml:space="preserve">4. Automatización con RPA (UiPath)</w:t>
      </w:r>
      <w:bookmarkEnd w:id="41"/>
    </w:p>
    <w:p>
      <w:pPr>
        <w:pStyle w:val="Heading2"/>
      </w:pPr>
      <w:bookmarkStart w:name="_Toc42" w:id="42"/>
      <w:r>
        <w:rPr>
          <w:rFonts w:ascii="Calibri" w:cs="Calibri" w:eastAsia="Calibri" w:hAnsi="Calibri"/>
        </w:rPr>
        <w:t xml:space="preserve">4.1 El problema</w:t>
      </w:r>
      <w:bookmarkEnd w:id="42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departamento de ventas organizó su información en carpetas y archivos de Excel con nombres del tipo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&lt;tipo&gt; - &lt;descripción&gt;</w:t>
      </w:r>
      <w:r>
        <w:rPr>
          <w:rFonts w:ascii="Calibri" w:cs="Calibri" w:eastAsia="Calibri" w:hAnsi="Calibri"/>
          <w:sz w:val="21"/>
          <w:szCs w:val="21"/>
        </w:rPr>
        <w:t xml:space="preserve"> (clientes, proveedores, reclamos, registros, productos). Cada archivo contiene varias hojas, pero solo interesan las llamadas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clientes</w:t>
      </w:r>
      <w:r>
        <w:rPr>
          <w:rFonts w:ascii="Calibri" w:cs="Calibri" w:eastAsia="Calibri" w:hAnsi="Calibri"/>
          <w:sz w:val="21"/>
          <w:szCs w:val="21"/>
        </w:rPr>
        <w:t xml:space="preserve"> 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productos</w:t>
      </w:r>
      <w:r>
        <w:rPr>
          <w:rFonts w:ascii="Calibri" w:cs="Calibri" w:eastAsia="Calibri" w:hAnsi="Calibri"/>
          <w:sz w:val="21"/>
          <w:szCs w:val="21"/>
        </w:rPr>
        <w:t xml:space="preserve">. Cargar esa información a mano en Odoo implicaba abrir decenas de archivos, copiar datos, corregir formatos y repetir el proceso con cada cambio.</w:t>
      </w:r>
    </w:p>
    <w:p>
      <w:pPr>
        <w:pStyle w:val="Heading2"/>
      </w:pPr>
      <w:bookmarkStart w:name="_Toc43" w:id="43"/>
      <w:r>
        <w:rPr>
          <w:rFonts w:ascii="Calibri" w:cs="Calibri" w:eastAsia="Calibri" w:hAnsi="Calibri"/>
        </w:rPr>
        <w:t xml:space="preserve">4.2 Objetivo</w:t>
      </w:r>
      <w:bookmarkEnd w:id="43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Construir un robot que, sin intervención humana, encuentre los archivos válidos, lea solo las hojas necesarias, normalice y valide los datos, elimine duplicados, genere archivos consolidados compatibles con Odoo y los importe en el ERP. El resultado debe poder verse en el sitio web y comprobarse con una consulta a la base de datos.</w:t>
      </w:r>
    </w:p>
    <w:p>
      <w:pPr>
        <w:pStyle w:val="Heading2"/>
      </w:pPr>
      <w:bookmarkStart w:name="_Toc44" w:id="44"/>
      <w:r>
        <w:rPr>
          <w:rFonts w:ascii="Calibri" w:cs="Calibri" w:eastAsia="Calibri" w:hAnsi="Calibri"/>
        </w:rPr>
        <w:t xml:space="preserve">4.3 Requisitos y entorno</w:t>
      </w:r>
      <w:bookmarkEnd w:id="44"/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40"/>
      </w:tblGrid>
      <w:tr>
        <w:trPr>
          <w:cantSplit/>
          <w:tblHeader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UiPath Studio</w:t>
            </w:r>
          </w:p>
        </w:tc>
        <w:tc>
          <w:tcPr>
            <w:tcW w:type="dxa" w:w="6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Versión 2026; proyecto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RPAGeren2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flujo principal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Main.xaml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Lenguaje de expresiones</w:t>
            </w:r>
          </w:p>
        </w:tc>
        <w:tc>
          <w:tcPr>
            <w:tcW w:type="dxa" w:w="6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Visual Basic (marco de trabajo Windows)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Paquetes</w:t>
            </w:r>
          </w:p>
        </w:tc>
        <w:tc>
          <w:tcPr>
            <w:tcW w:type="dxa" w:w="6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UiPath.Excel.Activities, UiPath.System.Activities, UiPath.UIAutomation.Activities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Aplicaciones</w:t>
            </w:r>
          </w:p>
        </w:tc>
        <w:tc>
          <w:tcPr>
            <w:tcW w:type="dxa" w:w="6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Microsoft Excel y Google Chrome con la extensión de UiPath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Odoo</w:t>
            </w:r>
          </w:p>
        </w:tc>
        <w:tc>
          <w:tcPr>
            <w:tcW w:type="dxa" w:w="6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Sesión iniciada en Chrome antes de ejecutar (el robot no realiza el inicio de sesión)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13.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Entorno del robot.</w:t>
      </w:r>
    </w:p>
    <w:p>
      <w:pPr>
        <w:pStyle w:val="Heading2"/>
      </w:pPr>
      <w:bookmarkStart w:name="_Toc45" w:id="45"/>
      <w:r>
        <w:rPr>
          <w:rFonts w:ascii="Calibri" w:cs="Calibri" w:eastAsia="Calibri" w:hAnsi="Calibri"/>
        </w:rPr>
        <w:t xml:space="preserve">4.4 Estructura de carpetas y regla de reconocimiento</w:t>
      </w:r>
      <w:bookmarkEnd w:id="45"/>
    </w:p>
    <w:p>
      <w:pPr>
        <w:pBdr>
          <w:left w:val="single" w:color="2F5D9B" w:sz="12" w:space="6"/>
        </w:pBdr>
        <w:shd w:fill="F3F5F8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RPAGeren2/</w:t>
      </w:r>
    </w:p>
    <w:p>
      <w:pPr>
        <w:pBdr>
          <w:left w:val="single" w:color="2F5D9B" w:sz="12" w:space="6"/>
        </w:pBdr>
        <w:shd w:fill="F3F5F8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Main.xaml                  flujo principal</w:t>
      </w:r>
    </w:p>
    <w:p>
      <w:pPr>
        <w:pBdr>
          <w:left w:val="single" w:color="2F5D9B" w:sz="12" w:space="6"/>
        </w:pBdr>
        <w:shd w:fill="F3F5F8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project.json               dependencias</w:t>
      </w:r>
    </w:p>
    <w:p>
      <w:pPr>
        <w:pBdr>
          <w:left w:val="single" w:color="2F5D9B" w:sz="12" w:space="6"/>
        </w:pBdr>
        <w:shd w:fill="F3F5F8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└── data/</w:t>
      </w:r>
    </w:p>
    <w:p>
      <w:pPr>
        <w:pBdr>
          <w:left w:val="single" w:color="2F5D9B" w:sz="12" w:space="6"/>
        </w:pBdr>
        <w:shd w:fill="F3F5F8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├── clientes - prueba/        (hoja "clientes")</w:t>
      </w:r>
    </w:p>
    <w:p>
      <w:pPr>
        <w:pBdr>
          <w:left w:val="single" w:color="2F5D9B" w:sz="12" w:space="6"/>
        </w:pBdr>
        <w:shd w:fill="F3F5F8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├── productos - prueba/       (hoja "productos")</w:t>
      </w:r>
    </w:p>
    <w:p>
      <w:pPr>
        <w:pBdr>
          <w:left w:val="single" w:color="2F5D9B" w:sz="12" w:space="6"/>
        </w:pBdr>
        <w:shd w:fill="F3F5F8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├── otros/                    (se ignora: no cumple el patrón)</w:t>
      </w:r>
    </w:p>
    <w:p>
      <w:pPr>
        <w:pBdr>
          <w:left w:val="single" w:color="2F5D9B" w:sz="12" w:space="6"/>
        </w:pBdr>
        <w:shd w:fill="F3F5F8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└── salida/                   (lo genera el robot)</w:t>
      </w:r>
    </w:p>
    <w:p>
      <w:pPr>
        <w:pBdr>
          <w:left w:val="single" w:color="2F5D9B" w:sz="12" w:space="6"/>
        </w:pBdr>
        <w:shd w:fill="F3F5F8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├── clientes_consolidado.xlsx</w:t>
      </w:r>
    </w:p>
    <w:p>
      <w:pPr>
        <w:pBdr>
          <w:left w:val="single" w:color="2F5D9B" w:sz="12" w:space="6"/>
        </w:pBdr>
        <w:shd w:fill="F3F5F8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├── productos_consolidado.xlsx</w:t>
      </w:r>
    </w:p>
    <w:p>
      <w:pPr>
        <w:pBdr>
          <w:left w:val="single" w:color="2F5D9B" w:sz="12" w:space="6"/>
        </w:pBdr>
        <w:shd w:fill="F3F5F8" w:color="auto" w:val="clear"/>
        <w:spacing w:after="14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└── errores.xlsx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Una carpeta o archivo se procesa solo si su nombre cumple esta expresión regular, sin distinguir mayúsculas:</w:t>
      </w:r>
    </w:p>
    <w:p>
      <w:pPr>
        <w:pBdr>
          <w:left w:val="single" w:color="2F5D9B" w:sz="12" w:space="6"/>
        </w:pBdr>
        <w:shd w:fill="F3F5F8" w:color="auto" w:val="clear"/>
        <w:spacing w:after="140" w:line="252"/>
        <w:ind w:left="140" w:right="1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^(clientes|proveedores|reclamos|registros?|productos)\s*-\s*.+$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Los campos solicitados son, para clientes: Name, Company Type, Related Company, Email, Phone, Street, Street2, City, State, Zip, Country, Tax ID, Website, Tags, Reference y Notes; y para productos: ID Externo, Name, Product Type, Internal Reference, Barcode, Sales Price, Cost, Weight, Sales Description, Product Values, Cantidad a la mano y Está publicado.</w:t>
      </w:r>
    </w:p>
    <w:p>
      <w:pPr>
        <w:pStyle w:val="Heading2"/>
      </w:pPr>
      <w:bookmarkStart w:name="_Toc46" w:id="46"/>
      <w:r>
        <w:rPr>
          <w:rFonts w:ascii="Calibri" w:cs="Calibri" w:eastAsia="Calibri" w:hAnsi="Calibri"/>
        </w:rPr>
        <w:t xml:space="preserve">4.5 Construcción del robot paso a paso</w:t>
      </w:r>
      <w:bookmarkEnd w:id="46"/>
    </w:p>
    <w:p>
      <w:pPr>
        <w:pStyle w:val="Heading3"/>
      </w:pPr>
      <w:r>
        <w:rPr>
          <w:rFonts w:ascii="Calibri" w:cs="Calibri" w:eastAsia="Calibri" w:hAnsi="Calibri"/>
        </w:rPr>
        <w:t xml:space="preserve">Paso 1. Variables e inicialización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En la secuencia principal se declaran las variables del proceso: la ruta de datos, el patrón de nombres, los arreglos de carpetas y archivos, y cinco tablas de datos (clientes de la hoja, clientes totales, productos de la hoja, productos totales y errores). Una actividad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Asignación múltiple</w:t>
      </w:r>
      <w:r>
        <w:rPr>
          <w:rFonts w:ascii="Calibri" w:cs="Calibri" w:eastAsia="Calibri" w:hAnsi="Calibri"/>
          <w:sz w:val="21"/>
          <w:szCs w:val="21"/>
        </w:rPr>
        <w:t xml:space="preserve"> crea las tablas vacías y obtiene las carpetas que cumplen el patrón.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3429000" cy="1571625"/>
            <wp:effectExtent t="0" r="0" b="0" l="0"/>
            <wp:docPr id="32" name="Inicialización de variables y tablas de datos con Asignación múltiple." descr="Inicialización de variables y tablas de datos con Asignación múltiple." title="Inicialización de variables y tablas de datos con Asignación múltip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32.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Inicialización de variables y tablas de datos con Asignación múltiple.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Paso 2. Preparar la carpeta de salida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Una actividad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Invocar código</w:t>
      </w:r>
      <w:r>
        <w:rPr>
          <w:rFonts w:ascii="Calibri" w:cs="Calibri" w:eastAsia="Calibri" w:hAnsi="Calibri"/>
          <w:sz w:val="21"/>
          <w:szCs w:val="21"/>
        </w:rPr>
        <w:t xml:space="preserve"> crea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data\salida</w:t>
      </w:r>
      <w:r>
        <w:rPr>
          <w:rFonts w:ascii="Calibri" w:cs="Calibri" w:eastAsia="Calibri" w:hAnsi="Calibri"/>
          <w:sz w:val="21"/>
          <w:szCs w:val="21"/>
        </w:rPr>
        <w:t xml:space="preserve"> si no existe y borra los consolidados de ejecuciones anteriores. Así no quedan filas viejas mezcladas con los datos nuevos.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2495550" cy="2800350"/>
            <wp:effectExtent t="0" r="0" b="0" l="0"/>
            <wp:docPr id="33" name="Invocar código «Preparar carpeta salida»." descr="Invocar código «Preparar carpeta salida»." title="Invocar código «Preparar carpeta salida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33.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Invocar código «Preparar carpeta salida».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Paso 3. Recorrer carpetas y obtener los archivos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Dentro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Alcance del proceso de Excel</w:t>
      </w:r>
      <w:r>
        <w:rPr>
          <w:rFonts w:ascii="Calibri" w:cs="Calibri" w:eastAsia="Calibri" w:hAnsi="Calibri"/>
          <w:sz w:val="21"/>
          <w:szCs w:val="21"/>
        </w:rPr>
        <w:t xml:space="preserve"> (una sola instancia de Excel para todo el proceso) un ciclo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Para cada</w:t>
      </w:r>
      <w:r>
        <w:rPr>
          <w:rFonts w:ascii="Calibri" w:cs="Calibri" w:eastAsia="Calibri" w:hAnsi="Calibri"/>
          <w:sz w:val="21"/>
          <w:szCs w:val="21"/>
        </w:rPr>
        <w:t xml:space="preserve"> recorre las carpetas. Para cada una se obtienen los archivos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.xls</w:t>
      </w:r>
      <w:r>
        <w:rPr>
          <w:rFonts w:ascii="Calibri" w:cs="Calibri" w:eastAsia="Calibri" w:hAnsi="Calibri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.xlsx</w:t>
      </w:r>
      <w:r>
        <w:rPr>
          <w:rFonts w:ascii="Calibri" w:cs="Calibri" w:eastAsia="Calibri" w:hAnsi="Calibri"/>
          <w:sz w:val="21"/>
          <w:szCs w:val="21"/>
        </w:rPr>
        <w:t xml:space="preserve"> cuyo nombre cumple el patrón, descartando los temporales de Excel (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~$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3429000" cy="3114675"/>
            <wp:effectExtent t="0" r="0" b="0" l="0"/>
            <wp:docPr id="34" name="Alcance de Excel, recorrido de carpetas y obtención de archivos válidos." descr="Alcance de Excel, recorrido de carpetas y obtención de archivos válidos." title="Alcance de Excel, recorrido de carpetas y obtención de archivos váli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34.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Alcance de Excel, recorrido de carpetas y obtención de archivos válidos.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Paso 4. Recorrer archivos y hojas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Para cada archivo se usa la actividad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Utilice el archivo de Excel</w:t>
      </w:r>
      <w:r>
        <w:rPr>
          <w:rFonts w:ascii="Calibri" w:cs="Calibri" w:eastAsia="Calibri" w:hAnsi="Calibri"/>
          <w:sz w:val="21"/>
          <w:szCs w:val="21"/>
        </w:rPr>
        <w:t xml:space="preserve"> y, dentro,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Para cada hoja de Excel</w:t>
      </w:r>
      <w:r>
        <w:rPr>
          <w:rFonts w:ascii="Calibri" w:cs="Calibri" w:eastAsia="Calibri" w:hAnsi="Calibri"/>
          <w:sz w:val="21"/>
          <w:szCs w:val="21"/>
        </w:rPr>
        <w:t xml:space="preserve">. El nombre de la hoja se compara sin espacios ni distinción de mayúsculas: si es «clientes» se ejecuta la rama de clientes; si es «productos», la de productos; cualquier otra hoja se ignora.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3429000" cy="2886075"/>
            <wp:effectExtent t="0" r="0" b="0" l="0"/>
            <wp:docPr id="35" name="Ciclo por archivo, apertura del libro y recorrido de sus hojas." descr="Ciclo por archivo, apertura del libro y recorrido de sus hojas." title="Ciclo por archivo, apertura del libro y recorrido de sus hoj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35.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Ciclo por archivo, apertura del libro y recorrido de sus hojas.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Paso 5. Normalizar la hoja de clientes</w:t>
      </w:r>
    </w:p>
    <w:p>
      <w:pPr>
        <w:pStyle w:val="ListParagraph"/>
        <w:numPr>
          <w:ilvl w:val="0"/>
          <w:numId w:val="13"/>
        </w:numPr>
        <w:spacing w:after="7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Leer rango</w:t>
      </w:r>
      <w:r>
        <w:rPr>
          <w:rFonts w:ascii="Calibri" w:cs="Calibri" w:eastAsia="Calibri" w:hAnsi="Calibri"/>
          <w:sz w:val="21"/>
          <w:szCs w:val="21"/>
        </w:rPr>
        <w:t xml:space="preserve"> lee toda la hoja en una tabla de datos.</w:t>
      </w:r>
    </w:p>
    <w:p>
      <w:pPr>
        <w:pStyle w:val="ListParagraph"/>
        <w:numPr>
          <w:ilvl w:val="0"/>
          <w:numId w:val="13"/>
        </w:numPr>
        <w:spacing w:after="7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Invocar código</w:t>
      </w:r>
      <w:r>
        <w:rPr>
          <w:rFonts w:ascii="Calibri" w:cs="Calibri" w:eastAsia="Calibri" w:hAnsi="Calibri"/>
          <w:sz w:val="21"/>
          <w:szCs w:val="21"/>
        </w:rPr>
        <w:t xml:space="preserve"> limpia los encabezados (quita asteriscos y espacios), traduce los nombres técnicos de Odoo a los de la plantilla (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name</w:t>
      </w:r>
      <w:r>
        <w:rPr>
          <w:rFonts w:ascii="Calibri" w:cs="Calibri" w:eastAsia="Calibri" w:hAnsi="Calibri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Name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is_company</w:t>
      </w:r>
      <w:r>
        <w:rPr>
          <w:rFonts w:ascii="Calibri" w:cs="Calibri" w:eastAsia="Calibri" w:hAnsi="Calibri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Company Type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vat</w:t>
      </w:r>
      <w:r>
        <w:rPr>
          <w:rFonts w:ascii="Calibri" w:cs="Calibri" w:eastAsia="Calibri" w:hAnsi="Calibri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Tax ID</w:t>
      </w:r>
      <w:r>
        <w:rPr>
          <w:rFonts w:ascii="Calibri" w:cs="Calibri" w:eastAsia="Calibri" w:hAnsi="Calibri"/>
          <w:sz w:val="21"/>
          <w:szCs w:val="21"/>
        </w:rPr>
        <w:t xml:space="preserve">, etc.), elimina las filas vacías y agrega la columna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Origen</w:t>
      </w:r>
      <w:r>
        <w:rPr>
          <w:rFonts w:ascii="Calibri" w:cs="Calibri" w:eastAsia="Calibri" w:hAnsi="Calibri"/>
          <w:sz w:val="21"/>
          <w:szCs w:val="21"/>
        </w:rPr>
        <w:t xml:space="preserve"> con el archivo y la hoja de donde salió cada fila.</w:t>
      </w:r>
    </w:p>
    <w:p>
      <w:pPr>
        <w:pStyle w:val="ListParagraph"/>
        <w:numPr>
          <w:ilvl w:val="0"/>
          <w:numId w:val="13"/>
        </w:numPr>
        <w:spacing w:after="7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Fusionar tabla de datos</w:t>
      </w:r>
      <w:r>
        <w:rPr>
          <w:rFonts w:ascii="Calibri" w:cs="Calibri" w:eastAsia="Calibri" w:hAnsi="Calibri"/>
          <w:sz w:val="21"/>
          <w:szCs w:val="21"/>
        </w:rPr>
        <w:t xml:space="preserve"> agrega la hoja al consolidado de clientes; las columnas nuevas se añaden automáticamente.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Paso 6. Normalizar la hoja de productos</w:t>
      </w:r>
    </w:p>
    <w:p>
      <w:pPr>
        <w:pStyle w:val="ListParagraph"/>
        <w:numPr>
          <w:ilvl w:val="0"/>
          <w:numId w:val="14"/>
        </w:numPr>
        <w:spacing w:after="7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Leer rango</w:t>
      </w:r>
      <w:r>
        <w:rPr>
          <w:rFonts w:ascii="Calibri" w:cs="Calibri" w:eastAsia="Calibri" w:hAnsi="Calibri"/>
          <w:sz w:val="21"/>
          <w:szCs w:val="21"/>
        </w:rPr>
        <w:t xml:space="preserve"> 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Invocar código</w:t>
      </w:r>
      <w:r>
        <w:rPr>
          <w:rFonts w:ascii="Calibri" w:cs="Calibri" w:eastAsia="Calibri" w:hAnsi="Calibri"/>
          <w:sz w:val="21"/>
          <w:szCs w:val="21"/>
        </w:rPr>
        <w:t xml:space="preserve"> limpian los encabezados y traducen sinónimos (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Nombre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Precio de venta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Costo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Código de barras</w:t>
      </w:r>
      <w:r>
        <w:rPr>
          <w:rFonts w:ascii="Calibri" w:cs="Calibri" w:eastAsia="Calibri" w:hAnsi="Calibri"/>
          <w:sz w:val="21"/>
          <w:szCs w:val="21"/>
        </w:rPr>
        <w:t xml:space="preserve">…) a los encabezados de la plantilla oficial de Odoo.</w:t>
      </w:r>
    </w:p>
    <w:p>
      <w:pPr>
        <w:pStyle w:val="ListParagraph"/>
        <w:numPr>
          <w:ilvl w:val="0"/>
          <w:numId w:val="14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Todos los valores se convierten a texto con punto decimal, para que dos archivos con la misma columna en tipos distintos puedan fusionarse sin error.</w:t>
      </w:r>
    </w:p>
    <w:p>
      <w:pPr>
        <w:pStyle w:val="ListParagraph"/>
        <w:numPr>
          <w:ilvl w:val="0"/>
          <w:numId w:val="14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El código de barras se redondea y se escribe sin decimales, porque Excel lo guarda como número (por ejemplo,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54398267125.00001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4"/>
        </w:numPr>
        <w:spacing w:after="7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Fusionar tabla de datos</w:t>
      </w:r>
      <w:r>
        <w:rPr>
          <w:rFonts w:ascii="Calibri" w:cs="Calibri" w:eastAsia="Calibri" w:hAnsi="Calibri"/>
          <w:sz w:val="21"/>
          <w:szCs w:val="21"/>
        </w:rPr>
        <w:t xml:space="preserve"> agrega la hoja al consolidado de productos.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Paso 7. Validar, quitar duplicados y registrar errores</w:t>
      </w:r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340"/>
      </w:tblGrid>
      <w:tr>
        <w:trPr>
          <w:cantSplit/>
          <w:tblHeader/>
        </w:trPr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Clientes</w:t>
            </w:r>
          </w:p>
        </w:tc>
        <w:tc>
          <w:tcPr>
            <w:tcW w:type="dxa" w:w="33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Campos requeridos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Name, Company Type</w:t>
            </w:r>
          </w:p>
        </w:tc>
        <w:tc>
          <w:tcPr>
            <w:tcW w:type="dxa" w:w="33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External ID, Name, Product Type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Identificador externo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genera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 partir del nombre (minúsculas, sin acentos, prefijo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cliente_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3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Ya viene en el archivo (External ID)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normaliza a Goods, Service o Combo; si no se reconoce, la fila va a errores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Duplicados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Mismo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: la segunda fila va a errores</w:t>
            </w:r>
          </w:p>
        </w:tc>
        <w:tc>
          <w:tcPr>
            <w:tcW w:type="dxa" w:w="33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Mismo External ID: la segunda fila va a errores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14.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Reglas de validación del robot.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Las filas rechazadas no se pierden: se registran con su tipo, su origen y el motivo en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errores.xlsx</w:t>
      </w:r>
      <w:r>
        <w:rPr>
          <w:rFonts w:ascii="Calibri" w:cs="Calibri" w:eastAsia="Calibri" w:hAnsi="Calibri"/>
          <w:sz w:val="21"/>
          <w:szCs w:val="21"/>
        </w:rPr>
        <w:t xml:space="preserve">, que solo se genera cuando hay errores.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Paso 8. Generar los archivos consolidados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robot elimina la columna de trazabilidad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Origen</w:t>
      </w:r>
      <w:r>
        <w:rPr>
          <w:rFonts w:ascii="Calibri" w:cs="Calibri" w:eastAsia="Calibri" w:hAnsi="Calibri"/>
          <w:sz w:val="21"/>
          <w:szCs w:val="21"/>
        </w:rPr>
        <w:t xml:space="preserve"> de los clientes, ajusta los productos a las nueve columnas de la plantilla, en su mismo orden, y escribe ambos archivos con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Usar archivo de Excel</w:t>
      </w:r>
      <w:r>
        <w:rPr>
          <w:rFonts w:ascii="Calibri" w:cs="Calibri" w:eastAsia="Calibri" w:hAnsi="Calibri"/>
          <w:sz w:val="21"/>
          <w:szCs w:val="21"/>
        </w:rPr>
        <w:t xml:space="preserve"> 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Escribir rango</w:t>
      </w:r>
      <w:r>
        <w:rPr>
          <w:rFonts w:ascii="Calibri" w:cs="Calibri" w:eastAsia="Calibri" w:hAnsi="Calibri"/>
          <w:sz w:val="21"/>
          <w:szCs w:val="21"/>
        </w:rPr>
        <w:t xml:space="preserve">. Un mensaje de nivel Info resume el resultado, por ejemplo: «Clientes consolidados: 4 | Productos consolidados: 7 | Errores: 0».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3429000" cy="2562225"/>
            <wp:effectExtent t="0" r="0" b="0" l="0"/>
            <wp:docPr id="36" name="Escritura de `productos_consolidado.xlsx` con Escribir rango." descr="Escritura de `productos_consolidado.xlsx` con Escribir rango." title="Escritura de `productos_consolidado.xlsx` con Escribir ran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36.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Escritura de `productos_consolidado.xlsx` con Escribir rango.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Paso 9. Cargar los datos en Odoo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Un ciclo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Para cada carga a Odoo</w:t>
      </w:r>
      <w:r>
        <w:rPr>
          <w:rFonts w:ascii="Calibri" w:cs="Calibri" w:eastAsia="Calibri" w:hAnsi="Calibri"/>
          <w:sz w:val="21"/>
          <w:szCs w:val="21"/>
        </w:rPr>
        <w:t xml:space="preserve"> recorre dos elementos (clientes y productos), cada uno con su URL de importación y la ruta del archivo. Si hay datos para cargar, el robot se engancha a la pestaña de Chrome con Odoo, va directamente a la pantalla de importación, pulsa «Subir archivo de datos», escribe la ruta completa en el diálogo «Abrir», confirma y pulsa «Importar» con esperas de 3 y 5 segundos. Como la pantalla de importación es la misma para todos los modelos, las mismas actividades sirven para ambos archivos.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3429000" cy="2895600"/>
            <wp:effectExtent t="0" r="0" b="0" l="0"/>
            <wp:docPr id="37" name="Ciclo de carga: comprobación de datos, apertura de Odoo y navegación a la importación." descr="Ciclo de carga: comprobación de datos, apertura de Odoo y navegación a la importación." title="Ciclo de carga: comprobación de datos, apertura de Odoo y navegación a la import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37.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Ciclo de carga: comprobación de datos, apertura de Odoo y navegación a la importación.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3390900" cy="3619500"/>
            <wp:effectExtent t="0" r="0" b="0" l="0"/>
            <wp:docPr id="38" name="Escritura de la ruta del archivo, confirmación y clic en «Importar»." descr="Escritura de la ruta del archivo, confirmación y clic en «Importar»." title="Escritura de la ruta del archivo, confirmación y clic en «Importar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38.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Escritura de la ruta del archivo, confirmación y clic en «Importar».</w:t>
      </w:r>
    </w:p>
    <w:p>
      <w:pPr>
        <w:pStyle w:val="Heading2"/>
      </w:pPr>
      <w:bookmarkStart w:name="_Toc47" w:id="47"/>
      <w:r>
        <w:rPr>
          <w:rFonts w:ascii="Calibri" w:cs="Calibri" w:eastAsia="Calibri" w:hAnsi="Calibri"/>
        </w:rPr>
        <w:t xml:space="preserve">4.6 Archivos de salida</w:t>
      </w:r>
      <w:bookmarkEnd w:id="47"/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3600"/>
        <w:gridCol w:w="1640"/>
      </w:tblGrid>
      <w:tr>
        <w:trPr>
          <w:cantSplit/>
          <w:tblHeader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Hoja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1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Cuándo se genera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clientes_consolidado.xlsx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clientes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y columnas de clientes</w:t>
            </w:r>
          </w:p>
        </w:tc>
        <w:tc>
          <w:tcPr>
            <w:tcW w:type="dxa" w:w="1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Siempre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productos_consolidado.xlsx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productos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id, Name, Product Type, Internal Reference, Barcode, Sales Price, Cost, Weight, Sales Description</w:t>
            </w:r>
          </w:p>
        </w:tc>
        <w:tc>
          <w:tcPr>
            <w:tcW w:type="dxa" w:w="1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Siempre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errores.xlsx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errores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Tipo, Origen y Detalle de cada fila rechazada</w:t>
            </w:r>
          </w:p>
        </w:tc>
        <w:tc>
          <w:tcPr>
            <w:tcW w:type="dxa" w:w="1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Solo si hubo errores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15.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Archivos que produce el robot.</w:t>
      </w:r>
    </w:p>
    <w:p>
      <w:pPr>
        <w:pStyle w:val="Heading2"/>
      </w:pPr>
      <w:bookmarkStart w:name="_Toc48" w:id="48"/>
      <w:r>
        <w:rPr>
          <w:rFonts w:ascii="Calibri" w:cs="Calibri" w:eastAsia="Calibri" w:hAnsi="Calibri"/>
        </w:rPr>
        <w:t xml:space="preserve">4.7 Problemas encontrados y soluciones</w:t>
      </w:r>
      <w:bookmarkEnd w:id="48"/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140"/>
      </w:tblGrid>
      <w:tr>
        <w:trPr>
          <w:cantSplit/>
          <w:tblHeader/>
        </w:trPr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31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tabla de errores no compilaba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variable estaba declarada como texto</w:t>
            </w:r>
          </w:p>
        </w:tc>
        <w:tc>
          <w:tcPr>
            <w:tcW w:type="dxa" w:w="31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cambió su tipo a tabla de datos.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Error BC36639 al validar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 argumentos de entrada/salida de Invocar código se pasan por referencia y no se pueden usar dentro de una expresión lambda</w:t>
            </w:r>
          </w:p>
        </w:tc>
        <w:tc>
          <w:tcPr>
            <w:tcW w:type="dxa" w:w="31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copia el argumento a una variable local antes de usarlo.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Filas viejas en los consolidados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Escribir rango no borra las filas sobrantes</w:t>
            </w:r>
          </w:p>
        </w:tc>
        <w:tc>
          <w:tcPr>
            <w:tcW w:type="dxa" w:w="31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borran los archivos de salida al inicio.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clic en «Contactos» no funcionaba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ámbito buscaba un título exacto de pestaña y los menús estaban plegados</w:t>
            </w:r>
          </w:p>
        </w:tc>
        <w:tc>
          <w:tcPr>
            <w:tcW w:type="dxa" w:w="31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Navegación directa por URL y ámbito por cualquier pestaña del servidor de Odoo.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Carga poco robusta del archivo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Solo se escribía el nombre y los botones compartían un selector genérico</w:t>
            </w:r>
          </w:p>
        </w:tc>
        <w:tc>
          <w:tcPr>
            <w:tcW w:type="dxa" w:w="31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escribe la ruta completa y cada botón se identifica por su texto.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«Importar» no hacía nada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Odoo mostraba una capa de carga y el clic caía sobre ella</w:t>
            </w:r>
          </w:p>
        </w:tc>
        <w:tc>
          <w:tcPr>
            <w:tcW w:type="dxa" w:w="31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Esperas de 3 s antes y 5 s después del clic.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Duplicados al importar dos veces y error de código de barras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Odoo reconoce los registros existentes por su ID externo</w:t>
            </w:r>
          </w:p>
        </w:tc>
        <w:tc>
          <w:tcPr>
            <w:tcW w:type="dxa" w:w="31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genera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para clientes y se exporta con ese nombre en productos.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16.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Problemas del desarrollo y su solución.</w:t>
      </w:r>
    </w:p>
    <w:p>
      <w:pPr>
        <w:pStyle w:val="Heading2"/>
      </w:pPr>
      <w:bookmarkStart w:name="_Toc49" w:id="49"/>
      <w:r>
        <w:rPr>
          <w:rFonts w:ascii="Calibri" w:cs="Calibri" w:eastAsia="Calibri" w:hAnsi="Calibri"/>
        </w:rPr>
        <w:t xml:space="preserve">4.8 Cómo ejecutar el robot</w:t>
      </w:r>
      <w:bookmarkEnd w:id="49"/>
    </w:p>
    <w:p>
      <w:pPr>
        <w:pStyle w:val="ListParagraph"/>
        <w:numPr>
          <w:ilvl w:val="0"/>
          <w:numId w:val="15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Abrir Chrome e iniciar sesión en Odoo.</w:t>
      </w:r>
    </w:p>
    <w:p>
      <w:pPr>
        <w:pStyle w:val="ListParagraph"/>
        <w:numPr>
          <w:ilvl w:val="0"/>
          <w:numId w:val="15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Colocar los archivos de entrada en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data\</w:t>
      </w:r>
      <w:r>
        <w:rPr>
          <w:rFonts w:ascii="Calibri" w:cs="Calibri" w:eastAsia="Calibri" w:hAnsi="Calibri"/>
          <w:sz w:val="21"/>
          <w:szCs w:val="21"/>
        </w:rPr>
        <w:t xml:space="preserve">, dentro de carpetas con el formato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&lt;tipo&gt; - &lt;descripción&gt;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5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Cerrar cualquier archivo de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data\salida\</w:t>
      </w:r>
      <w:r>
        <w:rPr>
          <w:rFonts w:ascii="Calibri" w:cs="Calibri" w:eastAsia="Calibri" w:hAnsi="Calibri"/>
          <w:sz w:val="21"/>
          <w:szCs w:val="21"/>
        </w:rPr>
        <w:t xml:space="preserve"> que esté abierto en Excel.</w:t>
      </w:r>
    </w:p>
    <w:p>
      <w:pPr>
        <w:pStyle w:val="ListParagraph"/>
        <w:numPr>
          <w:ilvl w:val="0"/>
          <w:numId w:val="15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Abrir el proyecto en UiPath Studio y ejecutar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Main.xaml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5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No usar el mouse ni el teclado mientras el robot interactúa con Chrome.</w:t>
      </w:r>
    </w:p>
    <w:p>
      <w:pPr>
        <w:pStyle w:val="ListParagraph"/>
        <w:numPr>
          <w:ilvl w:val="0"/>
          <w:numId w:val="15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Revisar el mensaje del panel de Salida, el archivo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errores.xlsx</w:t>
      </w:r>
      <w:r>
        <w:rPr>
          <w:rFonts w:ascii="Calibri" w:cs="Calibri" w:eastAsia="Calibri" w:hAnsi="Calibri"/>
          <w:sz w:val="21"/>
          <w:szCs w:val="21"/>
        </w:rPr>
        <w:t xml:space="preserve"> (si existe) y los registros en Odoo (Contactos y Productos), y comprobar el resultado con una consulta SQL.</w:t>
      </w:r>
    </w:p>
    <w:p>
      <w:pPr>
        <w:pStyle w:val="Heading2"/>
      </w:pPr>
      <w:bookmarkStart w:name="_Toc50" w:id="50"/>
      <w:r>
        <w:rPr>
          <w:rFonts w:ascii="Calibri" w:cs="Calibri" w:eastAsia="Calibri" w:hAnsi="Calibri"/>
        </w:rPr>
        <w:t xml:space="preserve">4.9 Ventajas de implementar el RPA</w:t>
      </w:r>
      <w:bookmarkEnd w:id="50"/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40"/>
      </w:tblGrid>
      <w:tr>
        <w:trPr>
          <w:cantSplit/>
          <w:tblHeader/>
        </w:trPr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Ventaja</w:t>
            </w:r>
          </w:p>
        </w:tc>
        <w:tc>
          <w:tcPr>
            <w:tcW w:type="dxa" w:w="6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 se manifiesta en QuetzalMart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Ahorro de tiempo</w:t>
            </w:r>
          </w:p>
        </w:tc>
        <w:tc>
          <w:tcPr>
            <w:tcW w:type="dxa" w:w="6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 que antes requería abrir, copiar y pegar archivo por archivo se resuelve en minutos y sin atención humana.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Menos errores</w:t>
            </w:r>
          </w:p>
        </w:tc>
        <w:tc>
          <w:tcPr>
            <w:tcW w:type="dxa" w:w="6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normalización, las validaciones y la detección de duplicados son siempre las mismas; se evitan los errores de captura manual.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Consistencia de los datos</w:t>
            </w:r>
          </w:p>
        </w:tc>
        <w:tc>
          <w:tcPr>
            <w:tcW w:type="dxa" w:w="6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Todos los registros llegan a Odoo con el mismo formato y sin duplicados, gracias al ID externo.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Trazabilidad</w:t>
            </w:r>
          </w:p>
        </w:tc>
        <w:tc>
          <w:tcPr>
            <w:tcW w:type="dxa" w:w="6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columna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Origen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y el archivo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errores.xlsx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indican de qué archivo viene cada dato y por qué se rechazó una fila.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Repetibilidad</w:t>
            </w:r>
          </w:p>
        </w:tc>
        <w:tc>
          <w:tcPr>
            <w:tcW w:type="dxa" w:w="6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mismo proceso se puede ejecutar cuantas veces haga falta; una segunda ejecución actualiza en lugar de duplicar.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Escalabilidad</w:t>
            </w:r>
          </w:p>
        </w:tc>
        <w:tc>
          <w:tcPr>
            <w:tcW w:type="dxa" w:w="6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Agregar nuevas carpetas o sucursales no exige cambios: el robot descubre los archivos por su patrón de nombre.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Mejor uso del personal</w:t>
            </w:r>
          </w:p>
        </w:tc>
        <w:tc>
          <w:tcPr>
            <w:tcW w:type="dxa" w:w="6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Las personas dejan las tareas repetitivas y se concentran en actividades de mayor valor, como atender clientes y analizar datos.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Costo</w:t>
            </w:r>
          </w:p>
        </w:tc>
        <w:tc>
          <w:tcPr>
            <w:tcW w:type="dxa" w:w="6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requiere cambios en Odoo ni desarrollo adicional en el ERP: el robot usa la misma pantalla de importación que un usuario.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17.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Ventajas del RPA.</w:t>
      </w:r>
    </w:p>
    <w:p>
      <w:pPr>
        <w:pStyle w:val="Heading2"/>
      </w:pPr>
      <w:bookmarkStart w:name="_Toc51" w:id="51"/>
      <w:r>
        <w:rPr>
          <w:rFonts w:ascii="Calibri" w:cs="Calibri" w:eastAsia="Calibri" w:hAnsi="Calibri"/>
        </w:rPr>
        <w:t xml:space="preserve">4.10 Limitaciones y riesgos conocidos</w:t>
      </w:r>
      <w:bookmarkEnd w:id="51"/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3240"/>
      </w:tblGrid>
      <w:tr>
        <w:trPr>
          <w:cantSplit/>
          <w:tblHeader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Efecto</w:t>
            </w:r>
          </w:p>
        </w:tc>
        <w:tc>
          <w:tcPr>
            <w:tcW w:type="dxa" w:w="3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Dos clientes distintos con el mismo nombre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tratan como uno solo; el segundo queda en errores como duplicado</w:t>
            </w:r>
          </w:p>
        </w:tc>
        <w:tc>
          <w:tcPr>
            <w:tcW w:type="dxa" w:w="3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Riesgo aceptado, porque la mayoría de los clientes solo trae nombre.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Cambiar el nombre de un cliente en el Excel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Odoo lo toma como un cliente nuevo</w:t>
            </w:r>
          </w:p>
        </w:tc>
        <w:tc>
          <w:tcPr>
            <w:tcW w:type="dxa" w:w="3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Corregir los nombres directamente en Odoo.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Odoo lento o archivos muy grandes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clic en «Importar» podría ocurrir antes de tiempo</w:t>
            </w:r>
          </w:p>
        </w:tc>
        <w:tc>
          <w:tcPr>
            <w:tcW w:type="dxa" w:w="3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Aumentar la espera previa (5 a 6 segundos).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Código de barras ya usado en Odoo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Odoo rechaza toda la importación</w:t>
            </w:r>
          </w:p>
        </w:tc>
        <w:tc>
          <w:tcPr>
            <w:tcW w:type="dxa" w:w="3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Corregir o eliminar el producto que lo tiene.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Archivos de salida abiertos en Excel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se pueden borrar y el robot se detiene</w:t>
            </w:r>
          </w:p>
        </w:tc>
        <w:tc>
          <w:tcPr>
            <w:tcW w:type="dxa" w:w="3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Cerrarlos antes de ejecutar.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Cambios en la interfaz de Odoo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 selectores podrían dejar de funcionar</w:t>
            </w:r>
          </w:p>
        </w:tc>
        <w:tc>
          <w:tcPr>
            <w:tcW w:type="dxa" w:w="3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Volver a indicar el elemento en el Repositorio de objetos.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18.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Riesgos y mitigaciones.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diagrama de flujo del robot se presenta en el Manual 2, sección 2.</w:t>
      </w:r>
    </w:p>
    <w:sectPr>
      <w:headerReference w:type="default" r:id="rId8"/>
      <w:footerReference w:type="default" r:id="rId9"/>
      <w:pgSz w:w="12240" w:h="15840" w:orient="portrait"/>
      <w:pgMar w:top="1300" w:right="1300" w:bottom="1200" w:left="1300" w:header="6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573"/>
        <w:sz w:val="17"/>
        <w:szCs w:val="17"/>
      </w:rPr>
      <w:t xml:space="preserve">Grupo 12 · SOG2 2S2026   |   Página </w:t>
    </w:r>
    <w:r>
      <w:rPr>
        <w:rFonts w:ascii="Calibri" w:cs="Calibri" w:eastAsia="Calibri" w:hAnsi="Calibri"/>
        <w:color w:val="5B65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573"/>
        <w:sz w:val="17"/>
        <w:szCs w:val="17"/>
      </w:rPr>
      <w:t xml:space="preserve">Grupo 12 · SOG2 2S2026   |   Página </w:t>
    </w:r>
    <w:r>
      <w:rPr>
        <w:rFonts w:ascii="Calibri" w:cs="Calibri" w:eastAsia="Calibri" w:hAnsi="Calibri"/>
        <w:color w:val="5B65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</w:pPr>
    <w:r>
      <w:rPr>
        <w:rFonts w:ascii="Calibri" w:cs="Calibri" w:eastAsia="Calibri" w:hAnsi="Calibri"/>
        <w:color w:val="5B6573"/>
        <w:sz w:val="17"/>
        <w:szCs w:val="17"/>
      </w:rPr>
      <w:t xml:space="preserve">QuetzalMart, S.A. · Manual 1 · Instalación, uso y automatización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</w:pPr>
    <w:r>
      <w:rPr>
        <w:rFonts w:ascii="Calibri" w:cs="Calibri" w:eastAsia="Calibri" w:hAnsi="Calibri"/>
        <w:color w:val="5B6573"/>
        <w:sz w:val="17"/>
        <w:szCs w:val="17"/>
      </w:rPr>
      <w:t xml:space="preserve">QuetzalMart, S.A. · Manual 1 · Instalación, uso y automatización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5D9B" w:sz="10" w:space="4"/>
      </w:pBdr>
      <w:spacing w:after="220" w:before="12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F5D9B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1F3A5F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ccf69cd3f9141b612ed3a7f68a75e73a3747c328.jpg"/><Relationship Id="rId12" Type="http://schemas.openxmlformats.org/officeDocument/2006/relationships/image" Target="media/25d19cad25b246d9037cb6ff7697fd27f8cce925.jpg"/><Relationship Id="rId13" Type="http://schemas.openxmlformats.org/officeDocument/2006/relationships/image" Target="media/66741c051e2d4354c525dd30704f4c1d1ddfe096.jpg"/><Relationship Id="rId14" Type="http://schemas.openxmlformats.org/officeDocument/2006/relationships/image" Target="media/0bf8d49ae7947df518ef9d66fc7ff8955604783b.jpg"/><Relationship Id="rId15" Type="http://schemas.openxmlformats.org/officeDocument/2006/relationships/image" Target="media/0ba83d416469f56bb2535cf0f35bffddb830fe52.jpg"/><Relationship Id="rId16" Type="http://schemas.openxmlformats.org/officeDocument/2006/relationships/image" Target="media/aacdf03733ef8a5e00f75ec0472c389743e9fa66.png"/><Relationship Id="rId17" Type="http://schemas.openxmlformats.org/officeDocument/2006/relationships/image" Target="media/d1f44b6a9baf9fd0a3de2126963f2e21ee35ed78.jpg"/><Relationship Id="rId18" Type="http://schemas.openxmlformats.org/officeDocument/2006/relationships/image" Target="media/6aad73759584a7cfd93d6e15e99266125cc5d0ec.jpg"/><Relationship Id="rId19" Type="http://schemas.openxmlformats.org/officeDocument/2006/relationships/image" Target="media/d0c4ed1e79685879bb6b1dd2012cbc22ddfaf9bb.jpg"/><Relationship Id="rId20" Type="http://schemas.openxmlformats.org/officeDocument/2006/relationships/image" Target="media/3a3b705d4ce80bbcd42804462e4526b2471cce1e.jpg"/><Relationship Id="rId21" Type="http://schemas.openxmlformats.org/officeDocument/2006/relationships/image" Target="media/556f41420f01bbb68f9e8444b054767656829eeb.jpg"/><Relationship Id="rId22" Type="http://schemas.openxmlformats.org/officeDocument/2006/relationships/image" Target="media/6f80c9b04e67c4af38a46223955e1ad9f4073e60.png"/><Relationship Id="rId23" Type="http://schemas.openxmlformats.org/officeDocument/2006/relationships/image" Target="media/716d6585e45a79bcd2f50da8e330b471f5eaae14.png"/><Relationship Id="rId24" Type="http://schemas.openxmlformats.org/officeDocument/2006/relationships/image" Target="media/a507a8135c65fb4db3ef51e12e19c8bb98ce6987.png"/><Relationship Id="rId25" Type="http://schemas.openxmlformats.org/officeDocument/2006/relationships/image" Target="media/4948fad6d64b3dc7e395d0a8210be81854811afc.png"/><Relationship Id="rId26" Type="http://schemas.openxmlformats.org/officeDocument/2006/relationships/image" Target="media/632c3f3044ff77772a625749f6521cfd7d1f2e7b.png"/><Relationship Id="rId27" Type="http://schemas.openxmlformats.org/officeDocument/2006/relationships/image" Target="media/a7735ffd34f72b193a65e234a49521c2f8223968.png"/><Relationship Id="rId28" Type="http://schemas.openxmlformats.org/officeDocument/2006/relationships/image" Target="media/70f6f7ca0e5d9f77cd359cb4a7ee1d54c16679ef.jpg"/><Relationship Id="rId29" Type="http://schemas.openxmlformats.org/officeDocument/2006/relationships/image" Target="media/f424c2df7bdfbf0781da98d546e289e789e95db7.jpg"/><Relationship Id="rId30" Type="http://schemas.openxmlformats.org/officeDocument/2006/relationships/image" Target="media/b942e20cbc9caeab9ec61237d5ca105806979881.png"/><Relationship Id="rId31" Type="http://schemas.openxmlformats.org/officeDocument/2006/relationships/image" Target="media/6879b2caf2055a23f9a325c7ccee8cace12feb29.png"/><Relationship Id="rId32" Type="http://schemas.openxmlformats.org/officeDocument/2006/relationships/image" Target="media/a2954c20214a61649320123dd7179ed76b6266d7.png"/><Relationship Id="rId33" Type="http://schemas.openxmlformats.org/officeDocument/2006/relationships/image" Target="media/a92dc452f1376a5366d8a5cf18cc87da9a4f5a54.png"/><Relationship Id="rId34" Type="http://schemas.openxmlformats.org/officeDocument/2006/relationships/image" Target="media/3ca7372e383bfedd8f8b4afd5c97db127417e174.png"/><Relationship Id="rId35" Type="http://schemas.openxmlformats.org/officeDocument/2006/relationships/image" Target="media/96524b63055e8ea14e205ed3d6c8d88f2a10e4e3.png"/><Relationship Id="rId36" Type="http://schemas.openxmlformats.org/officeDocument/2006/relationships/image" Target="media/26be5e3b044c755b0101f2a855db868fe31c5a4f.png"/><Relationship Id="rId37" Type="http://schemas.openxmlformats.org/officeDocument/2006/relationships/image" Target="media/d637bcf46f2cb98cf56046a77ba8df6909d4c641.png"/><Relationship Id="rId38" Type="http://schemas.openxmlformats.org/officeDocument/2006/relationships/image" Target="media/63bc6cfc548d0d208f10fe588b208f6cd3ac73fb.png"/><Relationship Id="rId39" Type="http://schemas.openxmlformats.org/officeDocument/2006/relationships/image" Target="media/8c8c0097af20b40b51d05da6978c58e246161221.jpg"/><Relationship Id="rId40" Type="http://schemas.openxmlformats.org/officeDocument/2006/relationships/image" Target="media/c11681093ab6a15d94f55990f06cf505e5083ca8.jpg"/><Relationship Id="rId41" Type="http://schemas.openxmlformats.org/officeDocument/2006/relationships/image" Target="media/f0b18e9ef91a2e8ebf26d8d7da12b29eb54d3cbe.jpg"/><Relationship Id="rId42" Type="http://schemas.openxmlformats.org/officeDocument/2006/relationships/image" Target="media/48eb65669b54d812db7bfd90da22100d9138300c.jpg"/><Relationship Id="rId43" Type="http://schemas.openxmlformats.org/officeDocument/2006/relationships/image" Target="media/d8fa6281c5227ce7c863df9d4dcec71533c69b6b.jpg"/><Relationship Id="rId44" Type="http://schemas.openxmlformats.org/officeDocument/2006/relationships/image" Target="media/fd8098232bced308dc8d233daf6deb8d50c9db41.jpg"/><Relationship Id="rId45" Type="http://schemas.openxmlformats.org/officeDocument/2006/relationships/image" Target="media/63d33a87007ce3e25d491117811f29fadde20433.jp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1 · Instalación, uso y automatización</dc:title>
  <dc:creator>Grupo 12 · SOG2</dc:creator>
  <dc:description>Manual 1 · Instalación, uso y automatización</dc:description>
  <cp:lastModifiedBy>Un-named</cp:lastModifiedBy>
  <cp:revision>1</cp:revision>
  <dcterms:created xsi:type="dcterms:W3CDTF">2026-10-16T17:48:02.540Z</dcterms:created>
  <dcterms:modified xsi:type="dcterms:W3CDTF">2026-10-16T17:48:02.542Z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