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UNIVERSIDAD DE SAN CARLOS DE GUATEMALA</w:t>
      </w:r>
    </w:p>
    <w:p>
      <w:pPr>
        <w:spacing w:after="60"/>
      </w:pPr>
      <w:r>
        <w:rPr>
          <w:rFonts w:ascii="Calibri" w:cs="Calibri" w:eastAsia="Calibri" w:hAnsi="Calibri"/>
          <w:color w:val="5B6573"/>
          <w:sz w:val="22"/>
          <w:szCs w:val="22"/>
        </w:rPr>
        <w:t xml:space="preserve">Facultad de Ingeniería · Escuela de Ciencias y Sistemas</w:t>
      </w:r>
    </w:p>
    <w:p>
      <w:pPr>
        <w:spacing w:after="700"/>
      </w:pPr>
      <w:r>
        <w:rPr>
          <w:rFonts w:ascii="Calibri" w:cs="Calibri" w:eastAsia="Calibri" w:hAnsi="Calibri"/>
          <w:color w:val="5B6573"/>
          <w:sz w:val="22"/>
          <w:szCs w:val="22"/>
        </w:rPr>
        <w:t xml:space="preserve">Sistemas Organizacionales y Gerenciales 2 · Segundo Semestre 2026</w:t>
      </w:r>
    </w:p>
    <w:p>
      <w:pPr>
        <w:pBdr>
          <w:bottom w:val="single" w:color="2F5D9B" w:sz="18" w:space="8"/>
        </w:pBdr>
        <w:spacing w:after="220"/>
      </w:pPr>
      <w:r>
        <w:rPr>
          <w:rFonts w:ascii="Calibri" w:cs="Calibri" w:eastAsia="Calibri" w:hAnsi="Calibri"/>
          <w:b/>
          <w:bCs/>
          <w:color w:val="2F5D9B"/>
          <w:sz w:val="24"/>
          <w:szCs w:val="24"/>
        </w:rPr>
        <w:t xml:space="preserve">MANUAL 2</w:t>
      </w:r>
    </w:p>
    <w:p>
      <w:pPr>
        <w:spacing w:after="160" w:line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Diagramas de flujo de procesos</w:t>
      </w:r>
    </w:p>
    <w:p>
      <w:pPr>
        <w:spacing w:after="140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RPA con UiPath, compras, ventas, flujo operativo del producto y cliente web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QuetzalMart, S.A.</w:t>
      </w:r>
    </w:p>
    <w:p>
      <w:pPr>
        <w:spacing w:after="700"/>
      </w:pPr>
      <w:r>
        <w:rPr>
          <w:rFonts w:ascii="Calibri" w:cs="Calibri" w:eastAsia="Calibri" w:hAnsi="Calibri"/>
          <w:color w:val="5B6573"/>
          <w:sz w:val="22"/>
          <w:szCs w:val="22"/>
        </w:rPr>
        <w:t xml:space="preserve">Implementación de ERP Odoo 18, portal web, gestión documental, analítica y RPA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Grupo 12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Guatemala, octubre de 2026</w:t>
      </w:r>
    </w:p>
    <w:p>
      <w:pPr>
        <w:spacing w:after="50"/>
        <w:sectPr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sz w:val="22"/>
          <w:szCs w:val="22"/>
        </w:rPr>
        <w:t xml:space="preserve">Versión 1.0</w:t>
      </w:r>
    </w:p>
    <w:p>
      <w:pPr>
        <w:pBdr>
          <w:bottom w:val="single" w:color="2F5D9B" w:sz="10" w:space="4"/>
        </w:pBdr>
        <w:spacing w:after="2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64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Introducción y convenciones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">
            <w:r>
              <w:t xml:space="preserve">1.1 Simbología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3">
            <w:r>
              <w:t xml:space="preserve">1.2 Responsables de los procesos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4">
            <w:r>
              <w:t xml:space="preserve">2. Diagrama de flujo de visualización del RPA (UiPath)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5">
            <w:r>
              <w:t xml:space="preserve">2.1 Diagrama 1A: lectura y consolidación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6">
            <w:r>
              <w:t xml:space="preserve">2.2 Diagrama 1B: validación, salida y carga a Odoo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7">
            <w:r>
              <w:t xml:space="preserve">2.3 Correspondencia entre el diagrama y las actividades de UiPath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8">
            <w:r>
              <w:t xml:space="preserve">3. Compras a proveedores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9">
            <w:r>
              <w:t xml:space="preserve">3.1 Detalle de los pasos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0">
            <w:r>
              <w:t xml:space="preserve">3.2 Diagrama de compras: parte 1 (cotización y pedido)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1">
            <w:r>
              <w:t xml:space="preserve">3.3 Diagrama de compras: parte 2 (recepción, factura y pago)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12">
            <w:r>
              <w:t xml:space="preserve">4. Ventas de productos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3">
            <w:r>
              <w:t xml:space="preserve">4.1 Detalle de los pasos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4">
            <w:r>
              <w:t xml:space="preserve">4.2 Diagrama de ventas: parte 1 (cotización y confirmación)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5">
            <w:r>
              <w:t xml:space="preserve">4.3 Diagrama de ventas: parte 2 (entrega, factura y pago)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16">
            <w:r>
              <w:t xml:space="preserve">5. Flujo del producto: de la recepción a la venta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7">
            <w:r>
              <w:t xml:space="preserve">5.1 Detalle de cada etapa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8">
            <w:r>
              <w:t xml:space="preserve">5.2 Diagrama, parte 1: recepción, almacenamiento e inventario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19">
            <w:r>
              <w:t xml:space="preserve">5.3 Diagrama, parte 2: empaque, control de calidad y venta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40" w:leader="dot"/>
            </w:tabs>
          </w:pPr>
          <w:hyperlink w:history="1" w:anchor="_Toc20">
            <w:r>
              <w:t xml:space="preserve">6. Flujo del cliente: compra por la tienda en línea y visita a la tienda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1">
            <w:r>
              <w:t xml:space="preserve">6.1 Detalle de los pasos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2">
            <w:r>
              <w:t xml:space="preserve">6.2 Diagrama, parte 1: navegación, carrito y pago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40" w:leader="dot"/>
            </w:tabs>
            <w:ind w:left="220"/>
          </w:pPr>
          <w:hyperlink w:history="1" w:anchor="_Toc23">
            <w:r>
              <w:t xml:space="preserve">6.3 Diagrama, parte 2: orden, correos, entrega y visita a la tienda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5B6573"/>
          <w:sz w:val="17"/>
          <w:szCs w:val="17"/>
        </w:rPr>
        <w:t xml:space="preserve">Si el índice aparece vacío, haga clic derecho sobre él y elija «Actualizar campo» (o presione F9).</w:t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Introducción y convenciones</w:t>
      </w:r>
      <w:bookmarkEnd w:id="1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manual documenta, mediante diagramas de flujo detallados, los procesos que sostienen la operación de QuetzalMart, S.A. con el ERP Odoo 18: la automatización con UiPath, las compras a proveedores, las ventas de productos, el recorrido completo de un producto desde que llega a la bodega hasta que se vende, y la experiencia de un cliente que compra por la tienda en línea y visita la tienda física.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proceso se presenta con un diagrama en carriles (cada carril es un responsable o un sistema), una tabla de pasos con su responsable y el módulo de Odoo involucrado, y las reglas de control que lo protegen. Los diagramas largos se dividen en dos partes, conectadas con la marca «Continúa en parte 2».</w:t>
      </w:r>
    </w:p>
    <w:p>
      <w:pPr>
        <w:pStyle w:val="Heading2"/>
      </w:pPr>
      <w:bookmarkStart w:name="_Toc2" w:id="2"/>
      <w:r>
        <w:rPr>
          <w:rFonts w:ascii="Calibri" w:cs="Calibri" w:eastAsia="Calibri" w:hAnsi="Calibri"/>
        </w:rPr>
        <w:t xml:space="preserve">1.1 Simbología</w:t>
      </w:r>
      <w:bookmarkEnd w:id="2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40"/>
      </w:tblGrid>
      <w:tr>
        <w:trPr>
          <w:cantSplit/>
          <w:tblHeader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5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Rectángulo azul con borde continuo</w:t>
            </w:r>
          </w:p>
        </w:tc>
        <w:tc>
          <w:tcPr>
            <w:tcW w:type="dxa" w:w="5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Paso que se ejecuta dentro del sistema (Odoo o UiPath).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Rectángulo blanco con borde discontinuo</w:t>
            </w:r>
          </w:p>
        </w:tc>
        <w:tc>
          <w:tcPr>
            <w:tcW w:type="dxa" w:w="5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Procedimiento operativo que realiza una persona fuera del sistema (físico o manual).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Rombo amarillo</w:t>
            </w:r>
          </w:p>
        </w:tc>
        <w:tc>
          <w:tcPr>
            <w:tcW w:type="dxa" w:w="5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Decisión con salidas «Sí» y «No».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Rectángulo rojo claro</w:t>
            </w:r>
          </w:p>
        </w:tc>
        <w:tc>
          <w:tcPr>
            <w:tcW w:type="dxa" w:w="5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Excepción: situación fuera de lo normal (rechazo, defecto, faltante).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Óvalo azul oscuro</w:t>
            </w:r>
          </w:p>
        </w:tc>
        <w:tc>
          <w:tcPr>
            <w:tcW w:type="dxa" w:w="56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Inicio, fin o continuación del diagrama.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Simbología utilizada en los diagramas.</w:t>
      </w: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1.2 Responsables de los procesos</w:t>
      </w:r>
      <w:bookmarkEnd w:id="3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responsables corresponden a los ocho cargos registrados en el módulo de Empleados de Odoo, distribuidos en cinco departamentos y tres sucursales (Guatemala, México y El Salvador).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40"/>
      </w:tblGrid>
      <w:tr>
        <w:trPr>
          <w:cantSplit/>
          <w:tblHeader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Cargo en Odoo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 en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 principal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 de Compras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a proveedores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 cotizaciones, negocia y confirma órdenes de compra.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Bodeguero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Compras, flujo operativo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Recibe la mercadería, la verifica, la almacena y controla existencias.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Contador General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Compras, ventas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 y concilia facturas y pagos; archiva los comprobantes.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Ejecutivo de Ventas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Prepara cotizaciones y confirma pedidos de clientes.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Cajero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Ventas, tienda física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Atiende al cliente en tienda, cobra y entrega pedidos.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Gerente de Sucursal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Flujo operativo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Supervisa calidad, mermas y reposición de su sucursal.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Analista de Marketing Digital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web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 la tienda en línea, Google Analytics y las campañas de correo.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Gerente General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42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Aprueba excepciones y revisa indicadores.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Cargos que intervienen en los procesos.</w:t>
      </w:r>
    </w:p>
    <w:p>
      <w:pPr>
        <w:pStyle w:val="Heading1"/>
        <w:pageBreakBefore/>
      </w:pPr>
      <w:bookmarkStart w:name="_Toc4" w:id="4"/>
      <w:r>
        <w:rPr>
          <w:rFonts w:ascii="Calibri" w:cs="Calibri" w:eastAsia="Calibri" w:hAnsi="Calibri"/>
        </w:rPr>
        <w:t xml:space="preserve">2. Diagrama de flujo de visualización del RPA (UiPath)</w:t>
      </w:r>
      <w:bookmarkEnd w:id="4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robot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RPAGeren2</w:t>
      </w:r>
      <w:r>
        <w:rPr>
          <w:rFonts w:ascii="Calibri" w:cs="Calibri" w:eastAsia="Calibri" w:hAnsi="Calibri"/>
          <w:sz w:val="21"/>
          <w:szCs w:val="21"/>
        </w:rPr>
        <w:t xml:space="preserve"> (flujo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Main.xaml</w:t>
      </w:r>
      <w:r>
        <w:rPr>
          <w:rFonts w:ascii="Calibri" w:cs="Calibri" w:eastAsia="Calibri" w:hAnsi="Calibri"/>
          <w:sz w:val="21"/>
          <w:szCs w:val="21"/>
        </w:rPr>
        <w:t xml:space="preserve">) consolida los archivos de Excel del departamento de ventas y los carga en Odoo. El proceso se divide en dos diagramas: 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Diagrama 1A</w:t>
      </w:r>
      <w:r>
        <w:rPr>
          <w:rFonts w:ascii="Calibri" w:cs="Calibri" w:eastAsia="Calibri" w:hAnsi="Calibri"/>
          <w:sz w:val="21"/>
          <w:szCs w:val="21"/>
        </w:rPr>
        <w:t xml:space="preserve"> describe cómo el robot encuentra y lee la información; 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Diagrama 1B</w:t>
      </w:r>
      <w:r>
        <w:rPr>
          <w:rFonts w:ascii="Calibri" w:cs="Calibri" w:eastAsia="Calibri" w:hAnsi="Calibri"/>
          <w:sz w:val="21"/>
          <w:szCs w:val="21"/>
        </w:rPr>
        <w:t xml:space="preserve"> describe cómo la valida, genera los archivos de salida y los importa en Odoo.</w:t>
      </w: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2.1 Diagrama 1A: lectura y consolidación</w:t>
      </w:r>
      <w:bookmarkEnd w:id="5"/>
    </w:p>
    <w:p>
      <w:pPr>
        <w:keepNext/>
        <w:spacing w:after="40" w:before="100"/>
        <w:jc w:val="center"/>
      </w:pPr>
      <w:r>
        <w:drawing>
          <wp:inline distT="0" distB="0" distL="0" distR="0">
            <wp:extent cx="5124450" cy="6572250"/>
            <wp:effectExtent t="0" r="0" b="0" l="0"/>
            <wp:docPr id="1" name="Diagrama 1A. Lectura de carpetas, archivos y hojas, y consolidación de clientes y productos." descr="Diagrama 1A. Lectura de carpetas, archivos y hojas, y consolidación de clientes y productos." title="Diagrama 1A. Lectura de carpetas, archivos y hojas, y consolidación de clientes y produ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Diagrama 1A. Lectura de carpetas, archivos y hojas, y consolidación de clientes y productos.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robot recorre únicamente las carpetas y archivos cuyo nombre cumple el patrón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&lt;tipo&gt; - &lt;descripción&gt;</w:t>
      </w:r>
      <w:r>
        <w:rPr>
          <w:rFonts w:ascii="Calibri" w:cs="Calibri" w:eastAsia="Calibri" w:hAnsi="Calibri"/>
          <w:sz w:val="21"/>
          <w:szCs w:val="21"/>
        </w:rPr>
        <w:t xml:space="preserve"> (por ejemplo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clientes - prueba</w:t>
      </w:r>
      <w:r>
        <w:rPr>
          <w:rFonts w:ascii="Calibri" w:cs="Calibri" w:eastAsia="Calibri" w:hAnsi="Calibri"/>
          <w:sz w:val="21"/>
          <w:szCs w:val="21"/>
        </w:rPr>
        <w:t xml:space="preserve">). Dentro de cada libro de Excel solo procesa las hojas llamadas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clientes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productos</w:t>
      </w:r>
      <w:r>
        <w:rPr>
          <w:rFonts w:ascii="Calibri" w:cs="Calibri" w:eastAsia="Calibri" w:hAnsi="Calibri"/>
          <w:sz w:val="21"/>
          <w:szCs w:val="21"/>
        </w:rPr>
        <w:t xml:space="preserve">; cualquier otra hoja (proveedores, reclamos, registros) se ignora. Los datos de cada hoja se normalizan y se acumulan en dos tablas de datos en memoria.</w:t>
      </w: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2.2 Diagrama 1B: validación, salida y carga a Odoo</w:t>
      </w:r>
      <w:bookmarkEnd w:id="6"/>
    </w:p>
    <w:p>
      <w:pPr>
        <w:keepNext/>
        <w:spacing w:after="40" w:before="100"/>
        <w:jc w:val="center"/>
      </w:pPr>
      <w:r>
        <w:drawing>
          <wp:inline distT="0" distB="0" distL="0" distR="0">
            <wp:extent cx="5124450" cy="6572250"/>
            <wp:effectExtent t="0" r="0" b="0" l="0"/>
            <wp:docPr id="2" name="Diagrama 1B. Validación, generación de archivos consolidados e importación en Odoo." descr="Diagrama 1B. Validación, generación de archivos consolidados e importación en Odoo." title="Diagrama 1B. Validación, generación de archivos consolidados e importación en Odo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Diagrama 1B. Validación, generación de archivos consolidados e importación en Odoo.</w:t>
      </w: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2.3 Correspondencia entre el diagrama y las actividades de UiPath</w:t>
      </w:r>
      <w:bookmarkEnd w:id="7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40"/>
      </w:tblGrid>
      <w:tr>
        <w:trPr>
          <w:cantSplit/>
          <w:tblHeader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 del diagrama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 en Main.xaml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Inicializar variables y preparar salida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Asignación múltiple; Invocar código «Preparar carpeta salida»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Tablas vacías y carpeta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data\salida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limpia.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Listar carpetas con el patrón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Asignación (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Directory.GetDirectories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expresión regular)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Arreglo de carpetas válidas.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 cada carpeta, archivo y hoja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 cada; Utilice el archivo de Excel; Para cada hoja de Excel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Lectura controlada de cada libro.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Leer y normalizar «clientes»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Leer rango; Invocar código; Fusionar tabla de datos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Encabezados estándar y columna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Origen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Leer y normalizar «productos»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Leer rango; Invocar código; Fusionar tabla de datos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Valores en texto y código de barras sin decimales.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Validar requeridos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Invocar código «Validar campos requeridos»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Filas incompletas pasan a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errores.xlsx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Generar id externo / normalizar tipo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Invocar código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duplicados; clave estable para Odoo.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Escribir consolidados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archivo de Excel; Escribir rango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clientes_consolidado.xlsx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productos_consolidado.xlsx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Cargar en Odoo</w:t>
            </w:r>
          </w:p>
        </w:tc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navegador; Ir a URL; Clic; Escribir en; Clic «Importar»</w:t>
            </w:r>
          </w:p>
        </w:tc>
        <w:tc>
          <w:tcPr>
            <w:tcW w:type="dxa" w:w="27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Registros creados o actualizados en Odoo.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3.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Relación entre el diagrama y las actividades del robot.</w:t>
      </w:r>
    </w:p>
    <w:p>
      <w:pPr>
        <w:pBdr>
          <w:left w:val="single" w:color="2F5D9B" w:sz="18" w:space="8"/>
        </w:pBdr>
        <w:shd w:fill="EAF1FB" w:color="auto" w:val="clear"/>
        <w:spacing w:after="160" w:before="60" w:line="264"/>
        <w:ind w:left="160" w:right="120"/>
        <w:sectPr>
          <w:headerReference w:type="default" r:id="rId8"/>
          <w:footerReference w:type="default" r:id="rId9"/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Importante. </w:t>
      </w:r>
      <w:r>
        <w:rPr>
          <w:rFonts w:ascii="Calibri" w:cs="Calibri" w:eastAsia="Calibri" w:hAnsi="Calibri"/>
          <w:sz w:val="20"/>
          <w:szCs w:val="20"/>
        </w:rPr>
        <w:t xml:space="preserve">El robot espera una sesión de Odoo ya iniciada en Chrome; no realiza el inicio de sesión. Cuando el archivo ya fue importado antes, el id externo hace que Odoo actualice el registro en lugar de duplicarlo.</w:t>
      </w:r>
    </w:p>
    <w:p>
      <w:pPr>
        <w:pStyle w:val="Heading1"/>
      </w:pPr>
      <w:bookmarkStart w:name="_Toc8" w:id="8"/>
      <w:r>
        <w:rPr>
          <w:rFonts w:ascii="Calibri" w:cs="Calibri" w:eastAsia="Calibri" w:hAnsi="Calibri"/>
        </w:rPr>
        <w:t xml:space="preserve">3. Compras a proveedores</w:t>
      </w:r>
      <w:bookmarkEnd w:id="8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proceso de compras de QuetzalMart cubre desde que una sucursal detecta una necesidad de reposición hasta que la factura del proveedor queda pagada y archivada. En Odoo se ejecuta con los módulos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Compras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Inventario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Facturación</w:t>
      </w:r>
      <w:r>
        <w:rPr>
          <w:rFonts w:ascii="Calibri" w:cs="Calibri" w:eastAsia="Calibri" w:hAnsi="Calibri"/>
          <w:sz w:val="21"/>
          <w:szCs w:val="21"/>
        </w:rPr>
        <w:t xml:space="preserve">, y deja trazabilidad completa en el historial (chatter) de cada orden. A la fecha de este manual el sistema contiene 105 órdenes de compra confirmadas, recibidas y facturadas a 16 proveedores de materiales y 4 de servicios de outsourcing.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Después de la descripción de los pasos se presenta el diagrama en dos partes: la parte 1 llega hasta el despacho del proveedor y la parte 2 cubre la recepción, la facturación, el pago y el archivo.</w:t>
      </w:r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3.1 Detalle de los pasos</w:t>
      </w:r>
      <w:bookmarkEnd w:id="9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1650"/>
        <w:gridCol w:w="1900"/>
        <w:gridCol w:w="1670"/>
      </w:tblGrid>
      <w:tr>
        <w:trPr>
          <w:cantSplit/>
          <w:tblHeader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 de Odoo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Salida o evidencia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Detectar la necesidad de reposición (existencias bajas o solicitud de la sucursal).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Bodeguero / Gerente de Sucursal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 → Existencias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Solicitud interna de compra.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la solicitud de cotización con proveedor, productos y cantidades.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 de Compras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→ Órdenes → Nuevo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Solicitud en estado «Solicitud de cotización».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Enviar la solicitud al proveedor y recibir su cotización.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 de Compras / Proveedor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(envío por correo)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Cotización con precios y plazos.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Evaluar precio y condiciones; si no son aceptables, renegociar o cotizar con otro proveedor.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 de Compras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Decisión registrada en el chatter.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Confirmar el pedido. La solicitud pasa a orden de compra (P00xxx).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 de Compras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→ Confirmar pedido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 de compra confirmada.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proveedor prepara y despacha la mercadería al almacén de la sucursal.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Proveedor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Guía de entrega y factura del proveedor.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Recibir la mercadería: contar y revisar contra la orden.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Bodeguero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 → Recepciones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Recepción en estado «Listo».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hay faltantes o defectos: registrar la diferencia, devolver y reclamar al proveedor.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Bodeguero / Agente de Compras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 (devolución)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de la incidencia.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Validar la recepción: las cantidades entran al inventario de la sucursal.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Bodeguero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 → Validar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Existencias actualizadas.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la factura de proveedor (IVA 12 %) con el número del proveedor como referencia y confirmarla.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Contador General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 → Proveedores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 publicada (FACTU/AAAA/MM/nnnn).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el pago de la factura.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Contador General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 → Registrar pago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 en estado «Pagado».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Archivar el PDF de la factura en el gestor documental, carpeta «Facturas de Proveedores».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Contador General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Documentos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Archivo con etiqueta «Factura».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4.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Pasos del proceso de compras a proveedores.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Reglas de control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Una orden solo se factura cuando la recepción fue validada: la factura nace de las cantidades realmente recibidas.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estado de facturación de cada orden (por ejemplo «Totalmente facturado») permite auditar que no existan compras sin factura.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Los materiales de sucursal usan códigos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MAT-XXX-nn</w:t>
      </w:r>
      <w:r>
        <w:rPr>
          <w:rFonts w:ascii="Calibri" w:cs="Calibri" w:eastAsia="Calibri" w:hAnsi="Calibri"/>
          <w:sz w:val="21"/>
          <w:szCs w:val="21"/>
        </w:rPr>
        <w:t xml:space="preserve"> y no se publican en la tienda en línea: son de consumo interno.</w:t>
      </w:r>
    </w:p>
    <w:p>
      <w:pPr>
        <w:pStyle w:val="ListParagraph"/>
        <w:numPr>
          <w:ilvl w:val="0"/>
          <w:numId w:val="2"/>
        </w:numPr>
        <w:spacing w:after="60" w:line="264"/>
        <w:sectPr>
          <w:headerReference w:type="default" r:id="rId10"/>
          <w:footerReference w:type="default" r:id="rId11"/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sz w:val="21"/>
          <w:szCs w:val="21"/>
        </w:rPr>
        <w:t xml:space="preserve">Las compras se pueden consultar por base de datos en las tablas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purchase_order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stock_picking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account_move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3.2 Diagrama de compras: parte 1 (cotización y pedido)</w:t>
      </w:r>
      <w:bookmarkEnd w:id="10"/>
    </w:p>
    <w:p>
      <w:pPr>
        <w:keepNext/>
        <w:spacing w:after="40" w:before="100"/>
        <w:jc w:val="center"/>
      </w:pPr>
      <w:r>
        <w:drawing>
          <wp:inline distT="0" distB="0" distL="0" distR="0">
            <wp:extent cx="7772400" cy="5143500"/>
            <wp:effectExtent t="0" r="0" b="0" l="0"/>
            <wp:docPr id="3" name="Compras a proveedores, parte 1: de la necesidad de reposición al despacho." descr="Compras a proveedores, parte 1: de la necesidad de reposición al despacho." title="Compras a proveedores, parte 1: de la necesidad de reposición al despac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  <w:sectPr>
          <w:headerReference w:type="default" r:id="rId12"/>
          <w:footerReference w:type="default" r:id="rId13"/>
          <w:pgSz w:w="15840" w:h="12240" w:orient="landscape"/>
          <w:pgMar w:top="1000" w:right="900" w:bottom="900" w:left="900" w:header="500" w:footer="4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3.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Compras a proveedores, parte 1: de la necesidad de reposición al despacho.</w:t>
      </w: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3.3 Diagrama de compras: parte 2 (recepción, factura y pago)</w:t>
      </w:r>
      <w:bookmarkEnd w:id="11"/>
    </w:p>
    <w:p>
      <w:pPr>
        <w:keepNext/>
        <w:spacing w:after="40" w:before="100"/>
        <w:jc w:val="center"/>
      </w:pPr>
      <w:r>
        <w:drawing>
          <wp:inline distT="0" distB="0" distL="0" distR="0">
            <wp:extent cx="6848475" cy="5143500"/>
            <wp:effectExtent t="0" r="0" b="0" l="0"/>
            <wp:docPr id="4" name="Compras a proveedores, parte 2: recepción, facturación, pago y archivo." descr="Compras a proveedores, parte 2: recepción, facturación, pago y archivo." title="Compras a proveedores, parte 2: recepción, facturación, pago y arch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  <w:sectPr>
          <w:headerReference w:type="default" r:id="rId14"/>
          <w:footerReference w:type="default" r:id="rId15"/>
          <w:pgSz w:w="15840" w:h="12240" w:orient="landscape"/>
          <w:pgMar w:top="1000" w:right="900" w:bottom="900" w:left="900" w:header="500" w:footer="4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4.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Compras a proveedores, parte 2: recepción, facturación, pago y archivo.</w:t>
      </w:r>
    </w:p>
    <w:p>
      <w:pPr>
        <w:pStyle w:val="Heading1"/>
      </w:pPr>
      <w:bookmarkStart w:name="_Toc12" w:id="12"/>
      <w:r>
        <w:rPr>
          <w:rFonts w:ascii="Calibri" w:cs="Calibri" w:eastAsia="Calibri" w:hAnsi="Calibri"/>
        </w:rPr>
        <w:t xml:space="preserve">4. Ventas de productos</w:t>
      </w:r>
      <w:bookmarkEnd w:id="12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proceso de ventas parte de la solicitud de un cliente y termina con el cobro y la factura. Se ejecuta en el módulo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Ventas</w:t>
      </w:r>
      <w:r>
        <w:rPr>
          <w:rFonts w:ascii="Calibri" w:cs="Calibri" w:eastAsia="Calibri" w:hAnsi="Calibri"/>
          <w:sz w:val="21"/>
          <w:szCs w:val="21"/>
        </w:rPr>
        <w:t xml:space="preserve"> de Odoo y se apoya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Inventario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Facturación</w:t>
      </w:r>
      <w:r>
        <w:rPr>
          <w:rFonts w:ascii="Calibri" w:cs="Calibri" w:eastAsia="Calibri" w:hAnsi="Calibri"/>
          <w:sz w:val="21"/>
          <w:szCs w:val="21"/>
        </w:rPr>
        <w:t xml:space="preserve">. La confirmación de una orden dispara dos automatizaciones de correo: el recibo de compra con el PDF de la orden y, enseguida, la campaña de marketing, con asuntos distintos y desde el correo corporativo del proyecto.</w:t>
      </w: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4.1 Detalle de los pasos</w:t>
      </w:r>
      <w:bookmarkEnd w:id="13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1650"/>
        <w:gridCol w:w="1900"/>
        <w:gridCol w:w="1670"/>
      </w:tblGrid>
      <w:tr>
        <w:trPr>
          <w:cantSplit/>
          <w:tblHeader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 de Odoo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Salida o evidencia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cliente solicita los productos (en tienda, por teléfono o correo).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Solicitud del cliente.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la cotización: cliente, productos, cantidades e IVA 12 %.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Ejecutivo de Ventas / Cajero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→ Órdenes → Nuevo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Cotización (estado «Cotización»).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Enviar la cotización al cliente por correo electrónico.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Ejecutivo de Ventas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→ Enviar por correo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 «Cotización enviada».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cliente decide. Si rechaza, se ajusta la oferta o se cancela.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Cotización ajustada o cancelada.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Confirmar: la cotización pasa a orden de venta (S00xxx).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Ejecutivo de Ventas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→ Confirmar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 en estado «Orden de venta».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dispara la automatización: correo de recibo con PDF y correo de marketing.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(reglas de automatización)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Ajustes → Técnico → Automatización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Dos correos registrados en el chatter.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Preparar el pedido y validar la entrega.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Bodeguero / Cajero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 → Entregas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en estado «Hecho».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descuenta el inventario de la sucursal.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Inventario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Existencias reducidas.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la factura de venta (IVA 12 %) y confirmarla.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Contador General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→ Crear factura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 INV/AAAA/nnnnn.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el pago (transferencia bancaria o caja).</w:t>
            </w:r>
          </w:p>
        </w:tc>
        <w:tc>
          <w:tcPr>
            <w:tcW w:type="dxa" w:w="16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Contador General / Cajero</w:t>
            </w:r>
          </w:p>
        </w:tc>
        <w:tc>
          <w:tcPr>
            <w:tcW w:type="dxa" w:w="1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 → Registrar pago</w:t>
            </w:r>
          </w:p>
        </w:tc>
        <w:tc>
          <w:tcPr>
            <w:tcW w:type="dxa" w:w="16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 «Pagado».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5.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Pasos del proceso de ventas de productos.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Reglas de control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Solo las órdenes en estado «Orden de venta» activan los correos automáticos; una cotización simple no envía campañas.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Las ventas y cotizaciones se distinguen por estado: cotizaciones (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draft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sent</w:t>
      </w:r>
      <w:r>
        <w:rPr>
          <w:rFonts w:ascii="Calibri" w:cs="Calibri" w:eastAsia="Calibri" w:hAnsi="Calibri"/>
          <w:sz w:val="21"/>
          <w:szCs w:val="21"/>
        </w:rPr>
        <w:t xml:space="preserve">) y ventas confirmadas (</w:t>
      </w:r>
      <w:r>
        <w:rPr>
          <w:rFonts w:ascii="Consolas" w:cs="Consolas" w:eastAsia="Consolas" w:hAnsi="Consolas"/>
          <w:color w:val="1F3A5F"/>
          <w:sz w:val="19"/>
          <w:szCs w:val="19"/>
          <w:shd w:fill="EEF2F7" w:color="auto" w:val="clear"/>
        </w:rPr>
        <w:t xml:space="preserve">sale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sectPr>
          <w:headerReference w:type="default" r:id="rId16"/>
          <w:footerReference w:type="default" r:id="rId17"/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sz w:val="21"/>
          <w:szCs w:val="21"/>
        </w:rPr>
        <w:t xml:space="preserve">Los clientes se administran en el módulo Contactos; cada orden queda enlazada al cliente y a su historial de compras.</w:t>
      </w:r>
    </w:p>
    <w:p>
      <w:pPr>
        <w:pStyle w:val="Heading2"/>
      </w:pPr>
      <w:bookmarkStart w:name="_Toc14" w:id="14"/>
      <w:r>
        <w:rPr>
          <w:rFonts w:ascii="Calibri" w:cs="Calibri" w:eastAsia="Calibri" w:hAnsi="Calibri"/>
        </w:rPr>
        <w:t xml:space="preserve">4.2 Diagrama de ventas: parte 1 (cotización y confirmación)</w:t>
      </w:r>
      <w:bookmarkEnd w:id="14"/>
    </w:p>
    <w:p>
      <w:pPr>
        <w:keepNext/>
        <w:spacing w:after="40" w:before="100"/>
        <w:jc w:val="center"/>
      </w:pPr>
      <w:r>
        <w:drawing>
          <wp:inline distT="0" distB="0" distL="0" distR="0">
            <wp:extent cx="7772400" cy="5143500"/>
            <wp:effectExtent t="0" r="0" b="0" l="0"/>
            <wp:docPr id="5" name="Ventas de productos, parte 1: cotización, aceptación y confirmación." descr="Ventas de productos, parte 1: cotización, aceptación y confirmación." title="Ventas de productos, parte 1: cotización, aceptación y confirm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  <w:sectPr>
          <w:headerReference w:type="default" r:id="rId18"/>
          <w:footerReference w:type="default" r:id="rId19"/>
          <w:pgSz w:w="15840" w:h="12240" w:orient="landscape"/>
          <w:pgMar w:top="1000" w:right="900" w:bottom="900" w:left="900" w:header="500" w:footer="4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5.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Ventas de productos, parte 1: cotización, aceptación y confirmación.</w:t>
      </w:r>
    </w:p>
    <w:p>
      <w:pPr>
        <w:pStyle w:val="Heading2"/>
      </w:pPr>
      <w:bookmarkStart w:name="_Toc15" w:id="15"/>
      <w:r>
        <w:rPr>
          <w:rFonts w:ascii="Calibri" w:cs="Calibri" w:eastAsia="Calibri" w:hAnsi="Calibri"/>
        </w:rPr>
        <w:t xml:space="preserve">4.3 Diagrama de ventas: parte 2 (entrega, factura y pago)</w:t>
      </w:r>
      <w:bookmarkEnd w:id="15"/>
    </w:p>
    <w:p>
      <w:pPr>
        <w:keepNext/>
        <w:spacing w:after="40" w:before="100"/>
        <w:jc w:val="center"/>
      </w:pPr>
      <w:r>
        <w:drawing>
          <wp:inline distT="0" distB="0" distL="0" distR="0">
            <wp:extent cx="7772400" cy="5143500"/>
            <wp:effectExtent t="0" r="0" b="0" l="0"/>
            <wp:docPr id="6" name="Ventas de productos, parte 2: entrega, facturación y cobro." descr="Ventas de productos, parte 2: entrega, facturación y cobro." title="Ventas de productos, parte 2: entrega, facturación y cob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  <w:sectPr>
          <w:headerReference w:type="default" r:id="rId20"/>
          <w:footerReference w:type="default" r:id="rId21"/>
          <w:pgSz w:w="15840" w:h="12240" w:orient="landscape"/>
          <w:pgMar w:top="1000" w:right="900" w:bottom="900" w:left="900" w:header="500" w:footer="4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6.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Ventas de productos, parte 2: entrega, facturación y cobro.</w:t>
      </w:r>
    </w:p>
    <w:p>
      <w:pPr>
        <w:pStyle w:val="Heading1"/>
      </w:pPr>
      <w:bookmarkStart w:name="_Toc16" w:id="16"/>
      <w:r>
        <w:rPr>
          <w:rFonts w:ascii="Calibri" w:cs="Calibri" w:eastAsia="Calibri" w:hAnsi="Calibri"/>
        </w:rPr>
        <w:t xml:space="preserve">5. Flujo del producto: de la recepción a la venta</w:t>
      </w:r>
      <w:bookmarkEnd w:id="16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flujo describe el recorrido de un producto dentro de QuetzalMart, desde que entra a la bodega hasta que se vende al cliente. Combina pasos que ejecuta Odoo (recepción, existencias, publicación y venta) con procedimientos operativos propios de la tienda (revisión física, separación de producto defectuoso, empaque y control de calidad), que se muestran con borde discontinuo.</w:t>
      </w:r>
    </w:p>
    <w:p>
      <w:pPr>
        <w:pBdr>
          <w:left w:val="single" w:color="2F5D9B" w:sz="18" w:space="8"/>
        </w:pBdr>
        <w:shd w:fill="EAF1FB" w:color="auto" w:val="clear"/>
        <w:spacing w:after="160" w:before="60" w:line="264"/>
        <w:ind w:left="160" w:right="12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Alcance. </w:t>
      </w:r>
      <w:r>
        <w:rPr>
          <w:rFonts w:ascii="Calibri" w:cs="Calibri" w:eastAsia="Calibri" w:hAnsi="Calibri"/>
          <w:sz w:val="20"/>
          <w:szCs w:val="20"/>
        </w:rPr>
        <w:t xml:space="preserve">Los pasos de borde discontinuo son procedimientos operativos definidos para la empresa; Odoo respalda su registro (recepciones, ajustes de inventario, productos publicados), pero la revisión física la realiza el personal.</w:t>
      </w: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5.1 Detalle de cada etapa</w:t>
      </w:r>
      <w:bookmarkEnd w:id="17"/>
    </w:p>
    <w:p>
      <w:pPr>
        <w:pStyle w:val="Heading3"/>
      </w:pPr>
      <w:r>
        <w:rPr>
          <w:rFonts w:ascii="Calibri" w:cs="Calibri" w:eastAsia="Calibri" w:hAnsi="Calibri"/>
        </w:rPr>
        <w:t xml:space="preserve">Recepción del producto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El transportista presenta la guía y la factura del proveedor. El Bodeguero las compara con la orden de compra.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Verifica cantidad, lote, fecha de caducidad y estado del empaque de cada línea.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Si todo es conforme, valida la recepción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Inventario → Recepciones</w:t>
      </w:r>
      <w:r>
        <w:rPr>
          <w:rFonts w:ascii="Calibri" w:cs="Calibri" w:eastAsia="Calibri" w:hAnsi="Calibri"/>
          <w:sz w:val="21"/>
          <w:szCs w:val="21"/>
        </w:rPr>
        <w:t xml:space="preserve"> del almacén de la sucursal (Guatemala, México o El Salvador).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Almacenamiento según el sector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Después de validar la recepción, el producto se ubica en el sector que corresponde a su naturaleza, para conservar su calidad y facilitar la reposición.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340"/>
      </w:tblGrid>
      <w:tr>
        <w:trPr>
          <w:cantSplit/>
          <w:tblHeader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3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Productos (según el catálogo)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Condición de almacenamiento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Abarrotes y secos</w:t>
            </w:r>
          </w:p>
        </w:tc>
        <w:tc>
          <w:tcPr>
            <w:tcW w:type="dxa" w:w="3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Arroz, azúcar, aceites, enlatados, avena (códigos QM-ABA)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Área seca y ventilada, sobre tarimas, lejos de la humedad.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Bebidas</w:t>
            </w:r>
          </w:p>
        </w:tc>
        <w:tc>
          <w:tcPr>
            <w:tcW w:type="dxa" w:w="3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Agua, jugos, bebidas isotónicas (QM-BEB)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Área fresca; garrafones y cajas apilados con límite de altura.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Frutas, verduras y refrigerados</w:t>
            </w:r>
          </w:p>
        </w:tc>
        <w:tc>
          <w:tcPr>
            <w:tcW w:type="dxa" w:w="3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Banano, aguacate y perecederos (QM-FYV)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Cámara fría o área fresca; rotación por fecha (primero en entrar, primero en salir).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Snacks y cuidado personal</w:t>
            </w:r>
          </w:p>
        </w:tc>
        <w:tc>
          <w:tcPr>
            <w:tcW w:type="dxa" w:w="3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Barras, galletas, acondicionador (QM-SNK, QM-CUI)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Estantería seca; control de fecha de caducidad.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Materiales de sucursal</w:t>
            </w:r>
          </w:p>
        </w:tc>
        <w:tc>
          <w:tcPr>
            <w:tcW w:type="dxa" w:w="3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Empaque, limpieza, papelería, seguridad, mantenimiento (MAT-EMP, MAT-LIM, MAT-PAP, MAT-SEG, MAT-MAN)</w:t>
            </w:r>
          </w:p>
        </w:tc>
        <w:tc>
          <w:tcPr>
            <w:tcW w:type="dxa" w:w="3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Bodega interna, separada del producto de venta; uso exclusivo de la sucursal.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6.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Sectores de almacenamiento de QuetzalMart.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Productos defectuosos o en mal estado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El producto que llega dañado, vencido o con empaque roto no se mezcla con el inventario: se separa en una zona de cuarentena.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Se registra el defecto (cantidad, lote y motivo) y se toma una fotografía como evidencia.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El Agente de Compras reclama al proveedor y gestiona la devolución o la nota de crédito.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Si el producto se daña estando ya en tienda, se retira del estante y se registra como merma mediante un ajuste de inventario.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Control de inventario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Consulta de existencias por almacén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Inventario → Reportes → Existencias</w:t>
      </w:r>
      <w:r>
        <w:rPr>
          <w:rFonts w:ascii="Calibri" w:cs="Calibri" w:eastAsia="Calibri" w:hAnsi="Calibri"/>
          <w:sz w:val="21"/>
          <w:szCs w:val="21"/>
        </w:rPr>
        <w:t xml:space="preserve"> (hay 64 materiales con existencias por sucursal).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Conteos cíclicos por sector y ajustes de inventario cuando el conteo físico difiere del sistema.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Reposición: cuando la existencia baja del mínimo definido, el Bodeguero informa al Agente de Compras para iniciar el proceso de compras.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Empaque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producto se empaca y etiqueta para la venta en tienda o para el envío de pedidos web: bolsas o cajas según el volumen, etiqueta con la referencia del pedido y protección especial para frágiles y perecederos. Los materiales de empaque (bolsas, cajas de cartón, cinta, película, etiquetas) se controlan como materiales de sucursal.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Control de calidad antes de la venta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Revisar que el empaque esté íntegro y limpio.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Verificar la fecha de caducidad (no se exhibe producto próximo a vencer sin autorización).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Confirmar precio y peso o contenido contra la ficha del producto en Odoo.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1"/>
          <w:szCs w:val="21"/>
        </w:rPr>
        <w:t xml:space="preserve">Si el producto no cumple, se retira: merma o reproceso. Si cumple, se publica y se exhibe.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Publicación y venta</w:t>
      </w:r>
    </w:p>
    <w:p>
      <w:pPr>
        <w:spacing w:after="120" w:line="276"/>
        <w:jc w:val="both"/>
        <w:sectPr>
          <w:headerReference w:type="default" r:id="rId22"/>
          <w:footerReference w:type="default" r:id="rId23"/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sz w:val="21"/>
          <w:szCs w:val="21"/>
        </w:rPr>
        <w:t xml:space="preserve">Los productos aprobados se marcan como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publicados</w:t>
      </w:r>
      <w:r>
        <w:rPr>
          <w:rFonts w:ascii="Calibri" w:cs="Calibri" w:eastAsia="Calibri" w:hAnsi="Calibri"/>
          <w:sz w:val="21"/>
          <w:szCs w:val="21"/>
        </w:rPr>
        <w:t xml:space="preserve"> en Odoo, con lo que aparecen en el catálogo de la tienda en línea, y se exhiben en la estantería de la tienda física. Al venderse, Odoo descuenta el inventario y se emite la factura.</w:t>
      </w:r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5.2 Diagrama, parte 1: recepción, almacenamiento e inventario</w:t>
      </w:r>
      <w:bookmarkEnd w:id="18"/>
    </w:p>
    <w:p>
      <w:pPr>
        <w:keepNext/>
        <w:spacing w:after="40" w:before="100"/>
        <w:jc w:val="center"/>
      </w:pPr>
      <w:r>
        <w:drawing>
          <wp:inline distT="0" distB="0" distL="0" distR="0">
            <wp:extent cx="7981950" cy="5143500"/>
            <wp:effectExtent t="0" r="0" b="0" l="0"/>
            <wp:docPr id="7" name="Flujo del producto, parte 1: recepción, producto defectuoso, almacenamiento y control de inventario." descr="Flujo del producto, parte 1: recepción, producto defectuoso, almacenamiento y control de inventario." title="Flujo del producto, parte 1: recepción, producto defectuoso, almacenamiento y control de inv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  <w:sectPr>
          <w:headerReference w:type="default" r:id="rId24"/>
          <w:footerReference w:type="default" r:id="rId25"/>
          <w:pgSz w:w="15840" w:h="12240" w:orient="landscape"/>
          <w:pgMar w:top="1000" w:right="900" w:bottom="900" w:left="900" w:header="500" w:footer="4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7.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Flujo del producto, parte 1: recepción, producto defectuoso, almacenamiento y control de inventario.</w:t>
      </w:r>
    </w:p>
    <w:p>
      <w:pPr>
        <w:pStyle w:val="Heading2"/>
      </w:pPr>
      <w:bookmarkStart w:name="_Toc19" w:id="19"/>
      <w:r>
        <w:rPr>
          <w:rFonts w:ascii="Calibri" w:cs="Calibri" w:eastAsia="Calibri" w:hAnsi="Calibri"/>
        </w:rPr>
        <w:t xml:space="preserve">5.3 Diagrama, parte 2: empaque, control de calidad y venta</w:t>
      </w:r>
      <w:bookmarkEnd w:id="19"/>
    </w:p>
    <w:p>
      <w:pPr>
        <w:keepNext/>
        <w:spacing w:after="40" w:before="100"/>
        <w:jc w:val="center"/>
      </w:pPr>
      <w:r>
        <w:drawing>
          <wp:inline distT="0" distB="0" distL="0" distR="0">
            <wp:extent cx="7981950" cy="5143500"/>
            <wp:effectExtent t="0" r="0" b="0" l="0"/>
            <wp:docPr id="8" name="Flujo del producto, parte 2: empaque, control de calidad previo a la venta, publicación y venta." descr="Flujo del producto, parte 2: empaque, control de calidad previo a la venta, publicación y venta." title="Flujo del producto, parte 2: empaque, control de calidad previo a la venta, publicación y v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  <w:sectPr>
          <w:headerReference w:type="default" r:id="rId26"/>
          <w:footerReference w:type="default" r:id="rId27"/>
          <w:pgSz w:w="15840" w:h="12240" w:orient="landscape"/>
          <w:pgMar w:top="1000" w:right="900" w:bottom="900" w:left="900" w:header="500" w:footer="4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8.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Flujo del producto, parte 2: empaque, control de calidad previo a la venta, publicación y venta.</w:t>
      </w:r>
    </w:p>
    <w:p>
      <w:pPr>
        <w:pStyle w:val="Heading1"/>
      </w:pPr>
      <w:bookmarkStart w:name="_Toc20" w:id="20"/>
      <w:r>
        <w:rPr>
          <w:rFonts w:ascii="Calibri" w:cs="Calibri" w:eastAsia="Calibri" w:hAnsi="Calibri"/>
        </w:rPr>
        <w:t xml:space="preserve">6. Flujo del cliente: compra por la tienda en línea y visita a la tienda</w:t>
      </w:r>
      <w:bookmarkEnd w:id="20"/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flujo muestra la experiencia completa de un cliente: navega el catálogo, compra en línea, recibe sus correos y recibe el pedido a domicilio o lo recoge en la tienda física. Cada acción relevante del cliente se registra en Google Analytics 4 (GA4) mediante los eventos de comercio electrónico que exige el proyecto.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40"/>
      </w:tblGrid>
      <w:tr>
        <w:trPr>
          <w:cantSplit/>
          <w:tblHeader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del cliente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Evento de GA4</w:t>
            </w:r>
          </w:p>
        </w:tc>
        <w:tc>
          <w:tcPr>
            <w:tcW w:type="dxa" w:w="4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permite medir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 la ficha de un producto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view_item</w:t>
            </w:r>
          </w:p>
        </w:tc>
        <w:tc>
          <w:tcPr>
            <w:tcW w:type="dxa" w:w="4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Productos más consultados.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 un producto al carrito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add_to_cart</w:t>
            </w:r>
          </w:p>
        </w:tc>
        <w:tc>
          <w:tcPr>
            <w:tcW w:type="dxa" w:w="4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Intención de compra y abandono de carrito.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Inicia el pago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begin_checkout</w:t>
            </w:r>
          </w:p>
        </w:tc>
        <w:tc>
          <w:tcPr>
            <w:tcW w:type="dxa" w:w="4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Paso del embudo donde se pierden clientes.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Completa la compra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purchase</w:t>
            </w:r>
          </w:p>
        </w:tc>
        <w:tc>
          <w:tcPr>
            <w:tcW w:type="dxa" w:w="4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Ingresos totales y tasa de conversión.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7.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Eventos de GA4 asociados al flujo del cliente.</w:t>
      </w:r>
    </w:p>
    <w:p>
      <w:pPr>
        <w:pStyle w:val="Heading2"/>
      </w:pPr>
      <w:bookmarkStart w:name="_Toc21" w:id="21"/>
      <w:r>
        <w:rPr>
          <w:rFonts w:ascii="Calibri" w:cs="Calibri" w:eastAsia="Calibri" w:hAnsi="Calibri"/>
        </w:rPr>
        <w:t xml:space="preserve">6.1 Detalle de los pasos</w:t>
      </w:r>
      <w:bookmarkEnd w:id="21"/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2000"/>
        <w:gridCol w:w="1820"/>
      </w:tblGrid>
      <w:tr>
        <w:trPr>
          <w:cantSplit/>
          <w:tblHeader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 / dónde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cliente entra a la tienda en línea (/shop) y explora el catálogo con imágenes, descripciones y precios.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/ sitio web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view_item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 productos al carrito.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/ sitio web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add_to_cart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sitio calcula el IVA (12 %) y el costo de envío.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Sitio web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del pedido visible.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cliente captura su dirección de entrega, elige el método de pago (transferencia bancaria) y pulsa «Pagar ahora».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/ sitio web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begin_checkout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sitio confirma el pedido y muestra la página de agradecimiento con el número de orden.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Sitio web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 </w:t>
            </w:r>
            <w:r>
              <w:rPr>
                <w:rFonts w:ascii="Consolas" w:cs="Consolas" w:eastAsia="Consolas" w:hAnsi="Consolas"/>
                <w:color w:val="1F3A5F"/>
                <w:sz w:val="16"/>
                <w:szCs w:val="16"/>
                <w:shd w:fill="EEF2F7" w:color="auto" w:val="clear"/>
              </w:rPr>
              <w:t xml:space="preserve">purchase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Odoo crea la orden de venta con sus líneas y la asocia al cliente.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 / Ventas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 S00xxx.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reglas de automatización envían el correo de recibo con el PDF y, después, el correo de marketing.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 / CRM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Dos correos con asuntos distintos.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prepara la entrega y se reserva el inventario.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Bodeguero / Inventario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lista.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a domicilio con el método «Envío estándar», o el cliente visita la tienda y presenta su número de orden.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Transportista / Cajero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Pedido entregado y verificado.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confirma el pago y se emite la factura. El cliente puede volver a comprar.</w:t>
            </w:r>
          </w:p>
        </w:tc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Contador General / Cajero</w:t>
            </w:r>
          </w:p>
        </w:tc>
        <w:tc>
          <w:tcPr>
            <w:tcW w:type="dxa" w:w="18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 emitida.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Tabla 8.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Pasos del flujo del cliente web.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Evidencia del flujo en el sistema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prueba de extremo a extremo del proyecto registró una compra real en la tienda en línea: un cliente adquirió «Café Tostado 500g» por Q 45.00 (IVA 12 % incluido) y el sistema generó la orden S00221 y los correos automáticos.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953000" cy="2428875"/>
            <wp:effectExtent t="0" r="0" b="0" l="0"/>
            <wp:docPr id="11" name="Confirmación del pedido en la tienda en línea con el número de orden." descr="Confirmación del pedido en la tienda en línea con el número de orden." title="Confirmación del pedido en la tienda en línea con el número de or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11.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Confirmación del pedido en la tienda en línea con el número de orden.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953000" cy="2428875"/>
            <wp:effectExtent t="0" r="0" b="0" l="0"/>
            <wp:docPr id="12" name="Orden de venta en Odoo con los correos automáticos registrados en el chatter." descr="Orden de venta en Odoo con los correos automáticos registrados en el chatter." title="Orden de venta en Odoo con los correos automáticos registrados en el chat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12.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Orden de venta en Odoo con los correos automáticos registrados en el chatter.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Visita a la tienda física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cliente que recoge su pedido presenta el número de orden; el Cajero lo ubica en Odoo, verifica el contenido y lo entrega.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Las compras adicionales que el cliente haga en la tienda se registran como una nueva orden de venta, con el mismo flujo de confirmación, factura y pago.</w:t>
      </w:r>
    </w:p>
    <w:p>
      <w:pPr>
        <w:pStyle w:val="ListParagraph"/>
        <w:numPr>
          <w:ilvl w:val="0"/>
          <w:numId w:val="2"/>
        </w:numPr>
        <w:spacing w:after="60" w:line="264"/>
        <w:sectPr>
          <w:headerReference w:type="default" r:id="rId28"/>
          <w:footerReference w:type="default" r:id="rId29"/>
          <w:pgSz w:w="12240" w:h="15840" w:orient="portrait"/>
          <w:pgMar w:top="1300" w:right="1300" w:bottom="1200" w:left="1300" w:header="600" w:footer="500" w:gutter="0"/>
          <w:pgNumType/>
          <w:docGrid w:linePitch="360"/>
        </w:sectPr>
      </w:pPr>
      <w:r>
        <w:rPr>
          <w:rFonts w:ascii="Calibri" w:cs="Calibri" w:eastAsia="Calibri" w:hAnsi="Calibri"/>
          <w:sz w:val="21"/>
          <w:szCs w:val="21"/>
        </w:rPr>
        <w:t xml:space="preserve">El correo de marketing posterior a la compra invita al cliente a regresar a la tienda y a seguir comprando en línea.</w:t>
      </w:r>
    </w:p>
    <w:p>
      <w:pPr>
        <w:pStyle w:val="Heading2"/>
      </w:pPr>
      <w:bookmarkStart w:name="_Toc22" w:id="22"/>
      <w:r>
        <w:rPr>
          <w:rFonts w:ascii="Calibri" w:cs="Calibri" w:eastAsia="Calibri" w:hAnsi="Calibri"/>
        </w:rPr>
        <w:t xml:space="preserve">6.2 Diagrama, parte 1: navegación, carrito y pago</w:t>
      </w:r>
      <w:bookmarkEnd w:id="22"/>
    </w:p>
    <w:p>
      <w:pPr>
        <w:keepNext/>
        <w:spacing w:after="40" w:before="100"/>
        <w:jc w:val="center"/>
      </w:pPr>
      <w:r>
        <w:drawing>
          <wp:inline distT="0" distB="0" distL="0" distR="0">
            <wp:extent cx="6848475" cy="5143500"/>
            <wp:effectExtent t="0" r="0" b="0" l="0"/>
            <wp:docPr id="9" name="Cliente web, parte 1: del catálogo a la confirmación del pedido." descr="Cliente web, parte 1: del catálogo a la confirmación del pedido." title="Cliente web, parte 1: del catálogo a la confirmación del ped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  <w:sectPr>
          <w:headerReference w:type="default" r:id="rId30"/>
          <w:footerReference w:type="default" r:id="rId31"/>
          <w:pgSz w:w="15840" w:h="12240" w:orient="landscape"/>
          <w:pgMar w:top="1000" w:right="900" w:bottom="900" w:left="900" w:header="500" w:footer="40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9.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Cliente web, parte 1: del catálogo a la confirmación del pedido.</w:t>
      </w:r>
    </w:p>
    <w:p>
      <w:pPr>
        <w:pStyle w:val="Heading2"/>
      </w:pPr>
      <w:bookmarkStart w:name="_Toc23" w:id="23"/>
      <w:r>
        <w:rPr>
          <w:rFonts w:ascii="Calibri" w:cs="Calibri" w:eastAsia="Calibri" w:hAnsi="Calibri"/>
        </w:rPr>
        <w:t xml:space="preserve">6.3 Diagrama, parte 2: orden, correos, entrega y visita a la tienda</w:t>
      </w:r>
      <w:bookmarkEnd w:id="23"/>
    </w:p>
    <w:p>
      <w:pPr>
        <w:keepNext/>
        <w:spacing w:after="40" w:before="100"/>
        <w:jc w:val="center"/>
      </w:pPr>
      <w:r>
        <w:drawing>
          <wp:inline distT="0" distB="0" distL="0" distR="0">
            <wp:extent cx="6848475" cy="5143500"/>
            <wp:effectExtent t="0" r="0" b="0" l="0"/>
            <wp:docPr id="10" name="Cliente web, parte 2: orden de venta, correos automáticos, entrega o visita a la tienda." descr="Cliente web, parte 2: orden de venta, correos automáticos, entrega o visita a la tienda." title="Cliente web, parte 2: orden de venta, correos automáticos, entrega o visita a la tien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Figura 10. </w:t>
      </w: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Cliente web, parte 2: orden de venta, correos automáticos, entrega o visita a la tienda.</w:t>
      </w:r>
    </w:p>
    <w:sectPr>
      <w:headerReference w:type="default" r:id="rId32"/>
      <w:footerReference w:type="default" r:id="rId33"/>
      <w:pgSz w:w="15840" w:h="12240" w:orient="landscape"/>
      <w:pgMar w:top="1000" w:right="900" w:bottom="900" w:left="900" w:header="5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Grupo 12 · SOG2 2S2026   |   Página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</w:pPr>
    <w:r>
      <w:rPr>
        <w:rFonts w:ascii="Calibri" w:cs="Calibri" w:eastAsia="Calibri" w:hAnsi="Calibri"/>
        <w:color w:val="5B6573"/>
        <w:sz w:val="17"/>
        <w:szCs w:val="17"/>
      </w:rPr>
      <w:t xml:space="preserve">QuetzalMart, S.A. · Manual 2 · Diagramas de flujo de procesos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D9B" w:sz="10" w:space="4"/>
      </w:pBdr>
      <w:spacing w:after="220" w:before="12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D9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theme" Target="theme/theme1.xml"/><Relationship Id="rId35" Type="http://schemas.openxmlformats.org/officeDocument/2006/relationships/image" Target="media/9a17df65fd2530096ac12ec408aa6da105926652.png"/><Relationship Id="rId36" Type="http://schemas.openxmlformats.org/officeDocument/2006/relationships/image" Target="media/7b77c383f4e4e0946e56fd9e031e50ce9466ad83.png"/><Relationship Id="rId37" Type="http://schemas.openxmlformats.org/officeDocument/2006/relationships/image" Target="media/5f0f56464570d3d06e299900b2f49e9b61bef741.png"/><Relationship Id="rId38" Type="http://schemas.openxmlformats.org/officeDocument/2006/relationships/image" Target="media/a83ec030370eec78c809e557f27002bbaa5579af.png"/><Relationship Id="rId39" Type="http://schemas.openxmlformats.org/officeDocument/2006/relationships/image" Target="media/6e9773bd4802aeb7df975aaa5c490ca751607f14.png"/><Relationship Id="rId40" Type="http://schemas.openxmlformats.org/officeDocument/2006/relationships/image" Target="media/60379eb90a4bacb4f1a916810f20f5982585611e.png"/><Relationship Id="rId41" Type="http://schemas.openxmlformats.org/officeDocument/2006/relationships/image" Target="media/9967bf7906a23c741c0b40ecbab24b4d7899f7dd.png"/><Relationship Id="rId42" Type="http://schemas.openxmlformats.org/officeDocument/2006/relationships/image" Target="media/bc3888b91a24103ca6918d36849a4d1eda3e1cf9.png"/><Relationship Id="rId43" Type="http://schemas.openxmlformats.org/officeDocument/2006/relationships/image" Target="media/a7735ffd34f72b193a65e234a49521c2f8223968.png"/><Relationship Id="rId44" Type="http://schemas.openxmlformats.org/officeDocument/2006/relationships/image" Target="media/a2954c20214a61649320123dd7179ed76b6266d7.png"/><Relationship Id="rId45" Type="http://schemas.openxmlformats.org/officeDocument/2006/relationships/image" Target="media/bc5fcf46e15a30b94bb3931224816dd64bb6494f.png"/><Relationship Id="rId46" Type="http://schemas.openxmlformats.org/officeDocument/2006/relationships/image" Target="media/769890c47352df51050e7cdc7f555b79983c6468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2 · Diagramas de flujo de procesos</dc:title>
  <dc:creator>Grupo 12 · SOG2</dc:creator>
  <dc:description>Manual 2 · Diagramas de flujo de procesos</dc:description>
  <cp:lastModifiedBy>Un-named</cp:lastModifiedBy>
  <cp:revision>1</cp:revision>
  <dcterms:created xsi:type="dcterms:W3CDTF">2026-10-16T17:42:10.618Z</dcterms:created>
  <dcterms:modified xsi:type="dcterms:W3CDTF">2026-10-16T17:42:10.619Z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