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ACME COMPANY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YLG Confidential Attorney Client Communication and Attorney Work Product Privilege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BACKGROUD…………………………………………………………………………….4</w:t>
      </w:r>
    </w:p>
    <w:p>
      <w:r>
        <w:rPr>
          <w:b/>
          <w:sz w:val="24"/>
        </w:rPr>
        <w:t>I. REPORTING EVENTS AND INCIDENTS ......................................................... 5</w:t>
      </w:r>
    </w:p>
    <w:p>
      <w:r>
        <w:rPr>
          <w:b/>
          <w:sz w:val="24"/>
        </w:rPr>
        <w:t>II. IDENTIFYING AN INCIDENT ............................................................................ 5</w:t>
      </w:r>
    </w:p>
    <w:p>
      <w:r>
        <w:rPr>
          <w:b/>
        </w:rPr>
        <w:t>A. Assess and Classify Incident – Severity Level &amp; Incident Type ................. 6</w:t>
      </w:r>
    </w:p>
    <w:p>
      <w:r>
        <w:rPr>
          <w:b/>
        </w:rPr>
        <w:t>B. Mobilize the Incident Response Team .......................................................... 6</w:t>
      </w:r>
    </w:p>
    <w:p>
      <w:r>
        <w:rPr>
          <w:b/>
        </w:rPr>
        <w:t>C. Provide the Incident Response Team with an Initial Report ..................... 7</w:t>
      </w:r>
    </w:p>
    <w:p>
      <w:r>
        <w:rPr>
          <w:b/>
          <w:sz w:val="24"/>
        </w:rPr>
        <w:t>III.   INCIDENT RESPONSE TEAM ......................................................................... 6</w:t>
      </w:r>
    </w:p>
    <w:p>
      <w:r>
        <w:rPr>
          <w:b/>
        </w:rPr>
        <w:t>A. Assembling the Incident Response Team ..................................................... 7</w:t>
      </w:r>
    </w:p>
    <w:p>
      <w:r>
        <w:rPr>
          <w:b/>
        </w:rPr>
        <w:t>B. Incident Response Team Members ............................................................... 7</w:t>
      </w:r>
    </w:p>
    <w:p>
      <w:r>
        <w:rPr>
          <w:b/>
        </w:rPr>
        <w:t>C. Incident Response Team Roles and Responsibilities ................................... 8</w:t>
      </w:r>
    </w:p>
    <w:p>
      <w:pPr>
        <w:pStyle w:val="ListBullet"/>
      </w:pPr>
      <w:r>
        <w:t xml:space="preserve">   IT Security Operations</w:t>
      </w:r>
    </w:p>
    <w:p>
      <w:pPr>
        <w:pStyle w:val="ListBullet"/>
      </w:pPr>
      <w:r>
        <w:t xml:space="preserve">   Global Security</w:t>
      </w:r>
    </w:p>
    <w:p>
      <w:pPr>
        <w:pStyle w:val="ListBullet"/>
      </w:pPr>
      <w:r>
        <w:t xml:space="preserve">   Legal Department</w:t>
      </w:r>
    </w:p>
    <w:p>
      <w:pPr>
        <w:pStyle w:val="ListBullet"/>
      </w:pPr>
      <w:r>
        <w:t xml:space="preserve">   Compliance Department</w:t>
      </w:r>
    </w:p>
    <w:p>
      <w:pPr>
        <w:pStyle w:val="ListBullet"/>
      </w:pPr>
      <w:r>
        <w:t xml:space="preserve">   Corporate Communications Department</w:t>
      </w:r>
    </w:p>
    <w:p>
      <w:pPr>
        <w:pStyle w:val="ListBullet"/>
      </w:pPr>
      <w:r>
        <w:t xml:space="preserve">   Corporate Finance</w:t>
      </w:r>
    </w:p>
    <w:p>
      <w:pPr>
        <w:pStyle w:val="ListBullet"/>
      </w:pPr>
      <w:r>
        <w:t xml:space="preserve">   Human Resources Department and/or Corporate Procurement</w:t>
      </w:r>
    </w:p>
    <w:p>
      <w:pPr>
        <w:spacing w:after="80"/>
      </w:pPr>
      <w:r>
        <w:t>Department</w:t>
      </w:r>
    </w:p>
    <w:p>
      <w:r>
        <w:rPr>
          <w:b/>
          <w:sz w:val="24"/>
        </w:rPr>
        <w:t>IV. INCIDENT RESPONSE ExCIRT PROCEDURES .......................................... 10</w:t>
      </w:r>
    </w:p>
    <w:p>
      <w:r>
        <w:rPr>
          <w:b/>
        </w:rPr>
        <w:t>A. Investigation .................................................................................................... 10</w:t>
      </w:r>
    </w:p>
    <w:p>
      <w:r>
        <w:rPr>
          <w:b/>
        </w:rPr>
        <w:t>B. Inform Appropriate Internal Stakeholders .................................................. 11</w:t>
      </w:r>
    </w:p>
    <w:p>
      <w:r>
        <w:rPr>
          <w:b/>
        </w:rPr>
        <w:t>C. Develop a Response Action Plan ................................................................... 11</w:t>
      </w:r>
    </w:p>
    <w:p>
      <w:pPr>
        <w:spacing w:after="80"/>
      </w:pPr>
      <w:r>
        <w:t>Containment</w:t>
      </w:r>
    </w:p>
    <w:p>
      <w:pPr>
        <w:spacing w:after="80"/>
      </w:pPr>
      <w:r>
        <w:t>Data</w:t>
      </w:r>
    </w:p>
    <w:p>
      <w:pPr>
        <w:spacing w:after="80"/>
      </w:pPr>
      <w:r>
        <w:t>External Counsel</w:t>
      </w:r>
    </w:p>
    <w:p>
      <w:pPr>
        <w:spacing w:after="80"/>
      </w:pPr>
      <w:r>
        <w:t>Chronology</w:t>
      </w:r>
    </w:p>
    <w:p>
      <w:pPr>
        <w:spacing w:after="80"/>
      </w:pPr>
      <w:r>
        <w:t>Third-Party Investigation</w:t>
      </w:r>
    </w:p>
    <w:p>
      <w:pPr>
        <w:spacing w:after="80"/>
      </w:pPr>
      <w:r>
        <w:t>Law Enforcement</w:t>
      </w:r>
    </w:p>
    <w:p>
      <w:pPr>
        <w:spacing w:after="80"/>
      </w:pPr>
      <w:r>
        <w:t>Notification Obligation</w:t>
      </w:r>
    </w:p>
    <w:p>
      <w:pPr>
        <w:spacing w:after="80"/>
      </w:pPr>
      <w:r>
        <w:t>Customer Assistance Strategies</w:t>
      </w:r>
    </w:p>
    <w:p>
      <w:pPr>
        <w:spacing w:after="80"/>
      </w:pPr>
      <w:r>
        <w:t>External Support</w:t>
      </w:r>
    </w:p>
    <w:p>
      <w:pPr>
        <w:spacing w:after="80"/>
      </w:pPr>
      <w:r>
        <w:t>Key Contacts</w:t>
      </w:r>
    </w:p>
    <w:p>
      <w:pPr>
        <w:spacing w:after="80"/>
      </w:pPr>
      <w:r>
        <w:t>Insurance</w:t>
      </w:r>
    </w:p>
    <w:p>
      <w:pPr>
        <w:spacing w:after="80"/>
      </w:pPr>
      <w:r>
        <w:t>Cost Assessment</w:t>
      </w:r>
    </w:p>
    <w:p>
      <w:r>
        <w:rPr>
          <w:b/>
          <w:sz w:val="24"/>
        </w:rPr>
        <w:t>V.    NOTIFICATIONS ............................................................................................... 13</w:t>
      </w:r>
    </w:p>
    <w:p>
      <w:pPr>
        <w:spacing w:after="80"/>
      </w:pPr>
      <w:r>
        <w:t>Notification to Individuals</w:t>
      </w:r>
    </w:p>
    <w:p>
      <w:pPr>
        <w:spacing w:after="80"/>
      </w:pPr>
      <w:r>
        <w:t>Notification to Law Enforcement</w:t>
      </w:r>
    </w:p>
    <w:p>
      <w:pPr>
        <w:spacing w:after="80"/>
      </w:pPr>
      <w:r>
        <w:t>Notification to Gaming and Other Regulators</w:t>
      </w:r>
    </w:p>
    <w:p>
      <w:pPr>
        <w:spacing w:after="80"/>
      </w:pPr>
      <w:r>
        <w:t>Notification to Credit Reporting Agencies</w:t>
      </w:r>
    </w:p>
    <w:p>
      <w:pPr>
        <w:spacing w:after="80"/>
      </w:pPr>
      <w:r>
        <w:t>Notification to Payment Card Companies/Merchant Banks</w:t>
      </w:r>
    </w:p>
    <w:p>
      <w:pPr>
        <w:spacing w:after="80"/>
      </w:pPr>
      <w:r>
        <w:t>INCIDENT RESPONSE PLAN</w:t>
      </w:r>
    </w:p>
    <w:p>
      <w:r>
        <w:rPr>
          <w:b/>
          <w:sz w:val="24"/>
        </w:rPr>
        <w:t>VI.    MONITORING AND FOLLOW-UP ............................................................... 16</w:t>
      </w:r>
    </w:p>
    <w:p>
      <w:r>
        <w:rPr>
          <w:b/>
          <w:sz w:val="24"/>
        </w:rPr>
        <w:t>VII. APPENDIX APPENDICES ............................................................................... 17</w:t>
      </w:r>
    </w:p>
    <w:p>
      <w:pPr>
        <w:spacing w:after="80"/>
      </w:pPr>
      <w:r>
        <w:t>Appendix A – Executive Critical Incident Response Team (“ExCIRT”) Process</w:t>
      </w:r>
    </w:p>
    <w:p>
      <w:pPr>
        <w:spacing w:after="80"/>
      </w:pPr>
      <w:r>
        <w:t>Appendix B – Incident Response Team Activation Email Template</w:t>
      </w:r>
    </w:p>
    <w:p>
      <w:pPr>
        <w:spacing w:after="80"/>
      </w:pPr>
      <w:r>
        <w:t>Appendix C-1 – Internal Contact Information for ExCIRT and Core Incident Response</w:t>
      </w:r>
    </w:p>
    <w:p>
      <w:pPr>
        <w:spacing w:after="80"/>
      </w:pPr>
      <w:r>
        <w:t>Team (IRT)</w:t>
      </w:r>
    </w:p>
    <w:p>
      <w:pPr>
        <w:spacing w:after="80"/>
      </w:pPr>
      <w:r>
        <w:t>Appendix C-2 – External Support Contacts List</w:t>
      </w:r>
    </w:p>
    <w:p>
      <w:pPr>
        <w:spacing w:after="80"/>
      </w:pPr>
      <w:r>
        <w:t>Appendix C-3 – Merchant Banks and Payment Card Companies Contact List</w:t>
      </w:r>
    </w:p>
    <w:p>
      <w:pPr>
        <w:spacing w:after="80"/>
      </w:pPr>
      <w:r>
        <w:t>Appendix D – Information to Consider for Notification</w:t>
      </w:r>
    </w:p>
    <w:p>
      <w:pPr>
        <w:spacing w:after="80"/>
      </w:pPr>
      <w:r>
        <w:t>Appendix E – Yarbrough Law Group State Customer &amp; Employee Data Privacy</w:t>
      </w:r>
    </w:p>
    <w:p>
      <w:pPr>
        <w:spacing w:after="80"/>
      </w:pPr>
      <w:r>
        <w:t>Breach Notification Laws</w:t>
      </w:r>
    </w:p>
    <w:p>
      <w:pPr>
        <w:spacing w:after="80"/>
      </w:pPr>
      <w:r>
        <w:t>Appendix F – Summary of Requirements to Notify State Regulators</w:t>
      </w:r>
    </w:p>
    <w:p>
      <w:pPr>
        <w:spacing w:after="80"/>
      </w:pPr>
      <w:r>
        <w:t>Appendix G – Cardholder Requirements</w:t>
      </w:r>
    </w:p>
    <w:p>
      <w:pPr>
        <w:spacing w:after="80"/>
      </w:pPr>
      <w:r>
        <w:t>Appendix H – Incident Response Checklist</w:t>
      </w:r>
    </w:p>
    <w:p>
      <w:pPr>
        <w:spacing w:after="80"/>
      </w:pPr>
      <w:r>
        <w:t>Appendix I – Forensic Investigation Guidelines for Incidents Impacting</w:t>
      </w:r>
    </w:p>
    <w:p>
      <w:pPr>
        <w:spacing w:after="80"/>
      </w:pPr>
      <w:r>
        <w:t>Cardholder Data</w:t>
      </w:r>
    </w:p>
    <w:p>
      <w:pPr>
        <w:spacing w:after="80"/>
      </w:pPr>
      <w:r>
        <w:t>Appendix J – Incident Report Template</w:t>
      </w:r>
    </w:p>
    <w:p>
      <w:pPr>
        <w:spacing w:after="80"/>
      </w:pPr>
      <w:r>
        <w:t>Appendix K – Template Notification Letters</w:t>
      </w:r>
    </w:p>
    <w:p>
      <w:pPr>
        <w:spacing w:after="80"/>
      </w:pPr>
      <w:r>
        <w:t>Appendix L – Definitions</w:t>
      </w:r>
    </w:p>
    <w:p>
      <w:pPr>
        <w:spacing w:after="80"/>
      </w:pPr>
      <w:r>
        <w:t>1) Acme Company OR THE COMPANY</w:t>
      </w:r>
    </w:p>
    <w:p>
      <w:pPr>
        <w:spacing w:after="80"/>
      </w:pPr>
      <w:r>
        <w:t>2) Acme Company BUSINESS INFORMATION</w:t>
      </w:r>
    </w:p>
    <w:p>
      <w:pPr>
        <w:spacing w:after="80"/>
      </w:pPr>
      <w:r>
        <w:t>3) CARD VALIDATION VALUE OR CODE</w:t>
      </w:r>
    </w:p>
    <w:p>
      <w:pPr>
        <w:spacing w:after="80"/>
      </w:pPr>
      <w:r>
        <w:t>4) CARDHOLDER</w:t>
      </w:r>
    </w:p>
    <w:p>
      <w:pPr>
        <w:spacing w:after="80"/>
      </w:pPr>
      <w:r>
        <w:t>5) CARDHOLDER DATA</w:t>
      </w:r>
    </w:p>
    <w:p>
      <w:pPr>
        <w:spacing w:after="80"/>
      </w:pPr>
      <w:r>
        <w:t>6) COMPROMISE</w:t>
      </w:r>
    </w:p>
    <w:p>
      <w:pPr>
        <w:spacing w:after="80"/>
      </w:pPr>
      <w:r>
        <w:t>7) CORE INCIDENT RESPONSE TEAM OR CORE IRT</w:t>
      </w:r>
    </w:p>
    <w:p>
      <w:pPr>
        <w:spacing w:after="80"/>
      </w:pPr>
      <w:r>
        <w:t>8) INCIDENT RESPONSE TEAM</w:t>
      </w:r>
    </w:p>
    <w:p>
      <w:pPr>
        <w:spacing w:after="80"/>
      </w:pPr>
      <w:r>
        <w:t>9) IT GOVERNANCE (POSITIONS)</w:t>
      </w:r>
    </w:p>
    <w:p>
      <w:pPr>
        <w:spacing w:after="80"/>
      </w:pPr>
      <w:r>
        <w:t>10) IT ESCALATION REVIEW TEAM OR ESCALATION REVIEW TEAM</w:t>
      </w:r>
    </w:p>
    <w:p>
      <w:pPr>
        <w:spacing w:after="80"/>
      </w:pPr>
      <w:r>
        <w:t>11) MAGNETIC STRIPE DATA (TRACK DATA)</w:t>
      </w:r>
    </w:p>
    <w:p>
      <w:pPr>
        <w:spacing w:after="80"/>
      </w:pPr>
      <w:r>
        <w:t>12) MERCHANT BANK</w:t>
      </w:r>
    </w:p>
    <w:p>
      <w:pPr>
        <w:spacing w:after="80"/>
      </w:pPr>
      <w:r>
        <w:t>13) PAYMENT CARD/PAYMENT CARD COMPANY</w:t>
      </w:r>
    </w:p>
    <w:p>
      <w:pPr>
        <w:spacing w:after="80"/>
      </w:pPr>
      <w:r>
        <w:t>14) PERSONAL INFORMATION/PERSONALLY IDENTIFIABLE</w:t>
      </w:r>
    </w:p>
    <w:p>
      <w:pPr>
        <w:spacing w:after="80"/>
      </w:pPr>
      <w:r>
        <w:t>INFORMATION/PII</w:t>
      </w:r>
    </w:p>
    <w:p>
      <w:pPr>
        <w:spacing w:after="80"/>
      </w:pPr>
      <w:r>
        <w:t>15) PIN</w:t>
      </w:r>
    </w:p>
    <w:p>
      <w:pPr>
        <w:spacing w:after="80"/>
      </w:pPr>
      <w:r>
        <w:t>16) PIN BLOCKS</w:t>
      </w:r>
    </w:p>
    <w:p>
      <w:pPr>
        <w:spacing w:after="80"/>
      </w:pPr>
      <w:r>
        <w:t>17) PRIMARY ACCOUNT NUMBER (PAN)</w:t>
      </w:r>
    </w:p>
    <w:p>
      <w:pPr>
        <w:spacing w:after="80"/>
      </w:pPr>
      <w:r>
        <w:t>18) SECURITY EVENT OR EVENT</w:t>
      </w:r>
    </w:p>
    <w:p>
      <w:pPr>
        <w:spacing w:after="80"/>
      </w:pPr>
      <w:r>
        <w:t>19) SECURITY INCIDENT OR INCIDENT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BACKGROUND</w:t>
      </w:r>
    </w:p>
    <w:p>
      <w:pPr>
        <w:spacing w:after="80"/>
      </w:pPr>
      <w:r>
        <w:t>This Incident Response Plan, as may be amended from time to time, (IRP or Plan) documents</w:t>
      </w:r>
    </w:p>
    <w:p>
      <w:pPr>
        <w:spacing w:after="80"/>
      </w:pPr>
      <w:r>
        <w:t>Acme Company (Acme Company or the Company) approach to responding to actual or</w:t>
      </w:r>
    </w:p>
    <w:p>
      <w:pPr>
        <w:spacing w:after="80"/>
      </w:pPr>
      <w:r>
        <w:t>suspected data security incidents. The Plan identifies and describes the roles and</w:t>
      </w:r>
    </w:p>
    <w:p>
      <w:pPr>
        <w:spacing w:after="80"/>
      </w:pPr>
      <w:r>
        <w:t>responsibilities of the Incident Response Team.</w:t>
      </w:r>
    </w:p>
    <w:p>
      <w:pPr>
        <w:spacing w:after="80"/>
      </w:pPr>
      <w:r>
        <w:t>The Incident Response Team (IRT), initially engaging through the Core Incident Response</w:t>
      </w:r>
    </w:p>
    <w:p>
      <w:pPr>
        <w:spacing w:after="80"/>
      </w:pPr>
      <w:r>
        <w:t>Team (Core IRT), is responsible for putting the Plan into action by providing a quick,</w:t>
      </w:r>
    </w:p>
    <w:p>
      <w:pPr>
        <w:spacing w:after="80"/>
      </w:pPr>
      <w:r>
        <w:t>effective and orderly response to computer-related incidents such as: hacker attempts and</w:t>
      </w:r>
    </w:p>
    <w:p>
      <w:pPr>
        <w:spacing w:after="80"/>
      </w:pPr>
      <w:r>
        <w:t>break-ins, improper disclosure of confidential information to others, system service</w:t>
      </w:r>
    </w:p>
    <w:p>
      <w:pPr>
        <w:spacing w:after="80"/>
      </w:pPr>
      <w:r>
        <w:t>interruptions, security incidents involving Personally Identifiable Information (PII or</w:t>
      </w:r>
    </w:p>
    <w:p>
      <w:pPr>
        <w:spacing w:after="80"/>
      </w:pPr>
      <w:r>
        <w:t>Personal Information), and other events with serious information security implications. The</w:t>
      </w:r>
    </w:p>
    <w:p>
      <w:pPr>
        <w:spacing w:after="80"/>
      </w:pPr>
      <w:r>
        <w:t>IRP is maintained by Acme Company’s CISO and is a requirement with the Payment Card Industry</w:t>
      </w:r>
    </w:p>
    <w:p>
      <w:pPr>
        <w:spacing w:after="80"/>
      </w:pPr>
      <w:r>
        <w:t>Data Security Standard (PCI). The Core Incident Response Team will meet not less often</w:t>
      </w:r>
    </w:p>
    <w:p>
      <w:pPr>
        <w:spacing w:after="80"/>
      </w:pPr>
      <w:r>
        <w:t>than annually to review, update and revise roles as appropriate.</w:t>
      </w:r>
    </w:p>
    <w:p>
      <w:pPr>
        <w:spacing w:after="80"/>
      </w:pPr>
      <w:r>
        <w:t>Many states have also enacted laws concerning the protection of Personal Information and</w:t>
      </w:r>
    </w:p>
    <w:p>
      <w:pPr>
        <w:spacing w:after="80"/>
      </w:pPr>
      <w:r>
        <w:t>notice requirements in case of breaches resulting in unauthorized access to or acquisition of</w:t>
      </w:r>
    </w:p>
    <w:p>
      <w:pPr>
        <w:spacing w:after="80"/>
      </w:pPr>
      <w:r>
        <w:t>Personal Information. This IRP is likewise intended to assist Acme Company in complying with such</w:t>
      </w:r>
    </w:p>
    <w:p>
      <w:pPr>
        <w:spacing w:after="80"/>
      </w:pPr>
      <w:r>
        <w:t>state laws to the extent applicable.</w:t>
      </w:r>
    </w:p>
    <w:p>
      <w:pPr>
        <w:spacing w:after="80"/>
      </w:pPr>
      <w:r>
        <w:t>Additional materials, resources, and templates supporting this IRP are located in the</w:t>
      </w:r>
    </w:p>
    <w:p>
      <w:pPr>
        <w:spacing w:after="80"/>
      </w:pPr>
      <w:r>
        <w:t>Appendices. All resources should be customized for the specific Incident including updates</w:t>
      </w:r>
    </w:p>
    <w:p>
      <w:pPr>
        <w:spacing w:after="80"/>
      </w:pPr>
      <w:r>
        <w:t>to key contacts, checklists and any legal or other requirements. Copies of the resources are</w:t>
      </w:r>
    </w:p>
    <w:p>
      <w:pPr>
        <w:spacing w:after="80"/>
      </w:pPr>
      <w:r>
        <w:t>located on the Acme Company’s Intranet.</w:t>
      </w:r>
    </w:p>
    <w:p>
      <w:r>
        <w:rPr>
          <w:b/>
          <w:sz w:val="24"/>
        </w:rPr>
        <w:t>I.      REPORTING EVENTS AND INCIDENTS</w:t>
      </w:r>
    </w:p>
    <w:p>
      <w:pPr>
        <w:spacing w:after="80"/>
      </w:pPr>
      <w:r>
        <w:t>It is the responsibility of each Acme Company employee and business partner to report suspected</w:t>
      </w:r>
    </w:p>
    <w:p>
      <w:pPr>
        <w:spacing w:after="80"/>
      </w:pPr>
      <w:r>
        <w:t>data security events to the Company. In general, a Acme Company employee must immediately</w:t>
      </w:r>
    </w:p>
    <w:p>
      <w:pPr>
        <w:spacing w:after="80"/>
      </w:pPr>
      <w:r>
        <w:t>report any event that is an actual or suspected Event or Incident by contacting:</w:t>
      </w:r>
    </w:p>
    <w:p>
      <w:pPr>
        <w:spacing w:after="80"/>
      </w:pPr>
      <w:r>
        <w:t>The Acme Company IT Support Center/Help Desk at: [Help Desk Number].</w:t>
      </w:r>
    </w:p>
    <w:p>
      <w:pPr>
        <w:spacing w:after="80"/>
      </w:pPr>
      <w:r>
        <w:t>The IT Security Manager, or designated member of the IT Security Group, will</w:t>
      </w:r>
    </w:p>
    <w:p>
      <w:pPr>
        <w:spacing w:after="80"/>
      </w:pPr>
      <w:r>
        <w:t>immediately direct all information concerning an actual or suspected data security Event</w:t>
      </w:r>
    </w:p>
    <w:p>
      <w:pPr>
        <w:spacing w:after="80"/>
      </w:pPr>
      <w:r>
        <w:t>to the members of the Incident Response Team and the CISO. The CISO will make the</w:t>
      </w:r>
    </w:p>
    <w:p>
      <w:pPr>
        <w:spacing w:after="80"/>
      </w:pPr>
      <w:r>
        <w:t>decision to engage the ExCIRT and counsel.</w:t>
      </w:r>
    </w:p>
    <w:p>
      <w:pPr>
        <w:spacing w:after="80"/>
      </w:pPr>
      <w:r>
        <w:t>INCIDENT RESPONSE PLAN</w:t>
      </w:r>
    </w:p>
    <w:p>
      <w:r>
        <w:rPr>
          <w:b/>
          <w:sz w:val="24"/>
        </w:rPr>
        <w:t>II.    IDENTIFYING AN INCIDENT</w:t>
      </w:r>
    </w:p>
    <w:p>
      <w:pPr>
        <w:spacing w:after="80"/>
      </w:pPr>
      <w:r>
        <w:t>The Incident Response Team - will initially analyze and determine whether a reported</w:t>
      </w:r>
    </w:p>
    <w:p>
      <w:pPr>
        <w:spacing w:after="80"/>
      </w:pPr>
      <w:r>
        <w:t>Event qualifies as an Incident and warrants further response by the IRT to the CISO.</w:t>
      </w:r>
    </w:p>
    <w:p>
      <w:pPr>
        <w:spacing w:after="80"/>
      </w:pPr>
      <w:r>
        <w:t>When the IR Team and CISO determine that an Event does not qualify as an Incident, the</w:t>
      </w:r>
    </w:p>
    <w:p>
      <w:pPr>
        <w:spacing w:after="80"/>
      </w:pPr>
      <w:r>
        <w:t>IR Team will document its findings, recommendations and conclusions and send them to</w:t>
      </w:r>
    </w:p>
    <w:p>
      <w:pPr>
        <w:spacing w:after="80"/>
      </w:pPr>
      <w:r>
        <w:t>the core Incident Response Team, for their review. When the IR Team determines that</w:t>
      </w:r>
    </w:p>
    <w:p>
      <w:pPr>
        <w:spacing w:after="80"/>
      </w:pPr>
      <w:r>
        <w:t>an Event qualifies as an Incident, the Core Incident Response Team mobilizes and will:</w:t>
      </w:r>
    </w:p>
    <w:p>
      <w:pPr>
        <w:spacing w:after="80"/>
      </w:pPr>
      <w:r>
        <w:t>INCIDENT RESPONSE PLAN</w:t>
      </w:r>
    </w:p>
    <w:p>
      <w:r>
        <w:rPr>
          <w:b/>
        </w:rPr>
        <w:t>A. Assess and Classify Incident – Severity Level &amp; Incident Type</w:t>
      </w:r>
    </w:p>
    <w:p>
      <w:pPr>
        <w:spacing w:after="80"/>
      </w:pPr>
      <w:r>
        <w:t>A Severity Level &amp; Incident Type will be assigned to each Incident to determine the</w:t>
      </w:r>
    </w:p>
    <w:p>
      <w:pPr>
        <w:spacing w:after="80"/>
      </w:pPr>
      <w:r>
        <w:t>appropriate response plan.</w:t>
      </w:r>
    </w:p>
    <w:p>
      <w:r>
        <w:rPr>
          <w:b/>
        </w:rPr>
        <w:t>B. Mobilize the Incident Response Team</w:t>
      </w:r>
    </w:p>
    <w:p>
      <w:pPr>
        <w:spacing w:after="80"/>
      </w:pPr>
      <w:r>
        <w:t>The core IR Team and CISO will mobilize the Incident Response Team to respond</w:t>
      </w:r>
    </w:p>
    <w:p>
      <w:pPr>
        <w:spacing w:after="80"/>
      </w:pPr>
      <w:r>
        <w:t>to the Incident as described below in Section IV. The CISO will also determine</w:t>
      </w:r>
    </w:p>
    <w:p>
      <w:pPr>
        <w:spacing w:after="80"/>
      </w:pPr>
      <w:r>
        <w:t>whether to include additional members on the Incident Response Team, such as</w:t>
      </w:r>
    </w:p>
    <w:p>
      <w:pPr>
        <w:spacing w:after="80"/>
      </w:pPr>
      <w:r>
        <w:t>management of the Operations Unit, Customer Service Department or Corporate</w:t>
      </w:r>
    </w:p>
    <w:p>
      <w:pPr>
        <w:spacing w:after="80"/>
      </w:pPr>
      <w:r>
        <w:t>Department affected by the Incident (if customer Personal Information is involved)</w:t>
      </w:r>
    </w:p>
    <w:p>
      <w:pPr>
        <w:spacing w:after="80"/>
      </w:pPr>
      <w:r>
        <w:t>and/or Human Resources (if employee or vendor Personal Information is involved).</w:t>
      </w:r>
    </w:p>
    <w:p>
      <w:pPr>
        <w:spacing w:after="80"/>
      </w:pPr>
      <w:r>
        <w:t>INCIDENT RESPONSE PLAN</w:t>
      </w:r>
    </w:p>
    <w:p>
      <w:r>
        <w:rPr>
          <w:b/>
        </w:rPr>
        <w:t>C. Provide the Incident Response Team with an Initial Report</w:t>
      </w:r>
    </w:p>
    <w:p>
      <w:pPr>
        <w:spacing w:after="80"/>
      </w:pPr>
      <w:r>
        <w:t>The core Incident Response Team will provide the members of the Incident</w:t>
      </w:r>
    </w:p>
    <w:p>
      <w:pPr>
        <w:spacing w:after="80"/>
      </w:pPr>
      <w:r>
        <w:t>Response Team with an email or initial report summarizing the current</w:t>
      </w:r>
    </w:p>
    <w:p>
      <w:pPr>
        <w:spacing w:after="80"/>
      </w:pPr>
      <w:r>
        <w:t>understanding of the Incident, including:</w:t>
      </w:r>
    </w:p>
    <w:p>
      <w:pPr>
        <w:pStyle w:val="ListBullet"/>
      </w:pPr>
      <w:r>
        <w:t xml:space="preserve"> A description of the nature and circumstances of the Incident;</w:t>
      </w:r>
    </w:p>
    <w:p>
      <w:pPr>
        <w:pStyle w:val="ListBullet"/>
      </w:pPr>
      <w:r>
        <w:t xml:space="preserve"> A description of the type(s) of Acme Company information involved in the Incident; and</w:t>
      </w:r>
    </w:p>
    <w:p>
      <w:pPr>
        <w:pStyle w:val="ListBullet"/>
      </w:pPr>
      <w:r>
        <w:t xml:space="preserve"> A description of the type(s) of individuals to whom any Personal Information may</w:t>
      </w:r>
    </w:p>
    <w:p>
      <w:pPr>
        <w:spacing w:after="80"/>
      </w:pPr>
      <w:r>
        <w:t>relate.</w:t>
      </w:r>
    </w:p>
    <w:p>
      <w:r>
        <w:rPr>
          <w:b/>
          <w:sz w:val="24"/>
        </w:rPr>
        <w:t>III.   INCIDENT RESPONSE TEAM</w:t>
      </w:r>
    </w:p>
    <w:p>
      <w:pPr>
        <w:spacing w:after="80"/>
      </w:pPr>
      <w:r>
        <w:t>The Incident Response Team is responsible for investigating, remediating and responding</w:t>
      </w:r>
    </w:p>
    <w:p>
      <w:pPr>
        <w:spacing w:after="80"/>
      </w:pPr>
      <w:r>
        <w:t>to each Incident reported to it by the Core Incident Response Team. In general, the</w:t>
      </w:r>
    </w:p>
    <w:p>
      <w:pPr>
        <w:spacing w:after="80"/>
      </w:pPr>
      <w:r>
        <w:t>Incident Response Team will include the business areas listed below and will endeavor to</w:t>
      </w:r>
    </w:p>
    <w:p>
      <w:pPr>
        <w:spacing w:after="80"/>
      </w:pPr>
      <w:r>
        <w:t>fulfill the duties outlined below. Nonetheless, the Core Incident Response Team may add</w:t>
      </w:r>
    </w:p>
    <w:p>
      <w:pPr>
        <w:spacing w:after="80"/>
      </w:pPr>
      <w:r>
        <w:t>additional members to appropriately respond to a specific Incident.</w:t>
      </w:r>
    </w:p>
    <w:p>
      <w:r>
        <w:rPr>
          <w:b/>
        </w:rPr>
        <w:t>A. Assembling the Incident Response Team</w:t>
      </w:r>
    </w:p>
    <w:p>
      <w:pPr>
        <w:spacing w:after="80"/>
      </w:pPr>
      <w:r>
        <w:t>An Incident Response Team contact group list is located in Appendix C-2. Subject to</w:t>
      </w:r>
    </w:p>
    <w:p>
      <w:pPr>
        <w:spacing w:after="80"/>
      </w:pPr>
      <w:r>
        <w:t>the circumstances of the specific Incident, it is recommended that the contact group</w:t>
      </w:r>
    </w:p>
    <w:p>
      <w:pPr>
        <w:spacing w:after="80"/>
      </w:pPr>
      <w:r>
        <w:t>email distribution list be used when assembling the Incident Response Team and can</w:t>
      </w:r>
    </w:p>
    <w:p>
      <w:pPr>
        <w:spacing w:after="80"/>
      </w:pPr>
      <w:r>
        <w:t>be modified as necessary. In concert with the initial efforts of the Core IRT, an</w:t>
      </w:r>
    </w:p>
    <w:p>
      <w:pPr>
        <w:spacing w:after="80"/>
      </w:pPr>
      <w:r>
        <w:t>incident manager may be designated to serve as a primary administrative point of</w:t>
      </w:r>
    </w:p>
    <w:p>
      <w:pPr>
        <w:spacing w:after="80"/>
      </w:pPr>
      <w:r>
        <w:t>contact for the Incident Response Team, including assisting with the scheduling and</w:t>
      </w:r>
    </w:p>
    <w:p>
      <w:pPr>
        <w:spacing w:after="80"/>
      </w:pPr>
      <w:r>
        <w:t>coordination of meetings and update reports and briefings. Any calendar invite for</w:t>
      </w:r>
    </w:p>
    <w:p>
      <w:pPr>
        <w:spacing w:after="80"/>
      </w:pPr>
      <w:r>
        <w:t>Incident Response Team meetings, particularly those including external resources,</w:t>
      </w:r>
    </w:p>
    <w:p>
      <w:pPr>
        <w:spacing w:after="80"/>
      </w:pPr>
      <w:r>
        <w:t>should be marked “War Room” location.</w:t>
      </w:r>
    </w:p>
    <w:p>
      <w:pPr>
        <w:spacing w:after="80"/>
      </w:pPr>
      <w:r>
        <w:t>Appendix C-1 contains an email template that can be used in the body of the calendar</w:t>
      </w:r>
    </w:p>
    <w:p>
      <w:pPr>
        <w:spacing w:after="80"/>
      </w:pPr>
      <w:r>
        <w:t>invite when the Incident Response Team must be immediately convened. The</w:t>
      </w:r>
    </w:p>
    <w:p>
      <w:pPr>
        <w:spacing w:after="80"/>
      </w:pPr>
      <w:r>
        <w:t>highlighted sections should be tailored according to the specific Incident at hand.</w:t>
      </w:r>
    </w:p>
    <w:p>
      <w:r>
        <w:rPr>
          <w:b/>
        </w:rPr>
        <w:t>B. Incident Response Team Members</w:t>
      </w:r>
    </w:p>
    <w:p>
      <w:pPr>
        <w:spacing w:after="80"/>
      </w:pPr>
      <w:r>
        <w:t>IT Security Operations</w:t>
      </w:r>
    </w:p>
    <w:p>
      <w:pPr>
        <w:spacing w:after="80"/>
      </w:pPr>
      <w:r>
        <w:t>Global Security</w:t>
      </w:r>
    </w:p>
    <w:p>
      <w:pPr>
        <w:spacing w:after="80"/>
      </w:pPr>
      <w:r>
        <w:t>Legal Department</w:t>
      </w:r>
    </w:p>
    <w:p>
      <w:pPr>
        <w:spacing w:after="80"/>
      </w:pPr>
      <w:r>
        <w:t>Corporate Communications Department</w:t>
      </w:r>
    </w:p>
    <w:p>
      <w:pPr>
        <w:spacing w:after="80"/>
      </w:pPr>
      <w:r>
        <w:t>Regulatory Compliance</w:t>
      </w:r>
    </w:p>
    <w:p>
      <w:pPr>
        <w:spacing w:after="80"/>
      </w:pPr>
      <w:r>
        <w:t>Corporate Finance</w:t>
      </w:r>
    </w:p>
    <w:p>
      <w:pPr>
        <w:spacing w:after="80"/>
      </w:pPr>
      <w:r>
        <w:t>Human Resources</w:t>
      </w:r>
    </w:p>
    <w:p>
      <w:pPr>
        <w:spacing w:after="80"/>
      </w:pPr>
      <w:r>
        <w:t>Other Relevant Corporate Departments, as applicable</w:t>
      </w:r>
    </w:p>
    <w:p>
      <w:pPr>
        <w:spacing w:after="80"/>
      </w:pPr>
      <w:r>
        <w:t>INCIDENT RESPONSE PLAN</w:t>
      </w:r>
    </w:p>
    <w:p>
      <w:r>
        <w:rPr>
          <w:b/>
        </w:rPr>
        <w:t>C. Incident Response Team Roles and Responsibilities</w:t>
      </w:r>
    </w:p>
    <w:p>
      <w:pPr>
        <w:spacing w:after="80"/>
      </w:pPr>
      <w:r>
        <w:t>Subject to modification as a result of unique needs of the Incident, responsibilities</w:t>
      </w:r>
    </w:p>
    <w:p>
      <w:pPr>
        <w:spacing w:after="80"/>
      </w:pPr>
      <w:r>
        <w:t>will be generally allocated as follows:</w:t>
      </w:r>
    </w:p>
    <w:p>
      <w:pPr>
        <w:spacing w:after="80"/>
      </w:pPr>
      <w:r>
        <w:t>CISO and Supporting IRT (See IRT Process)</w:t>
      </w:r>
    </w:p>
    <w:p>
      <w:pPr>
        <w:spacing w:after="80"/>
      </w:pPr>
      <w:r>
        <w:t>Global Security</w:t>
      </w:r>
    </w:p>
    <w:p>
      <w:pPr>
        <w:spacing w:after="80"/>
      </w:pPr>
      <w:r>
        <w:t>◦       Coordinates activities with the IT Security Operations; and</w:t>
      </w:r>
    </w:p>
    <w:p>
      <w:pPr>
        <w:spacing w:after="80"/>
      </w:pPr>
      <w:r>
        <w:t>◦       Coordinates activities with respect to those aspects and elements of physical</w:t>
      </w:r>
    </w:p>
    <w:p>
      <w:pPr>
        <w:spacing w:after="80"/>
      </w:pPr>
      <w:r>
        <w:t>security and surveillance.</w:t>
      </w:r>
    </w:p>
    <w:p>
      <w:pPr>
        <w:spacing w:after="80"/>
      </w:pPr>
      <w:r>
        <w:t>Legal Department</w:t>
      </w:r>
    </w:p>
    <w:p>
      <w:pPr>
        <w:pStyle w:val="ListBullet"/>
      </w:pPr>
      <w:r>
        <w:t xml:space="preserve">      Engages forensics if IT Security Operations have determined it is required or</w:t>
      </w:r>
    </w:p>
    <w:p>
      <w:pPr>
        <w:spacing w:after="80"/>
      </w:pPr>
      <w:r>
        <w:t>prudent (in order to retain privilege);</w:t>
      </w:r>
    </w:p>
    <w:p>
      <w:pPr>
        <w:pStyle w:val="ListBullet"/>
      </w:pPr>
      <w:r>
        <w:t xml:space="preserve">  Provides guidance throughout the investigation on issues relating to privacy of</w:t>
      </w:r>
    </w:p>
    <w:p>
      <w:pPr>
        <w:spacing w:after="80"/>
      </w:pPr>
      <w:r>
        <w:t>Personal Information;</w:t>
      </w:r>
    </w:p>
    <w:p>
      <w:pPr>
        <w:pStyle w:val="ListBullet"/>
      </w:pPr>
      <w:r>
        <w:t xml:space="preserve">  Coordinates with Corporate Communications on the timing and content of</w:t>
      </w:r>
    </w:p>
    <w:p>
      <w:pPr>
        <w:spacing w:after="80"/>
      </w:pPr>
      <w:r>
        <w:t>notification to individuals and media;</w:t>
      </w:r>
    </w:p>
    <w:p>
      <w:pPr>
        <w:pStyle w:val="ListBullet"/>
      </w:pPr>
      <w:r>
        <w:t xml:space="preserve">  Creates drafts of communications to customers/employees, regulators, credit</w:t>
      </w:r>
    </w:p>
    <w:p>
      <w:pPr>
        <w:spacing w:after="80"/>
      </w:pPr>
      <w:r>
        <w:t>reporting agencies and other third parties if the Incident will be communicated</w:t>
      </w:r>
    </w:p>
    <w:p>
      <w:pPr>
        <w:spacing w:after="80"/>
      </w:pPr>
      <w:r>
        <w:t>(See Appendix J for template notice forms);</w:t>
      </w:r>
    </w:p>
    <w:p>
      <w:pPr>
        <w:pStyle w:val="ListBullet"/>
      </w:pPr>
      <w:r>
        <w:t xml:space="preserve">  Determines what state, federal and/or international laws may apply to, or be</w:t>
      </w:r>
    </w:p>
    <w:p>
      <w:pPr>
        <w:spacing w:after="80"/>
      </w:pPr>
      <w:r>
        <w:t>raised by, the Incident; and</w:t>
      </w:r>
    </w:p>
    <w:p>
      <w:pPr>
        <w:pStyle w:val="ListBullet"/>
      </w:pPr>
      <w:r>
        <w:t xml:space="preserve">  Works with IT Security Operations in preparing a written summary of the</w:t>
      </w:r>
    </w:p>
    <w:p>
      <w:pPr>
        <w:spacing w:after="80"/>
      </w:pPr>
      <w:r>
        <w:t>Incident and corrective action taken.</w:t>
      </w:r>
    </w:p>
    <w:p>
      <w:pPr>
        <w:spacing w:after="80"/>
      </w:pPr>
      <w:r>
        <w:t>Compliance Department</w:t>
      </w:r>
    </w:p>
    <w:p>
      <w:pPr>
        <w:spacing w:after="80"/>
      </w:pPr>
      <w:r>
        <w:t>◦       Provides guidance throughout the investigation on issues relating to gaming</w:t>
      </w:r>
    </w:p>
    <w:p>
      <w:pPr>
        <w:spacing w:after="80"/>
      </w:pPr>
      <w:r>
        <w:t>and regulatory matters; and</w:t>
      </w:r>
    </w:p>
    <w:p>
      <w:pPr>
        <w:spacing w:after="80"/>
      </w:pPr>
      <w:r>
        <w:t>◦       Coordinates with Legal Department on the timing, content and method of</w:t>
      </w:r>
    </w:p>
    <w:p>
      <w:pPr>
        <w:spacing w:after="80"/>
      </w:pPr>
      <w:r>
        <w:t>communications with and any formal notifications to gaming and other</w:t>
      </w:r>
    </w:p>
    <w:p>
      <w:pPr>
        <w:spacing w:after="80"/>
      </w:pPr>
      <w:r>
        <w:t>regulatory agencies.</w:t>
      </w:r>
    </w:p>
    <w:p>
      <w:pPr>
        <w:spacing w:after="80"/>
      </w:pPr>
      <w:r>
        <w:t>Corporate Communications Department</w:t>
      </w:r>
    </w:p>
    <w:p>
      <w:pPr>
        <w:spacing w:after="80"/>
      </w:pPr>
      <w:r>
        <w:t>(Corporate Communications should be included if there is a risk that the Incident will</w:t>
      </w:r>
    </w:p>
    <w:p>
      <w:pPr>
        <w:spacing w:after="80"/>
      </w:pPr>
      <w:r>
        <w:t>become public, or if the Incident is sensitive thereby requiring public relations and</w:t>
      </w:r>
    </w:p>
    <w:p>
      <w:pPr>
        <w:spacing w:after="80"/>
      </w:pPr>
      <w:r>
        <w:t>communication assistance in managing communications.)</w:t>
      </w:r>
    </w:p>
    <w:p>
      <w:pPr>
        <w:spacing w:after="80"/>
      </w:pPr>
      <w:r>
        <w:t>◦     Assists in disseminating the service recovery strategy in conjunction with</w:t>
      </w:r>
    </w:p>
    <w:p>
      <w:pPr>
        <w:spacing w:after="80"/>
      </w:pPr>
      <w:r>
        <w:t>Emergency Management, Legal and other key business areas.</w:t>
      </w:r>
    </w:p>
    <w:p>
      <w:pPr>
        <w:spacing w:after="80"/>
      </w:pPr>
      <w:r>
        <w:t>◦     Coordinates with Emergency Management and Legal on the timing, content</w:t>
      </w:r>
    </w:p>
    <w:p>
      <w:pPr>
        <w:spacing w:after="80"/>
      </w:pPr>
      <w:r>
        <w:t>and method of notification;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◦      Prepares press release or statement and has the Legal Department approve</w:t>
      </w:r>
    </w:p>
    <w:p>
      <w:pPr>
        <w:spacing w:after="80"/>
      </w:pPr>
      <w:r>
        <w:t>prior to distribution;</w:t>
      </w:r>
    </w:p>
    <w:p>
      <w:pPr>
        <w:spacing w:after="80"/>
      </w:pPr>
      <w:r>
        <w:t>◦      Prepares appropriate response to media, customers, and/or employees; and</w:t>
      </w:r>
    </w:p>
    <w:p>
      <w:pPr>
        <w:spacing w:after="80"/>
      </w:pPr>
      <w:r>
        <w:t>has the Legal Department approve prior to distribution;</w:t>
      </w:r>
    </w:p>
    <w:p>
      <w:pPr>
        <w:spacing w:after="80"/>
      </w:pPr>
      <w:r>
        <w:t>◦      Assists in the delivery of clear and concise information to employees who</w:t>
      </w:r>
    </w:p>
    <w:p>
      <w:pPr>
        <w:spacing w:after="80"/>
      </w:pPr>
      <w:r>
        <w:t>interact with customers, communicating externally to customers and others</w:t>
      </w:r>
    </w:p>
    <w:p>
      <w:pPr>
        <w:spacing w:after="80"/>
      </w:pPr>
      <w:r>
        <w:t>as needed;</w:t>
      </w:r>
    </w:p>
    <w:p>
      <w:pPr>
        <w:spacing w:after="80"/>
      </w:pPr>
      <w:r>
        <w:t>◦      Works with Legal to proactively respond to media inquiries, if necessary;</w:t>
      </w:r>
    </w:p>
    <w:p>
      <w:pPr>
        <w:spacing w:after="80"/>
      </w:pPr>
      <w:r>
        <w:t>and</w:t>
      </w:r>
    </w:p>
    <w:p>
      <w:pPr>
        <w:spacing w:after="80"/>
      </w:pPr>
      <w:r>
        <w:t>◦      Monitors media coverage and advises the IRT accordingly.</w:t>
      </w:r>
    </w:p>
    <w:p>
      <w:pPr>
        <w:spacing w:after="80"/>
      </w:pPr>
      <w:r>
        <w:t>For information regarding communication procedures, reference may also be made to</w:t>
      </w:r>
    </w:p>
    <w:p>
      <w:pPr>
        <w:spacing w:after="80"/>
      </w:pPr>
      <w:r>
        <w:t>the Crisis Communication Plan.</w:t>
      </w:r>
    </w:p>
    <w:p>
      <w:pPr>
        <w:spacing w:after="80"/>
      </w:pPr>
      <w:r>
        <w:t>Corporate Finance</w:t>
      </w:r>
    </w:p>
    <w:p>
      <w:pPr>
        <w:spacing w:after="80"/>
      </w:pPr>
      <w:r>
        <w:t>◦        Prepares, with input and review from Legal and Corporate Communications,</w:t>
      </w:r>
    </w:p>
    <w:p>
      <w:pPr>
        <w:spacing w:after="80"/>
      </w:pPr>
      <w:r>
        <w:t>appropriate response for investor relations purposes, including potential</w:t>
      </w:r>
    </w:p>
    <w:p>
      <w:pPr>
        <w:spacing w:after="80"/>
      </w:pPr>
      <w:r>
        <w:t>communications with lenders and stockholder interests; and</w:t>
      </w:r>
    </w:p>
    <w:p>
      <w:pPr>
        <w:spacing w:after="80"/>
      </w:pPr>
      <w:r>
        <w:t>◦        Coordinates on issues relating to financial accounting disclosures and like</w:t>
      </w:r>
    </w:p>
    <w:p>
      <w:pPr>
        <w:spacing w:after="80"/>
      </w:pPr>
      <w:r>
        <w:t>considerations.</w:t>
      </w:r>
    </w:p>
    <w:p>
      <w:pPr>
        <w:spacing w:after="80"/>
      </w:pPr>
      <w:r>
        <w:t>Human Resources Department and/or Corporate Procurement Department</w:t>
      </w:r>
    </w:p>
    <w:p>
      <w:pPr>
        <w:spacing w:after="80"/>
      </w:pPr>
      <w:r>
        <w:t>◦        If Incident involves employee or vendor Personal Information or was caused</w:t>
      </w:r>
    </w:p>
    <w:p>
      <w:pPr>
        <w:spacing w:after="80"/>
      </w:pPr>
      <w:r>
        <w:t>by an employee or vendor, work with the IT Security Group, Legal and</w:t>
      </w:r>
    </w:p>
    <w:p>
      <w:pPr>
        <w:spacing w:after="80"/>
      </w:pPr>
      <w:r>
        <w:t>Emergency Management to identify the extent of the Incident;</w:t>
      </w:r>
    </w:p>
    <w:p>
      <w:pPr>
        <w:spacing w:after="80"/>
      </w:pPr>
      <w:r>
        <w:t>◦        Work with Legal and Emergency Management to determine if the Incident</w:t>
      </w:r>
    </w:p>
    <w:p>
      <w:pPr>
        <w:spacing w:after="80"/>
      </w:pPr>
      <w:r>
        <w:t>warrants further action; and</w:t>
      </w:r>
    </w:p>
    <w:p>
      <w:pPr>
        <w:spacing w:after="80"/>
      </w:pPr>
      <w:r>
        <w:t>◦        Obtain affected employees’ residential address and contact information.</w:t>
      </w:r>
    </w:p>
    <w:p>
      <w:pPr>
        <w:spacing w:after="80"/>
      </w:pPr>
      <w:r>
        <w:t>Relevant Operations Unit or Customer Service Department</w:t>
      </w:r>
    </w:p>
    <w:p>
      <w:pPr>
        <w:pStyle w:val="ListBullet"/>
      </w:pPr>
      <w:r>
        <w:t xml:space="preserve">      If Incident involves customer Personal Information, determine the customers to</w:t>
      </w:r>
    </w:p>
    <w:p>
      <w:pPr>
        <w:spacing w:after="80"/>
      </w:pPr>
      <w:r>
        <w:t>whom the involved Personal Information relates and determine which customers</w:t>
      </w:r>
    </w:p>
    <w:p>
      <w:pPr>
        <w:spacing w:after="80"/>
      </w:pPr>
      <w:r>
        <w:t>potentially have relationship managers; and</w:t>
      </w:r>
    </w:p>
    <w:p>
      <w:pPr>
        <w:pStyle w:val="ListBullet"/>
      </w:pPr>
      <w:r>
        <w:t xml:space="preserve">      Obtain affected customers’ residential address and contact information.</w:t>
      </w:r>
    </w:p>
    <w:p>
      <w:r>
        <w:rPr>
          <w:b/>
          <w:sz w:val="24"/>
        </w:rPr>
        <w:t>IV. INCIDENT RESPONSE PROCEDURES</w:t>
      </w:r>
    </w:p>
    <w:p>
      <w:r>
        <w:rPr>
          <w:b/>
        </w:rPr>
        <w:t>A. Investigation</w:t>
      </w:r>
    </w:p>
    <w:p>
      <w:pPr>
        <w:spacing w:after="80"/>
      </w:pPr>
      <w:r>
        <w:t>For any reported event that the Escalation Review Team determines to qualify as an</w:t>
      </w:r>
    </w:p>
    <w:p>
      <w:pPr>
        <w:spacing w:after="80"/>
      </w:pPr>
      <w:r>
        <w:t>Incident under the Plan and warrants further response by the Incident Response</w:t>
      </w:r>
    </w:p>
    <w:p>
      <w:pPr>
        <w:spacing w:after="80"/>
      </w:pPr>
      <w:r>
        <w:t>Team, the Incident Response Team must immediately begin to develop an</w:t>
      </w:r>
    </w:p>
    <w:p>
      <w:pPr>
        <w:spacing w:after="80"/>
      </w:pPr>
      <w:r>
        <w:t>understanding of the Incident. At the Core IRT’s direction, the IT Security Manager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(or designee) shall coordinate and conduct an Incident investigation, including</w:t>
      </w:r>
    </w:p>
    <w:p>
      <w:pPr>
        <w:spacing w:after="80"/>
      </w:pPr>
      <w:r>
        <w:t>Event/Incident containment investigative steps, within 24 hours to attempt to</w:t>
      </w:r>
    </w:p>
    <w:p>
      <w:pPr>
        <w:spacing w:after="80"/>
      </w:pPr>
      <w:r>
        <w:t>determine the following details of the Incident and report back to the IRT:</w:t>
      </w:r>
    </w:p>
    <w:p>
      <w:pPr>
        <w:pStyle w:val="ListNumber"/>
      </w:pPr>
      <w:r>
        <w:t>1. Type of information at risk, e.g., categories of Personal Information, including</w:t>
      </w:r>
    </w:p>
    <w:p>
      <w:pPr>
        <w:spacing w:after="80"/>
      </w:pPr>
      <w:r>
        <w:t>Cardholder Data, or other Acme Company Business Information.</w:t>
      </w:r>
    </w:p>
    <w:p>
      <w:pPr>
        <w:pStyle w:val="ListNumber"/>
      </w:pPr>
      <w:r>
        <w:t>2. Categories of individuals to whom involved information may relate, e.g.,</w:t>
      </w:r>
    </w:p>
    <w:p>
      <w:pPr>
        <w:spacing w:after="80"/>
      </w:pPr>
      <w:r>
        <w:t>customers, employees, or vendors.</w:t>
      </w:r>
    </w:p>
    <w:p>
      <w:pPr>
        <w:pStyle w:val="ListNumber"/>
      </w:pPr>
      <w:r>
        <w:t>3. Number of individuals impacted.</w:t>
      </w:r>
    </w:p>
    <w:p>
      <w:pPr>
        <w:pStyle w:val="ListNumber"/>
      </w:pPr>
      <w:r>
        <w:t>4. Where such individuals reside.</w:t>
      </w:r>
    </w:p>
    <w:p>
      <w:pPr>
        <w:pStyle w:val="ListNumber"/>
      </w:pPr>
      <w:r>
        <w:t>5. Incident timeframe:</w:t>
      </w:r>
    </w:p>
    <w:p>
      <w:pPr>
        <w:spacing w:after="80"/>
      </w:pPr>
      <w:r>
        <w:t>a.      When did the Incident start?</w:t>
      </w:r>
    </w:p>
    <w:p>
      <w:pPr>
        <w:spacing w:after="80"/>
      </w:pPr>
      <w:r>
        <w:t>b.      Is the Incident continuing? If so, what is being done to address and</w:t>
      </w:r>
    </w:p>
    <w:p>
      <w:pPr>
        <w:spacing w:after="80"/>
      </w:pPr>
      <w:r>
        <w:t>contain the Incident?</w:t>
      </w:r>
    </w:p>
    <w:p>
      <w:pPr>
        <w:pStyle w:val="ListNumber"/>
      </w:pPr>
      <w:r>
        <w:t>6. Suspected cause of Incident.</w:t>
      </w:r>
    </w:p>
    <w:p>
      <w:pPr>
        <w:pStyle w:val="ListNumber"/>
      </w:pPr>
      <w:r>
        <w:t>7. How the Incident was discovered.</w:t>
      </w:r>
    </w:p>
    <w:p>
      <w:pPr>
        <w:pStyle w:val="ListNumber"/>
      </w:pPr>
      <w:r>
        <w:t>8. How the information was protected, e.g., encrypted, redacted, password-</w:t>
      </w:r>
    </w:p>
    <w:p>
      <w:pPr>
        <w:spacing w:after="80"/>
      </w:pPr>
      <w:r>
        <w:t>protected.</w:t>
      </w:r>
    </w:p>
    <w:p>
      <w:pPr>
        <w:pStyle w:val="ListNumber"/>
      </w:pPr>
      <w:r>
        <w:t>9. Systems or devices involved, e.g., laptop, SharePoint site, server.</w:t>
      </w:r>
    </w:p>
    <w:p>
      <w:pPr>
        <w:pStyle w:val="ListNumber"/>
      </w:pPr>
      <w:r>
        <w:t>10. Legal entities involved.</w:t>
      </w:r>
    </w:p>
    <w:p>
      <w:pPr>
        <w:pStyle w:val="ListNumber"/>
      </w:pPr>
      <w:r>
        <w:t>11. Who knows about the Incident and whether it is publicly known.</w:t>
      </w:r>
    </w:p>
    <w:p>
      <w:pPr>
        <w:pStyle w:val="ListNumber"/>
      </w:pPr>
      <w:r>
        <w:t>12. Whether law enforcement has been notified or involved.</w:t>
      </w:r>
    </w:p>
    <w:p>
      <w:pPr>
        <w:pStyle w:val="ListNumber"/>
      </w:pPr>
      <w:r>
        <w:t>13. Likely consequences of the Incident.</w:t>
      </w:r>
    </w:p>
    <w:p>
      <w:pPr>
        <w:pStyle w:val="ListNumber"/>
      </w:pPr>
      <w:r>
        <w:t>14. Any further facts needed to respond.</w:t>
      </w:r>
    </w:p>
    <w:p>
      <w:r>
        <w:rPr>
          <w:b/>
        </w:rPr>
        <w:t>B. Inform Appropriate Internal Stakeholders</w:t>
      </w:r>
    </w:p>
    <w:p>
      <w:pPr>
        <w:spacing w:after="80"/>
      </w:pPr>
      <w:r>
        <w:t>The Incident Response Team should determine who else internally needs to be</w:t>
      </w:r>
    </w:p>
    <w:p>
      <w:pPr>
        <w:spacing w:after="80"/>
      </w:pPr>
      <w:r>
        <w:t>informed of the Incident including the following:</w:t>
      </w:r>
    </w:p>
    <w:p>
      <w:pPr>
        <w:pStyle w:val="ListBullet"/>
      </w:pPr>
      <w:r>
        <w:t xml:space="preserve">  The participating business area representative should evaluate whether other</w:t>
      </w:r>
    </w:p>
    <w:p>
      <w:pPr>
        <w:spacing w:after="80"/>
      </w:pPr>
      <w:r>
        <w:t>members of their organization need to be involved and which members of senior</w:t>
      </w:r>
    </w:p>
    <w:p>
      <w:pPr>
        <w:spacing w:after="80"/>
      </w:pPr>
      <w:r>
        <w:t>management need to be informed.</w:t>
      </w:r>
    </w:p>
    <w:p>
      <w:pPr>
        <w:pStyle w:val="ListBullet"/>
      </w:pPr>
      <w:r>
        <w:t xml:space="preserve">  Insurance – if there may be a potential claim or liability.</w:t>
      </w:r>
    </w:p>
    <w:p>
      <w:pPr>
        <w:pStyle w:val="ListBullet"/>
      </w:pPr>
      <w:r>
        <w:t xml:space="preserve">  Procurement – if the service provider/vendor is the cause of the Incident or may</w:t>
      </w:r>
    </w:p>
    <w:p>
      <w:pPr>
        <w:spacing w:after="80"/>
      </w:pPr>
      <w:r>
        <w:t>potentially be impacted.</w:t>
      </w:r>
    </w:p>
    <w:p>
      <w:pPr>
        <w:pStyle w:val="ListBullet"/>
      </w:pPr>
      <w:r>
        <w:t xml:space="preserve">  Regulatory Legal – Consult with regulatory lawyers if the Incident could be</w:t>
      </w:r>
    </w:p>
    <w:p>
      <w:pPr>
        <w:spacing w:after="80"/>
      </w:pPr>
      <w:r>
        <w:t>material such that disclosure in public filings is necessary or that warrant any</w:t>
      </w:r>
    </w:p>
    <w:p>
      <w:pPr>
        <w:spacing w:after="80"/>
      </w:pPr>
      <w:r>
        <w:t>other gaming or regulatory filing.</w:t>
      </w:r>
    </w:p>
    <w:p>
      <w:pPr>
        <w:pStyle w:val="ListBullet"/>
      </w:pPr>
      <w:r>
        <w:t xml:space="preserve">  Others – as applicable.</w:t>
      </w:r>
    </w:p>
    <w:p>
      <w:r>
        <w:rPr>
          <w:b/>
        </w:rPr>
        <w:t>C. Develop a Response Action Plan</w:t>
      </w:r>
    </w:p>
    <w:p>
      <w:pPr>
        <w:spacing w:after="80"/>
      </w:pPr>
      <w:r>
        <w:t>Based on the information available, the Incident Response Team will work with</w:t>
      </w:r>
    </w:p>
    <w:p>
      <w:pPr>
        <w:spacing w:after="80"/>
      </w:pPr>
      <w:r>
        <w:t>the appropriate stakeholders to develop a response action plan. The following</w:t>
      </w:r>
    </w:p>
    <w:p>
      <w:pPr>
        <w:spacing w:after="80"/>
      </w:pPr>
      <w:r>
        <w:t>points should be considered during this process: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Containment: Determine the status of the investigation and if the cause of the</w:t>
      </w:r>
    </w:p>
    <w:p>
      <w:pPr>
        <w:spacing w:after="80"/>
      </w:pPr>
      <w:r>
        <w:t>Incident has been remedied. Is there anything further that needs to be done</w:t>
      </w:r>
    </w:p>
    <w:p>
      <w:pPr>
        <w:spacing w:after="80"/>
      </w:pPr>
      <w:r>
        <w:t>immediately to stop the exposure of the information? Is it possible that other</w:t>
      </w:r>
    </w:p>
    <w:p>
      <w:pPr>
        <w:spacing w:after="80"/>
      </w:pPr>
      <w:r>
        <w:t>information was accessed based on where the compromised information was</w:t>
      </w:r>
    </w:p>
    <w:p>
      <w:pPr>
        <w:spacing w:after="80"/>
      </w:pPr>
      <w:r>
        <w:t>located?</w:t>
      </w:r>
    </w:p>
    <w:p>
      <w:pPr>
        <w:spacing w:after="80"/>
      </w:pPr>
      <w:r>
        <w:t>Data: Ensure a complete list and/or re-creation of the relevant information has</w:t>
      </w:r>
    </w:p>
    <w:p>
      <w:pPr>
        <w:spacing w:after="80"/>
      </w:pPr>
      <w:r>
        <w:t>been prepared (as detailed in section V(1) above). Determine (i) the final number</w:t>
      </w:r>
    </w:p>
    <w:p>
      <w:pPr>
        <w:spacing w:after="80"/>
      </w:pPr>
      <w:r>
        <w:t>of individuals to whom the involved information relates, (ii) the place of</w:t>
      </w:r>
    </w:p>
    <w:p>
      <w:pPr>
        <w:spacing w:after="80"/>
      </w:pPr>
      <w:r>
        <w:t>residence of each individual; and (iii) if Cardholder Data is involved, the type of</w:t>
      </w:r>
    </w:p>
    <w:p>
      <w:pPr>
        <w:spacing w:after="80"/>
      </w:pPr>
      <w:r>
        <w:t>payment cards at issue and ensure data is available for the response efforts. The</w:t>
      </w:r>
    </w:p>
    <w:p>
      <w:pPr>
        <w:spacing w:after="80"/>
      </w:pPr>
      <w:r>
        <w:t>accuracy of this data must be verified by the affected business area.</w:t>
      </w:r>
    </w:p>
    <w:p>
      <w:pPr>
        <w:spacing w:after="80"/>
      </w:pPr>
      <w:r>
        <w:t>External Counsel: Engage outside legal counsel if necessary or appropriate.</w:t>
      </w:r>
    </w:p>
    <w:p>
      <w:pPr>
        <w:spacing w:after="80"/>
      </w:pPr>
      <w:r>
        <w:t>Contact information for preferred external providers is included in Appendix B-1.</w:t>
      </w:r>
    </w:p>
    <w:p>
      <w:pPr>
        <w:spacing w:after="80"/>
      </w:pPr>
      <w:r>
        <w:t>Final decision to be made by the General Counsel (or his/her designee).</w:t>
      </w:r>
    </w:p>
    <w:p>
      <w:pPr>
        <w:spacing w:after="80"/>
      </w:pPr>
      <w:r>
        <w:t>Chronology: At the direction of Legal, keep an accurate attorney/client</w:t>
      </w:r>
    </w:p>
    <w:p>
      <w:pPr>
        <w:spacing w:after="80"/>
      </w:pPr>
      <w:r>
        <w:t>privileged chronology relating to all steps taken to respond to the Incident.</w:t>
      </w:r>
    </w:p>
    <w:p>
      <w:pPr>
        <w:spacing w:after="80"/>
      </w:pPr>
      <w:r>
        <w:t>Third-Party Investigation: Decide whether a third-party investigation of the</w:t>
      </w:r>
    </w:p>
    <w:p>
      <w:pPr>
        <w:spacing w:after="80"/>
      </w:pPr>
      <w:r>
        <w:t>Incident is necessary or appropriate and engage third-party investigators as</w:t>
      </w:r>
    </w:p>
    <w:p>
      <w:pPr>
        <w:spacing w:after="80"/>
      </w:pPr>
      <w:r>
        <w:t>appropriate. Consider engaging a forensics firm to understand how the Incident</w:t>
      </w:r>
    </w:p>
    <w:p>
      <w:pPr>
        <w:spacing w:after="80"/>
      </w:pPr>
      <w:r>
        <w:t>occurred if the Incident was electronic and complex. If the Incident was non-</w:t>
      </w:r>
    </w:p>
    <w:p>
      <w:pPr>
        <w:spacing w:after="80"/>
      </w:pPr>
      <w:r>
        <w:t>electronic, have a physical security team conduct the investigation. Contact</w:t>
      </w:r>
    </w:p>
    <w:p>
      <w:pPr>
        <w:spacing w:after="80"/>
      </w:pPr>
      <w:r>
        <w:t>information for preferred external providers is included in Appendix C-3. Final</w:t>
      </w:r>
    </w:p>
    <w:p>
      <w:pPr>
        <w:spacing w:after="80"/>
      </w:pPr>
      <w:r>
        <w:t>decision to be made by the ExCIRT or the General Counsel and CISO.</w:t>
      </w:r>
    </w:p>
    <w:p>
      <w:pPr>
        <w:spacing w:after="80"/>
      </w:pPr>
      <w:r>
        <w:t>Law Enforcement: Decide whether law enforcement should be informed about</w:t>
      </w:r>
    </w:p>
    <w:p>
      <w:pPr>
        <w:spacing w:after="80"/>
      </w:pPr>
      <w:r>
        <w:t>the Incident and, if so, which law enforcement agencies should be notified (e.g.,</w:t>
      </w:r>
    </w:p>
    <w:p>
      <w:pPr>
        <w:spacing w:after="80"/>
      </w:pPr>
      <w:r>
        <w:t>local police force, FBI or Secret Service). Final decision to be made by the</w:t>
      </w:r>
    </w:p>
    <w:p>
      <w:pPr>
        <w:spacing w:after="80"/>
      </w:pPr>
      <w:r>
        <w:t>General Counsel (or his/her designee).</w:t>
      </w:r>
    </w:p>
    <w:p>
      <w:pPr>
        <w:spacing w:after="80"/>
      </w:pPr>
      <w:r>
        <w:t>Notification Obligation: Determine whether there is a legal obligation to</w:t>
      </w:r>
    </w:p>
    <w:p>
      <w:pPr>
        <w:spacing w:after="80"/>
      </w:pPr>
      <w:r>
        <w:t>provide notice and what type of notice is appropriate based on the facts as they</w:t>
      </w:r>
    </w:p>
    <w:p>
      <w:pPr>
        <w:spacing w:after="80"/>
      </w:pPr>
      <w:r>
        <w:t>develop, taking into consideration: applicable laws; the number of individuals to</w:t>
      </w:r>
    </w:p>
    <w:p>
      <w:pPr>
        <w:spacing w:after="80"/>
      </w:pPr>
      <w:r>
        <w:t>whom the involved information relates; the sensitivity of the information involved</w:t>
      </w:r>
    </w:p>
    <w:p>
      <w:pPr>
        <w:spacing w:after="80"/>
      </w:pPr>
      <w:r>
        <w:t>in the Incident; any risks to such individuals associated with public</w:t>
      </w:r>
    </w:p>
    <w:p>
      <w:pPr>
        <w:spacing w:after="80"/>
      </w:pPr>
      <w:r>
        <w:t>communication of the Incident; requests by law enforcement; costs of notification</w:t>
      </w:r>
    </w:p>
    <w:p>
      <w:pPr>
        <w:spacing w:after="80"/>
      </w:pPr>
      <w:r>
        <w:t>(i.e., potentially justifying substitute notice); and the feasibility of notification.</w:t>
      </w:r>
    </w:p>
    <w:p>
      <w:pPr>
        <w:spacing w:after="80"/>
      </w:pPr>
      <w:r>
        <w:t>See Appendices C-E for more information on legal requirements to be considered</w:t>
      </w:r>
    </w:p>
    <w:p>
      <w:pPr>
        <w:spacing w:after="80"/>
      </w:pPr>
      <w:r>
        <w:t>when deciding whether to provide notice.</w:t>
      </w:r>
    </w:p>
    <w:p>
      <w:pPr>
        <w:pStyle w:val="ListBullet"/>
      </w:pPr>
      <w:r>
        <w:t xml:space="preserve">  Specific requirements for reporting suspected or confirmed breaches of</w:t>
      </w:r>
    </w:p>
    <w:p>
      <w:pPr>
        <w:spacing w:after="80"/>
      </w:pPr>
      <w:r>
        <w:t>Cardholder Data to card issuers are included in Appendix F.</w:t>
      </w:r>
    </w:p>
    <w:p>
      <w:pPr>
        <w:spacing w:after="80"/>
      </w:pPr>
      <w:r>
        <w:t>INCIDENT RESPONSE PLAN</w:t>
      </w:r>
    </w:p>
    <w:p>
      <w:pPr>
        <w:pStyle w:val="ListBullet"/>
      </w:pPr>
      <w:r>
        <w:t xml:space="preserve">  Most states have adopted statutes requiring notification of breaches</w:t>
      </w:r>
    </w:p>
    <w:p>
      <w:pPr>
        <w:spacing w:after="80"/>
      </w:pPr>
      <w:r>
        <w:t>involving Personal Information or Cardholder Data directly to affected</w:t>
      </w:r>
    </w:p>
    <w:p>
      <w:pPr>
        <w:spacing w:after="80"/>
      </w:pPr>
      <w:r>
        <w:t>customers or Cardholders and, in some cases, to others such as state</w:t>
      </w:r>
    </w:p>
    <w:p>
      <w:pPr>
        <w:spacing w:after="80"/>
      </w:pPr>
      <w:r>
        <w:t>agencies (e.g., Attorneys General) and consumer reporting agencies. A</w:t>
      </w:r>
    </w:p>
    <w:p>
      <w:pPr>
        <w:spacing w:after="80"/>
      </w:pPr>
      <w:r>
        <w:t>brief summary and analysis is in Appendix E.</w:t>
      </w:r>
    </w:p>
    <w:p>
      <w:pPr>
        <w:pStyle w:val="ListBullet"/>
      </w:pPr>
      <w:r>
        <w:t xml:space="preserve">  Acme Company has patrons in virtually all states, though the vast majority of</w:t>
      </w:r>
    </w:p>
    <w:p>
      <w:pPr>
        <w:spacing w:after="80"/>
      </w:pPr>
      <w:r>
        <w:t>Acme Company’s patrons reside in the state jurisdictions in which Acme Company maintains</w:t>
      </w:r>
    </w:p>
    <w:p>
      <w:pPr>
        <w:spacing w:after="80"/>
      </w:pPr>
      <w:r>
        <w:t>hotel and/or its gaming facilities. A brief summary and analysis of the</w:t>
      </w:r>
    </w:p>
    <w:p>
      <w:pPr>
        <w:spacing w:after="80"/>
      </w:pPr>
      <w:r>
        <w:t>notification requirements of those state jurisdictions is in Appendix D.</w:t>
      </w:r>
    </w:p>
    <w:p>
      <w:pPr>
        <w:spacing w:after="80"/>
      </w:pPr>
      <w:r>
        <w:t>However, if a confirmed breach of Personal Information or Cardholder</w:t>
      </w:r>
    </w:p>
    <w:p>
      <w:pPr>
        <w:spacing w:after="80"/>
      </w:pPr>
      <w:r>
        <w:t>Data includes individuals in other jurisdictions, the Legal Department</w:t>
      </w:r>
    </w:p>
    <w:p>
      <w:pPr>
        <w:spacing w:after="80"/>
      </w:pPr>
      <w:r>
        <w:t>shall analyze the notification requirements of those other jurisdictions for</w:t>
      </w:r>
    </w:p>
    <w:p>
      <w:pPr>
        <w:spacing w:after="80"/>
      </w:pPr>
      <w:r>
        <w:t>required compliance.</w:t>
      </w:r>
    </w:p>
    <w:p>
      <w:pPr>
        <w:spacing w:after="80"/>
      </w:pPr>
      <w:r>
        <w:t>Customer Assistance Strategies: Determine whether any third-party products or</w:t>
      </w:r>
    </w:p>
    <w:p>
      <w:pPr>
        <w:spacing w:after="80"/>
      </w:pPr>
      <w:r>
        <w:t>services will be made available to individuals (such as credit monitoring or</w:t>
      </w:r>
    </w:p>
    <w:p>
      <w:pPr>
        <w:spacing w:after="80"/>
      </w:pPr>
      <w:r>
        <w:t>identity theft insurance). Determine whether a call center will be needed to assist</w:t>
      </w:r>
    </w:p>
    <w:p>
      <w:pPr>
        <w:spacing w:after="80"/>
      </w:pPr>
      <w:r>
        <w:t>in responding to calls from individuals.</w:t>
      </w:r>
    </w:p>
    <w:p>
      <w:pPr>
        <w:spacing w:after="80"/>
      </w:pPr>
      <w:r>
        <w:t>External Support: Consider what external support is required; for example:</w:t>
      </w:r>
    </w:p>
    <w:p>
      <w:pPr>
        <w:pStyle w:val="ListBullet"/>
      </w:pPr>
      <w:r>
        <w:t xml:space="preserve">  Crises communication firm;</w:t>
      </w:r>
    </w:p>
    <w:p>
      <w:pPr>
        <w:pStyle w:val="ListBullet"/>
      </w:pPr>
      <w:r>
        <w:t xml:space="preserve">  Credit monitoring;</w:t>
      </w:r>
    </w:p>
    <w:p>
      <w:pPr>
        <w:pStyle w:val="ListBullet"/>
      </w:pPr>
      <w:r>
        <w:t xml:space="preserve">  Third-party mailing services;</w:t>
      </w:r>
    </w:p>
    <w:p>
      <w:pPr>
        <w:pStyle w:val="ListBullet"/>
      </w:pPr>
      <w:r>
        <w:t xml:space="preserve">  ID theft restoration services;</w:t>
      </w:r>
    </w:p>
    <w:p>
      <w:pPr>
        <w:pStyle w:val="ListBullet"/>
      </w:pPr>
      <w:r>
        <w:t xml:space="preserve">  External response teams (Per ExCIRT) and/or</w:t>
      </w:r>
    </w:p>
    <w:p>
      <w:pPr>
        <w:pStyle w:val="ListBullet"/>
      </w:pPr>
      <w:r>
        <w:t xml:space="preserve">  Call center support.</w:t>
      </w:r>
    </w:p>
    <w:p>
      <w:pPr>
        <w:spacing w:after="80"/>
      </w:pPr>
      <w:r>
        <w:t>Contact information for preferred external providers is included in Appendix C-3.</w:t>
      </w:r>
    </w:p>
    <w:p>
      <w:pPr>
        <w:spacing w:after="80"/>
      </w:pPr>
      <w:r>
        <w:t>Final decision to be made by the CISO and/or ExCIRT (or his/her designee).</w:t>
      </w:r>
    </w:p>
    <w:p>
      <w:pPr>
        <w:spacing w:after="80"/>
      </w:pPr>
      <w:r>
        <w:t>Key Contacts: Determine whether any key customers or business partners</w:t>
      </w:r>
    </w:p>
    <w:p>
      <w:pPr>
        <w:spacing w:after="80"/>
      </w:pPr>
      <w:r>
        <w:t>should be notified. Final decision to be made by the CISO or ExCIRT (or other</w:t>
      </w:r>
    </w:p>
    <w:p>
      <w:pPr>
        <w:spacing w:after="80"/>
      </w:pPr>
      <w:r>
        <w:t>Senior Executive designee).</w:t>
      </w:r>
    </w:p>
    <w:p>
      <w:pPr>
        <w:spacing w:after="80"/>
      </w:pPr>
      <w:r>
        <w:t>Insurance: Consider whether there is any appropriate insurance coverage and</w:t>
      </w:r>
    </w:p>
    <w:p>
      <w:pPr>
        <w:spacing w:after="80"/>
      </w:pPr>
      <w:r>
        <w:t>when to submit a claim.</w:t>
      </w:r>
    </w:p>
    <w:p>
      <w:pPr>
        <w:spacing w:after="80"/>
      </w:pPr>
      <w:r>
        <w:t>Cost Assessment: Response to an Incident may require Acme Company to incur costs,</w:t>
      </w:r>
    </w:p>
    <w:p>
      <w:pPr>
        <w:spacing w:after="80"/>
      </w:pPr>
      <w:r>
        <w:t>including (i) expenses to protect individuals from additional risks, (ii) costs of</w:t>
      </w:r>
    </w:p>
    <w:p>
      <w:pPr>
        <w:spacing w:after="80"/>
      </w:pPr>
      <w:r>
        <w:t>assistance for individuals and (iii) legal expenses. Costs will be assessed between</w:t>
      </w:r>
    </w:p>
    <w:p>
      <w:pPr>
        <w:spacing w:after="80"/>
      </w:pPr>
      <w:r>
        <w:t>the business area responsible for the Incident and the business area whose</w:t>
      </w:r>
    </w:p>
    <w:p>
      <w:pPr>
        <w:spacing w:after="80"/>
      </w:pPr>
      <w:r>
        <w:t>customers or employees are involved. Questions about responsibility for costs</w:t>
      </w:r>
    </w:p>
    <w:p>
      <w:pPr>
        <w:spacing w:after="80"/>
      </w:pPr>
      <w:r>
        <w:t>should be deferred in order to ensure a timely response to the needs of relevant</w:t>
      </w:r>
    </w:p>
    <w:p>
      <w:pPr>
        <w:spacing w:after="80"/>
      </w:pPr>
      <w:r>
        <w:t>individuals.</w:t>
      </w:r>
    </w:p>
    <w:p>
      <w:pPr>
        <w:spacing w:after="80"/>
      </w:pPr>
      <w:r>
        <w:t>INCIDENT RESPONSE PLAN</w:t>
      </w:r>
    </w:p>
    <w:p>
      <w:r>
        <w:rPr>
          <w:b/>
          <w:sz w:val="24"/>
        </w:rPr>
        <w:t>V.     NOTIFICATIONS</w:t>
      </w:r>
    </w:p>
    <w:p>
      <w:pPr>
        <w:spacing w:after="80"/>
      </w:pPr>
      <w:r>
        <w:t>The Incident Response Team will determine whether notice of the Incident should be</w:t>
      </w:r>
    </w:p>
    <w:p>
      <w:pPr>
        <w:spacing w:after="80"/>
      </w:pPr>
      <w:r>
        <w:t>communicated to relevant individuals and others. To the extent possible, public</w:t>
      </w:r>
    </w:p>
    <w:p>
      <w:pPr>
        <w:spacing w:after="80"/>
      </w:pPr>
      <w:r>
        <w:t>communication from Acme Company about the Incident should not occur until the Incident has</w:t>
      </w:r>
    </w:p>
    <w:p>
      <w:pPr>
        <w:spacing w:after="80"/>
      </w:pPr>
      <w:r>
        <w:t>been fully investigated, the impact of communication to affected information and</w:t>
      </w:r>
    </w:p>
    <w:p>
      <w:pPr>
        <w:spacing w:after="80"/>
      </w:pPr>
      <w:r>
        <w:t>individuals is assessed and steps have been taken to secure the systems, if necessary. All</w:t>
      </w:r>
    </w:p>
    <w:p>
      <w:pPr>
        <w:spacing w:after="80"/>
      </w:pPr>
      <w:r>
        <w:t>public communication will be sent through Corporate Communications. Documents to</w:t>
      </w:r>
    </w:p>
    <w:p>
      <w:pPr>
        <w:spacing w:after="80"/>
      </w:pPr>
      <w:r>
        <w:t>consider include, but are not limited to:</w:t>
      </w:r>
    </w:p>
    <w:p>
      <w:pPr>
        <w:pStyle w:val="ListBullet"/>
      </w:pPr>
      <w:r>
        <w:t xml:space="preserve">    Notification to individuals;</w:t>
      </w:r>
    </w:p>
    <w:p>
      <w:pPr>
        <w:pStyle w:val="ListBullet"/>
      </w:pPr>
      <w:r>
        <w:t xml:space="preserve">    Notification to law enforcement;</w:t>
      </w:r>
    </w:p>
    <w:p>
      <w:pPr>
        <w:pStyle w:val="ListBullet"/>
      </w:pPr>
      <w:r>
        <w:t xml:space="preserve">    Notification to gaming and other regulators;</w:t>
      </w:r>
    </w:p>
    <w:p>
      <w:pPr>
        <w:pStyle w:val="ListBullet"/>
      </w:pPr>
      <w:r>
        <w:t xml:space="preserve">    Notification to credit reporting agencies;</w:t>
      </w:r>
    </w:p>
    <w:p>
      <w:pPr>
        <w:pStyle w:val="ListBullet"/>
      </w:pPr>
      <w:r>
        <w:t xml:space="preserve">    Notification to the Board of Directors, Investor Relations and/or trade associations;</w:t>
      </w:r>
    </w:p>
    <w:p>
      <w:pPr>
        <w:pStyle w:val="ListBullet"/>
      </w:pPr>
      <w:r>
        <w:t xml:space="preserve">    Notification to payment card companies or merchant banks;</w:t>
      </w:r>
    </w:p>
    <w:p>
      <w:pPr>
        <w:pStyle w:val="ListBullet"/>
      </w:pPr>
      <w:r>
        <w:t xml:space="preserve">    Call center script and Questions &amp; Answers (Q&amp;As); (A template set of Q&amp;As may</w:t>
      </w:r>
    </w:p>
    <w:p>
      <w:pPr>
        <w:spacing w:after="80"/>
      </w:pPr>
      <w:r>
        <w:t>be added, from time to time, in the Appendices for later customization);</w:t>
      </w:r>
    </w:p>
    <w:p>
      <w:pPr>
        <w:pStyle w:val="ListBullet"/>
      </w:pPr>
      <w:r>
        <w:t xml:space="preserve">    Statement and/or Frequently Asked Questions (FAQs) for website;</w:t>
      </w:r>
    </w:p>
    <w:p>
      <w:pPr>
        <w:pStyle w:val="ListBullet"/>
      </w:pPr>
      <w:r>
        <w:t xml:space="preserve">    Talking points for leadership;</w:t>
      </w:r>
    </w:p>
    <w:p>
      <w:pPr>
        <w:pStyle w:val="ListBullet"/>
      </w:pPr>
      <w:r>
        <w:t xml:space="preserve">    Talking points for public-facing employees, including sales representatives,</w:t>
      </w:r>
    </w:p>
    <w:p>
      <w:pPr>
        <w:spacing w:after="80"/>
      </w:pPr>
      <w:r>
        <w:t>reservation representatives, and any customer service representatives; and</w:t>
      </w:r>
    </w:p>
    <w:p>
      <w:pPr>
        <w:pStyle w:val="ListBullet"/>
      </w:pPr>
      <w:r>
        <w:t xml:space="preserve">    Press release.</w:t>
      </w:r>
    </w:p>
    <w:p>
      <w:pPr>
        <w:spacing w:after="80"/>
      </w:pPr>
      <w:r>
        <w:t>Notification to Individuals: The Incident Response Team will determine</w:t>
      </w:r>
    </w:p>
    <w:p>
      <w:pPr>
        <w:spacing w:after="80"/>
      </w:pPr>
      <w:r>
        <w:t>whether the Incident should be communicated to relevant individuals.</w:t>
      </w:r>
    </w:p>
    <w:p>
      <w:pPr>
        <w:pStyle w:val="ListBullet"/>
      </w:pPr>
      <w:r>
        <w:t xml:space="preserve">   The Incident Response Team will consider, among other factors,</w:t>
      </w:r>
    </w:p>
    <w:p>
      <w:pPr>
        <w:pStyle w:val="ListBullet"/>
      </w:pPr>
      <w:r>
        <w:t>the number of individuals affected;</w:t>
      </w:r>
    </w:p>
    <w:p>
      <w:pPr>
        <w:pStyle w:val="ListBullet"/>
      </w:pPr>
      <w:r>
        <w:t xml:space="preserve">  the sensitivity of the data accessed, impacted or acquired;</w:t>
      </w:r>
    </w:p>
    <w:p>
      <w:pPr>
        <w:pStyle w:val="ListBullet"/>
      </w:pPr>
      <w:r>
        <w:t>the extent, if at all, the impacted information may have left the</w:t>
      </w:r>
    </w:p>
    <w:p>
      <w:pPr>
        <w:spacing w:after="80"/>
      </w:pPr>
      <w:r>
        <w:t>Company’s control (data exfiltration considerations);</w:t>
      </w:r>
    </w:p>
    <w:p>
      <w:pPr>
        <w:pStyle w:val="ListBullet"/>
      </w:pPr>
      <w:r>
        <w:t>additional risks to the data associated with publicly communicating</w:t>
      </w:r>
    </w:p>
    <w:p>
      <w:pPr>
        <w:spacing w:after="80"/>
      </w:pPr>
      <w:r>
        <w:t>about the event, customer/employee expectations;</w:t>
      </w:r>
    </w:p>
    <w:p>
      <w:pPr>
        <w:pStyle w:val="ListBullet"/>
      </w:pPr>
      <w:r>
        <w:t>guidance from law enforcement; and</w:t>
      </w:r>
    </w:p>
    <w:p>
      <w:pPr>
        <w:pStyle w:val="ListBullet"/>
      </w:pPr>
      <w:r>
        <w:t>any applicable laws.</w:t>
      </w:r>
    </w:p>
    <w:p>
      <w:pPr>
        <w:pStyle w:val="ListBullet"/>
      </w:pPr>
      <w:r>
        <w:t xml:space="preserve"> See Appendix J for template notice letters, to be modified as appropriate</w:t>
      </w:r>
    </w:p>
    <w:p>
      <w:pPr>
        <w:spacing w:after="80"/>
      </w:pPr>
      <w:r>
        <w:t>for the circumstance. The communication items should generally include:</w:t>
      </w:r>
    </w:p>
    <w:p>
      <w:pPr>
        <w:pStyle w:val="ListBullet"/>
      </w:pPr>
      <w:r>
        <w:t>A description of the Incident;</w:t>
      </w:r>
    </w:p>
    <w:p>
      <w:pPr>
        <w:spacing w:after="80"/>
      </w:pPr>
      <w:r>
        <w:t>INCIDENT RESPONSE PLAN</w:t>
      </w:r>
    </w:p>
    <w:p>
      <w:pPr>
        <w:pStyle w:val="ListBullet"/>
      </w:pPr>
      <w:r>
        <w:t>How the individual is impacted (including the type of information</w:t>
      </w:r>
    </w:p>
    <w:p>
      <w:pPr>
        <w:spacing w:after="80"/>
      </w:pPr>
      <w:r>
        <w:t>involved in the Incident);</w:t>
      </w:r>
    </w:p>
    <w:p>
      <w:pPr>
        <w:pStyle w:val="ListBullet"/>
      </w:pPr>
      <w:r>
        <w:t>What actions the individual may take to respond to the Incident;</w:t>
      </w:r>
    </w:p>
    <w:p>
      <w:pPr>
        <w:pStyle w:val="ListBullet"/>
      </w:pPr>
      <w:r>
        <w:t>Description of what Acme Company is doing overall and specifically for those</w:t>
      </w:r>
    </w:p>
    <w:p>
      <w:pPr>
        <w:spacing w:after="80"/>
      </w:pPr>
      <w:r>
        <w:t>impacted;</w:t>
      </w:r>
    </w:p>
    <w:p>
      <w:pPr>
        <w:pStyle w:val="ListBullet"/>
      </w:pPr>
      <w:r>
        <w:t>Reminders that the individual should remain vigilant for the next 12</w:t>
      </w:r>
    </w:p>
    <w:p>
      <w:pPr>
        <w:spacing w:after="80"/>
      </w:pPr>
      <w:r>
        <w:t>months, including reviewing account statements, and immediately</w:t>
      </w:r>
    </w:p>
    <w:p>
      <w:pPr>
        <w:spacing w:after="80"/>
      </w:pPr>
      <w:r>
        <w:t>reporting incidents of suspected identify theft or fraud to Acme Company,</w:t>
      </w:r>
    </w:p>
    <w:p>
      <w:pPr>
        <w:spacing w:after="80"/>
      </w:pPr>
      <w:r>
        <w:t>consumer reporting agencies and law enforcement;</w:t>
      </w:r>
    </w:p>
    <w:p>
      <w:pPr>
        <w:pStyle w:val="ListBullet"/>
      </w:pPr>
      <w:r>
        <w:t>Name of contacts at Acme Company should the individual have additional</w:t>
      </w:r>
    </w:p>
    <w:p>
      <w:pPr>
        <w:spacing w:after="80"/>
      </w:pPr>
      <w:r>
        <w:t>questions or concerns ; and</w:t>
      </w:r>
    </w:p>
    <w:p>
      <w:pPr>
        <w:pStyle w:val="ListBullet"/>
      </w:pPr>
      <w:r>
        <w:t>Any other content required by law, such as:</w:t>
      </w:r>
    </w:p>
    <w:p>
      <w:pPr>
        <w:pStyle w:val="ListBullet"/>
      </w:pPr>
      <w:r>
        <w:t xml:space="preserve">   A description of fraud alerts and an explanation of how the individual may</w:t>
      </w:r>
    </w:p>
    <w:p>
      <w:pPr>
        <w:spacing w:after="80"/>
      </w:pPr>
      <w:r>
        <w:t>place a fraud alert in his/her credit bureau file.</w:t>
      </w:r>
    </w:p>
    <w:p>
      <w:pPr>
        <w:pStyle w:val="ListBullet"/>
      </w:pPr>
      <w:r>
        <w:t xml:space="preserve">   A recommendation that the individual periodically obtain and review</w:t>
      </w:r>
    </w:p>
    <w:p>
      <w:pPr>
        <w:spacing w:after="80"/>
      </w:pPr>
      <w:r>
        <w:t>credit reports from each nationwide credit-reporting agency and have</w:t>
      </w:r>
    </w:p>
    <w:p>
      <w:pPr>
        <w:spacing w:after="80"/>
      </w:pPr>
      <w:r>
        <w:t>information relating to fraudulent transactions deleted.</w:t>
      </w:r>
    </w:p>
    <w:p>
      <w:pPr>
        <w:pStyle w:val="ListBullet"/>
      </w:pPr>
      <w:r>
        <w:t xml:space="preserve">   An explanation of how an individual may obtain a credit report free of</w:t>
      </w:r>
    </w:p>
    <w:p>
      <w:pPr>
        <w:spacing w:after="80"/>
      </w:pPr>
      <w:r>
        <w:t>charge.</w:t>
      </w:r>
    </w:p>
    <w:p>
      <w:pPr>
        <w:pStyle w:val="ListBullet"/>
      </w:pPr>
      <w:r>
        <w:t xml:space="preserve">   Information about the availability of the FTC’s online guidance regarding</w:t>
      </w:r>
    </w:p>
    <w:p>
      <w:pPr>
        <w:spacing w:after="80"/>
      </w:pPr>
      <w:r>
        <w:t>steps a consumer can take to protect against identify theft. The notice</w:t>
      </w:r>
    </w:p>
    <w:p>
      <w:pPr>
        <w:spacing w:after="80"/>
      </w:pPr>
      <w:r>
        <w:t>should indicate that the individual may report incidents of identity theft to</w:t>
      </w:r>
    </w:p>
    <w:p>
      <w:pPr>
        <w:spacing w:after="80"/>
      </w:pPr>
      <w:r>
        <w:t>the FTC, and should provide the FTC’s web site address and toll-free</w:t>
      </w:r>
    </w:p>
    <w:p>
      <w:pPr>
        <w:spacing w:after="80"/>
      </w:pPr>
      <w:r>
        <w:t>telephone number that individuals may use to obtain the identify theft</w:t>
      </w:r>
    </w:p>
    <w:p>
      <w:pPr>
        <w:spacing w:after="80"/>
      </w:pPr>
      <w:r>
        <w:t>guidance and report suspected incidents of identity theft.</w:t>
      </w:r>
    </w:p>
    <w:p>
      <w:pPr>
        <w:pStyle w:val="ListBullet"/>
      </w:pPr>
      <w:r>
        <w:t xml:space="preserve">   Determine whether notification is legally required for non-U.S. residents.</w:t>
      </w:r>
    </w:p>
    <w:p>
      <w:pPr>
        <w:spacing w:after="80"/>
      </w:pPr>
      <w:r>
        <w:t>If a communication will be provided regarding an Incident to an individual</w:t>
      </w:r>
    </w:p>
    <w:p>
      <w:pPr>
        <w:spacing w:after="80"/>
      </w:pPr>
      <w:r>
        <w:t>who is not a resident of the U.S., the Incident Response Team should seek</w:t>
      </w:r>
    </w:p>
    <w:p>
      <w:pPr>
        <w:spacing w:after="80"/>
      </w:pPr>
      <w:r>
        <w:t>to determine, in consultation with outside counsel, any content required by</w:t>
      </w:r>
    </w:p>
    <w:p>
      <w:pPr>
        <w:spacing w:after="80"/>
      </w:pPr>
      <w:r>
        <w:t>applicable law to be included in such communication and ensure such</w:t>
      </w:r>
    </w:p>
    <w:p>
      <w:pPr>
        <w:spacing w:after="80"/>
      </w:pPr>
      <w:r>
        <w:t>content is included in the communication.</w:t>
      </w:r>
    </w:p>
    <w:p>
      <w:pPr>
        <w:pStyle w:val="ListBullet"/>
      </w:pPr>
      <w:r>
        <w:t xml:space="preserve">   Personnel may not answer questions from the media about the Incident.</w:t>
      </w:r>
    </w:p>
    <w:p>
      <w:pPr>
        <w:spacing w:after="80"/>
      </w:pPr>
      <w:r>
        <w:t>Any questions from the media about the Incident must be referred to</w:t>
      </w:r>
    </w:p>
    <w:p>
      <w:pPr>
        <w:spacing w:after="80"/>
      </w:pPr>
      <w:r>
        <w:t>Corporate Communications (or other specifically designated Company</w:t>
      </w:r>
    </w:p>
    <w:p>
      <w:pPr>
        <w:spacing w:after="80"/>
      </w:pPr>
      <w:r>
        <w:t>representative).</w:t>
      </w:r>
    </w:p>
    <w:p>
      <w:pPr>
        <w:spacing w:after="80"/>
      </w:pPr>
      <w:r>
        <w:t>INCIDENT RESPONSE PLAN</w:t>
      </w:r>
    </w:p>
    <w:p>
      <w:pPr>
        <w:pStyle w:val="ListBullet"/>
      </w:pPr>
      <w:r>
        <w:t xml:space="preserve">   The Incident Response Team will coordinate and allocate appropriate</w:t>
      </w:r>
    </w:p>
    <w:p>
      <w:pPr>
        <w:spacing w:after="80"/>
      </w:pPr>
      <w:r>
        <w:t>responsibilities based on the specific Incident.</w:t>
      </w:r>
    </w:p>
    <w:p>
      <w:pPr>
        <w:spacing w:after="80"/>
      </w:pPr>
      <w:r>
        <w:t>Notification to Law Enforcement: Response to an Incident may necessitate</w:t>
      </w:r>
    </w:p>
    <w:p>
      <w:pPr>
        <w:spacing w:after="80"/>
      </w:pPr>
      <w:r>
        <w:t>notification to law enforcement, for example, where Personal Information or</w:t>
      </w:r>
    </w:p>
    <w:p>
      <w:pPr>
        <w:spacing w:after="80"/>
      </w:pPr>
      <w:r>
        <w:t>media containing Personal Information was stolen. The Incident Response Team</w:t>
      </w:r>
    </w:p>
    <w:p>
      <w:pPr>
        <w:spacing w:after="80"/>
      </w:pPr>
      <w:r>
        <w:t>will determine if and when such notice is appropriate.</w:t>
      </w:r>
    </w:p>
    <w:p>
      <w:pPr>
        <w:spacing w:after="80"/>
      </w:pPr>
      <w:r>
        <w:t>Notification to Gaming and Other Regulators: Response to an Incident may</w:t>
      </w:r>
    </w:p>
    <w:p>
      <w:pPr>
        <w:spacing w:after="80"/>
      </w:pPr>
      <w:r>
        <w:t>require notification to governmental agencies, including gaming regulatory</w:t>
      </w:r>
    </w:p>
    <w:p>
      <w:pPr>
        <w:spacing w:after="80"/>
      </w:pPr>
      <w:r>
        <w:t>authorities. The Compliance Department, in consultation with the Incident</w:t>
      </w:r>
    </w:p>
    <w:p>
      <w:pPr>
        <w:spacing w:after="80"/>
      </w:pPr>
      <w:r>
        <w:t>Response Team, will determine if and when such notice is required.</w:t>
      </w:r>
    </w:p>
    <w:p>
      <w:pPr>
        <w:pStyle w:val="ListBullet"/>
      </w:pPr>
      <w:r>
        <w:t xml:space="preserve">   Draft notice to regulators in appropriate states/countries. See Appendix J</w:t>
      </w:r>
    </w:p>
    <w:p>
      <w:pPr>
        <w:spacing w:after="80"/>
      </w:pPr>
      <w:r>
        <w:t>for template notice letters.</w:t>
      </w:r>
    </w:p>
    <w:p>
      <w:pPr>
        <w:pStyle w:val="ListBullet"/>
      </w:pPr>
      <w:r>
        <w:t xml:space="preserve">   Consider, in consultation with the regulatory lawyers (if necessary),</w:t>
      </w:r>
    </w:p>
    <w:p>
      <w:pPr>
        <w:spacing w:after="80"/>
      </w:pPr>
      <w:r>
        <w:t>whether a courtesy notice should be provided to any regulators, even if not</w:t>
      </w:r>
    </w:p>
    <w:p>
      <w:pPr>
        <w:spacing w:after="80"/>
      </w:pPr>
      <w:r>
        <w:t>legally required.</w:t>
      </w:r>
    </w:p>
    <w:p>
      <w:pPr>
        <w:pStyle w:val="ListBullet"/>
      </w:pPr>
      <w:r>
        <w:t xml:space="preserve">   Should an Incident involve a breach and loss of customer PII, Acme Company</w:t>
      </w:r>
    </w:p>
    <w:p>
      <w:pPr>
        <w:spacing w:after="80"/>
      </w:pPr>
      <w:r>
        <w:t>acknowledges that it shall be required to notify the Nevada Gaming</w:t>
      </w:r>
    </w:p>
    <w:p>
      <w:pPr>
        <w:spacing w:after="80"/>
      </w:pPr>
      <w:r>
        <w:t>Control Board (NGCB). Such notification to be made by the Compliance</w:t>
      </w:r>
    </w:p>
    <w:p>
      <w:pPr>
        <w:spacing w:after="80"/>
      </w:pPr>
      <w:r>
        <w:t>Officer, the General Counsel or other designee of the General Counsel.</w:t>
      </w:r>
    </w:p>
    <w:p>
      <w:pPr>
        <w:spacing w:after="80"/>
      </w:pPr>
      <w:r>
        <w:t>Notification to Credit Reporting Agencies: Response to an Incident may require</w:t>
      </w:r>
    </w:p>
    <w:p>
      <w:pPr>
        <w:spacing w:after="80"/>
      </w:pPr>
      <w:r>
        <w:t>notification to one or more credit reporting agencies. The Incident Response</w:t>
      </w:r>
    </w:p>
    <w:p>
      <w:pPr>
        <w:spacing w:after="80"/>
      </w:pPr>
      <w:r>
        <w:t>Team will determine if and when such notice is required.</w:t>
      </w:r>
    </w:p>
    <w:p>
      <w:pPr>
        <w:pStyle w:val="ListBullet"/>
      </w:pPr>
      <w:r>
        <w:t xml:space="preserve"> Draft notice to credit reporting agencies if required. See Appendix J for</w:t>
      </w:r>
    </w:p>
    <w:p>
      <w:pPr>
        <w:spacing w:after="80"/>
      </w:pPr>
      <w:r>
        <w:t>template notice letters.</w:t>
      </w:r>
    </w:p>
    <w:p>
      <w:pPr>
        <w:spacing w:after="80"/>
      </w:pPr>
      <w:r>
        <w:t>Notification to Payment Card Companies/Merchant Banks: If an Incident has</w:t>
      </w:r>
    </w:p>
    <w:p>
      <w:pPr>
        <w:spacing w:after="80"/>
      </w:pPr>
      <w:r>
        <w:t>been confirmed to impact Cardholder Data, the Incident Response Team will</w:t>
      </w:r>
    </w:p>
    <w:p>
      <w:pPr>
        <w:spacing w:after="80"/>
      </w:pPr>
      <w:r>
        <w:t>review relevant contracts and determine if notice to any Merchant Banks or</w:t>
      </w:r>
    </w:p>
    <w:p>
      <w:pPr>
        <w:spacing w:after="80"/>
      </w:pPr>
      <w:r>
        <w:t>Payment Card Companies is required by contract. The Legal Department is</w:t>
      </w:r>
    </w:p>
    <w:p>
      <w:pPr>
        <w:spacing w:after="80"/>
      </w:pPr>
      <w:r>
        <w:t>responsible for determining if notice is required. See Appendix B-2 for contact</w:t>
      </w:r>
    </w:p>
    <w:p>
      <w:pPr>
        <w:spacing w:after="80"/>
      </w:pPr>
      <w:r>
        <w:t>information for Merchant Banks and Payment Card Companies.</w:t>
      </w:r>
    </w:p>
    <w:p>
      <w:pPr>
        <w:spacing w:after="80"/>
      </w:pPr>
      <w:r>
        <w:t>If notification is required to Payment Card Companies and Merchant Banks, the</w:t>
      </w:r>
    </w:p>
    <w:p>
      <w:pPr>
        <w:spacing w:after="80"/>
      </w:pPr>
      <w:r>
        <w:t>IT Security Manager or designee will be responsible for:</w:t>
      </w:r>
    </w:p>
    <w:p>
      <w:pPr>
        <w:pStyle w:val="ListBullet"/>
      </w:pPr>
      <w:r>
        <w:t xml:space="preserve">   Preparing an Incident Response Report within three (3) business days of</w:t>
      </w:r>
    </w:p>
    <w:p>
      <w:pPr>
        <w:spacing w:after="80"/>
      </w:pPr>
      <w:r>
        <w:t>the reported Incident. See Appendix I for an Incident Response Report</w:t>
      </w:r>
    </w:p>
    <w:p>
      <w:pPr>
        <w:spacing w:after="80"/>
      </w:pPr>
      <w:r>
        <w:t>Template.</w:t>
      </w:r>
    </w:p>
    <w:p>
      <w:pPr>
        <w:spacing w:after="80"/>
      </w:pPr>
      <w:r>
        <w:t>INCIDENT RESPONSE PLAN</w:t>
      </w:r>
    </w:p>
    <w:p>
      <w:pPr>
        <w:pStyle w:val="ListBullet"/>
      </w:pPr>
      <w:r>
        <w:t xml:space="preserve">   Gathering impacted Visa, Interlink and Plus primary account numbers to</w:t>
      </w:r>
    </w:p>
    <w:p>
      <w:pPr>
        <w:spacing w:after="80"/>
      </w:pPr>
      <w:r>
        <w:t>be provided to the Merchant Bank as instructed by the Merchant Bank and</w:t>
      </w:r>
    </w:p>
    <w:p>
      <w:pPr>
        <w:spacing w:after="80"/>
      </w:pPr>
      <w:r>
        <w:t>to the Payment Card Companies Investigations and Incident Management</w:t>
      </w:r>
    </w:p>
    <w:p>
      <w:pPr>
        <w:spacing w:after="80"/>
      </w:pPr>
      <w:r>
        <w:t>Group within ten (10) business days.</w:t>
      </w:r>
    </w:p>
    <w:p>
      <w:r>
        <w:rPr>
          <w:b/>
          <w:sz w:val="24"/>
        </w:rPr>
        <w:t>V.     MONITORING AND FOLLOW-UP</w:t>
      </w:r>
    </w:p>
    <w:p>
      <w:pPr>
        <w:spacing w:after="80"/>
      </w:pPr>
      <w:r>
        <w:t>The Incident Response Team will monitor the response both during and after the event. In</w:t>
      </w:r>
    </w:p>
    <w:p>
      <w:pPr>
        <w:spacing w:after="80"/>
      </w:pPr>
      <w:r>
        <w:t>addition, the Incident Response Team will engage in certain follow-up activities, including:</w:t>
      </w:r>
    </w:p>
    <w:p>
      <w:pPr>
        <w:spacing w:after="80"/>
      </w:pPr>
      <w:r>
        <w:t>◦ Schedule a follow-up meeting to reconvene the Incident Response Team and obtain a</w:t>
      </w:r>
    </w:p>
    <w:p>
      <w:pPr>
        <w:spacing w:after="80"/>
      </w:pPr>
      <w:r>
        <w:t>status update.</w:t>
      </w:r>
    </w:p>
    <w:p>
      <w:pPr>
        <w:spacing w:after="80"/>
      </w:pPr>
      <w:r>
        <w:t>◦ Determine any additional next steps.</w:t>
      </w:r>
    </w:p>
    <w:p>
      <w:pPr>
        <w:spacing w:after="80"/>
      </w:pPr>
      <w:r>
        <w:t>◦ Determine who needs to be involved in efforts to mitigate or prevent a recurrence of</w:t>
      </w:r>
    </w:p>
    <w:p>
      <w:pPr>
        <w:spacing w:after="80"/>
      </w:pPr>
      <w:r>
        <w:t>the Incident. Identify the root cause of the Incident and establish responsibility for</w:t>
      </w:r>
    </w:p>
    <w:p>
      <w:pPr>
        <w:spacing w:after="80"/>
      </w:pPr>
      <w:r>
        <w:t>follow-up with the appropriate business area (i.e., loss management, corporate</w:t>
      </w:r>
    </w:p>
    <w:p>
      <w:pPr>
        <w:spacing w:after="80"/>
      </w:pPr>
      <w:r>
        <w:t>security, etc.)</w:t>
      </w:r>
    </w:p>
    <w:p>
      <w:pPr>
        <w:spacing w:after="80"/>
      </w:pPr>
      <w:r>
        <w:t>◦ Identify responsibilities attendant to continued monitoring of Acme Company’s systems for</w:t>
      </w:r>
    </w:p>
    <w:p>
      <w:pPr>
        <w:spacing w:after="80"/>
      </w:pPr>
      <w:r>
        <w:t>potential fraudulent use or misuse of accounts, identities, or other compromised</w:t>
      </w:r>
    </w:p>
    <w:p>
      <w:pPr>
        <w:spacing w:after="80"/>
      </w:pPr>
      <w:r>
        <w:t>information.</w:t>
      </w:r>
    </w:p>
    <w:p>
      <w:pPr>
        <w:spacing w:after="80"/>
      </w:pPr>
      <w:r>
        <w:t>◦ Prepare a report regarding the Incident, the response to the Incident and remedial</w:t>
      </w:r>
    </w:p>
    <w:p>
      <w:pPr>
        <w:spacing w:after="80"/>
      </w:pPr>
      <w:r>
        <w:t>measures taken to prevent recurrence of the Incident and the resolution of the</w:t>
      </w:r>
    </w:p>
    <w:p>
      <w:pPr>
        <w:spacing w:after="80"/>
      </w:pPr>
      <w:r>
        <w:t>Incident.</w:t>
      </w:r>
    </w:p>
    <w:p>
      <w:pPr>
        <w:spacing w:after="80"/>
      </w:pPr>
      <w:r>
        <w:t>◦ Design, implement and document remedial measures as appropriate to prevent</w:t>
      </w:r>
    </w:p>
    <w:p>
      <w:pPr>
        <w:spacing w:after="80"/>
      </w:pPr>
      <w:r>
        <w:t>recurrence of the Incident.</w:t>
      </w:r>
    </w:p>
    <w:p>
      <w:pPr>
        <w:spacing w:after="80"/>
      </w:pPr>
      <w:r>
        <w:t>INCIDENT RESPONSE PLAN</w:t>
      </w:r>
    </w:p>
    <w:p>
      <w:r>
        <w:rPr>
          <w:b/>
          <w:sz w:val="24"/>
        </w:rPr>
        <w:t>VII. APPENDICES</w:t>
      </w:r>
    </w:p>
    <w:p>
      <w:pPr>
        <w:spacing w:after="80"/>
      </w:pPr>
      <w:r>
        <w:t>Appendix A – Executive Critical Incident Response Team (“EXCIRT”) Process</w:t>
      </w:r>
    </w:p>
    <w:p>
      <w:pPr>
        <w:spacing w:after="80"/>
      </w:pPr>
      <w:r>
        <w:t>Appendix B - Incident Response Team Activation Email Template</w:t>
      </w:r>
    </w:p>
    <w:p>
      <w:pPr>
        <w:spacing w:after="80"/>
      </w:pPr>
      <w:r>
        <w:t>Appendix C-1– Internal Contact Information for ExCIRT and Core Incident Response</w:t>
      </w:r>
    </w:p>
    <w:p>
      <w:pPr>
        <w:spacing w:after="80"/>
      </w:pPr>
      <w:r>
        <w:t>Team (IRT)</w:t>
      </w:r>
    </w:p>
    <w:p>
      <w:pPr>
        <w:spacing w:after="80"/>
      </w:pPr>
      <w:r>
        <w:t>Appendix C-2 - External Support Contacts List</w:t>
      </w:r>
    </w:p>
    <w:p>
      <w:pPr>
        <w:spacing w:after="80"/>
      </w:pPr>
      <w:r>
        <w:t>Appendix C-3 - Merchant Banks and Payment Card Companies Contact List</w:t>
      </w:r>
    </w:p>
    <w:p>
      <w:pPr>
        <w:spacing w:after="80"/>
      </w:pPr>
      <w:r>
        <w:t>Appendix D – Information to Consider for Notification</w:t>
      </w:r>
    </w:p>
    <w:p>
      <w:pPr>
        <w:spacing w:after="80"/>
      </w:pPr>
      <w:r>
        <w:t>Appendix E – Yarbrough Law Group State Customer &amp; Employee Data Privacy Breach</w:t>
      </w:r>
    </w:p>
    <w:p>
      <w:pPr>
        <w:spacing w:after="80"/>
      </w:pPr>
      <w:r>
        <w:t>Notification Laws</w:t>
      </w:r>
    </w:p>
    <w:p>
      <w:pPr>
        <w:spacing w:after="80"/>
      </w:pPr>
      <w:r>
        <w:t>Appendix F – Summary of Requirements to Notify State Regulators</w:t>
      </w:r>
    </w:p>
    <w:p>
      <w:pPr>
        <w:spacing w:after="80"/>
      </w:pPr>
      <w:r>
        <w:t>Appendix G – Cardholder Requirements</w:t>
      </w:r>
    </w:p>
    <w:p>
      <w:pPr>
        <w:spacing w:after="80"/>
      </w:pPr>
      <w:r>
        <w:t>Appendix H - Incident Response Checklist</w:t>
      </w:r>
    </w:p>
    <w:p>
      <w:pPr>
        <w:spacing w:after="80"/>
      </w:pPr>
      <w:r>
        <w:t>Appendix I – Forensic Investigation Guidelines for Incidents Impacting Cardholder Data</w:t>
      </w:r>
    </w:p>
    <w:p>
      <w:pPr>
        <w:spacing w:after="80"/>
      </w:pPr>
      <w:r>
        <w:t>Appendix J – Incident Report Template</w:t>
      </w:r>
    </w:p>
    <w:p>
      <w:pPr>
        <w:spacing w:after="80"/>
      </w:pPr>
      <w:r>
        <w:t>Appendix K – Template Notification Letters</w:t>
      </w:r>
    </w:p>
    <w:p>
      <w:pPr>
        <w:spacing w:after="80"/>
      </w:pPr>
      <w:r>
        <w:t>Appendix L – Definitions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Appendix A – Executive Critical Incident Response Team (“EXCIRT”) Process</w:t>
      </w:r>
    </w:p>
    <w:p>
      <w:pPr>
        <w:spacing w:after="80"/>
      </w:pPr>
      <w:r>
        <w:t>ACME COMPANY Incident Response Plan</w:t>
      </w:r>
    </w:p>
    <w:p>
      <w:pPr>
        <w:spacing w:after="80"/>
      </w:pPr>
      <w:r>
        <w:t>Executive Critical Incident Response Team (“ExCIRT”) Process</w:t>
      </w:r>
    </w:p>
    <w:p>
      <w:pPr>
        <w:spacing w:after="80"/>
      </w:pPr>
      <w:r>
        <w:t>PROCESS</w:t>
      </w:r>
    </w:p>
    <w:p>
      <w:pPr>
        <w:spacing w:after="80"/>
      </w:pPr>
      <w:r>
        <w:t>Subject      Corporate Information Security Policy (CISP)           Effective Date   3/30/2016</w:t>
      </w:r>
    </w:p>
    <w:p>
      <w:pPr>
        <w:spacing w:after="80"/>
      </w:pPr>
      <w:r>
        <w:t>Section      Incident Response                                      Document Owner   Authorized Representative</w:t>
      </w:r>
    </w:p>
    <w:p>
      <w:pPr>
        <w:spacing w:after="80"/>
      </w:pPr>
      <w:r>
        <w:t>Number       PLCY-INFOSEC-003                                       Version          1.0</w:t>
      </w:r>
    </w:p>
    <w:p>
      <w:pPr>
        <w:spacing w:after="80"/>
      </w:pPr>
      <w:r>
        <w:t>Trademarks:</w:t>
      </w:r>
    </w:p>
    <w:p>
      <w:pPr>
        <w:spacing w:after="80"/>
      </w:pPr>
      <w:r>
        <w:t>Trademarked names may appear throughout this document. Rather than listing the names and entities that own the trademarks or insert a</w:t>
      </w:r>
    </w:p>
    <w:p>
      <w:pPr>
        <w:spacing w:after="80"/>
      </w:pPr>
      <w:r>
        <w:t>trademark symbol with each mention of the trademarked name, this document uses names only for editorial purposes and to the benefit of the</w:t>
      </w:r>
    </w:p>
    <w:p>
      <w:pPr>
        <w:spacing w:after="80"/>
      </w:pPr>
      <w:r>
        <w:t>trademark owner with no intention of infringing upon that trademark.</w:t>
      </w:r>
    </w:p>
    <w:p>
      <w:pPr>
        <w:spacing w:after="80"/>
      </w:pPr>
      <w:r>
        <w:t>Contact Information:</w:t>
      </w:r>
    </w:p>
    <w:p>
      <w:pPr>
        <w:spacing w:after="80"/>
      </w:pPr>
      <w:r>
        <w:t>Company:       ACME COMPANY</w:t>
      </w:r>
    </w:p>
    <w:p>
      <w:pPr>
        <w:spacing w:after="80"/>
      </w:pPr>
      <w:r>
        <w:t>Department: Information Security Risk Management (ISRM)</w:t>
      </w:r>
    </w:p>
    <w:p>
      <w:pPr>
        <w:spacing w:after="80"/>
      </w:pPr>
      <w:r>
        <w:t>Address:       [Company Address]</w:t>
      </w:r>
    </w:p>
    <w:p>
      <w:pPr>
        <w:spacing w:after="80"/>
      </w:pPr>
      <w:r>
        <w:t>Internal Zip:  [Company Address]</w:t>
      </w:r>
    </w:p>
    <w:p>
      <w:pPr>
        <w:spacing w:after="80"/>
      </w:pPr>
      <w:r>
        <w:t>Author:</w:t>
      </w:r>
    </w:p>
    <w:p>
      <w:pPr>
        <w:spacing w:after="80"/>
      </w:pPr>
      <w:r>
        <w:t>Authorized Representative</w:t>
      </w:r>
    </w:p>
    <w:p>
      <w:pPr>
        <w:spacing w:after="80"/>
      </w:pPr>
      <w:r>
        <w:t>Executive Director IT Enterprise Risk Management</w:t>
      </w:r>
    </w:p>
    <w:p>
      <w:pPr>
        <w:spacing w:after="80"/>
      </w:pPr>
      <w:r>
        <w:t>ACME</w:t>
      </w:r>
    </w:p>
    <w:p>
      <w:pPr>
        <w:spacing w:after="80"/>
      </w:pPr>
      <w:r>
        <w:t>[Phone Number]</w:t>
      </w:r>
    </w:p>
    <w:p>
      <w:pPr>
        <w:spacing w:after="80"/>
      </w:pPr>
      <w:r>
        <w:t>security@acmecompany.example</w:t>
      </w:r>
    </w:p>
    <w:p>
      <w:pPr>
        <w:spacing w:after="80"/>
      </w:pPr>
      <w:r>
        <w:t>File Information:</w:t>
      </w:r>
    </w:p>
    <w:p>
      <w:pPr>
        <w:spacing w:after="80"/>
      </w:pPr>
      <w:r>
        <w:t>Last Saved: 3/30/16 2:40 PM</w:t>
      </w:r>
    </w:p>
    <w:p>
      <w:pPr>
        <w:spacing w:after="80"/>
      </w:pPr>
      <w:r>
        <w:t>Revision History</w:t>
      </w:r>
    </w:p>
    <w:p>
      <w:pPr>
        <w:spacing w:after="80"/>
      </w:pPr>
      <w:r>
        <w:t>Date           Version        Updated By                     Description</w:t>
      </w:r>
    </w:p>
    <w:p>
      <w:pPr>
        <w:spacing w:after="80"/>
      </w:pPr>
      <w:r>
        <w:t>05/01/2014 V 0.1              Authorized Representative                Initial document</w:t>
      </w:r>
    </w:p>
    <w:p>
      <w:pPr>
        <w:spacing w:after="80"/>
      </w:pPr>
      <w:r>
        <w:t>Internal Use Only                               Page 1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     Corporate Information Security Policy (CISP)                            Effective Date              3/30/2016</w:t>
      </w:r>
    </w:p>
    <w:p>
      <w:pPr>
        <w:spacing w:after="80"/>
      </w:pPr>
      <w:r>
        <w:t>Section        Incident Response                                                       Document Owner              Authorized Representative</w:t>
      </w:r>
    </w:p>
    <w:p>
      <w:pPr>
        <w:spacing w:after="80"/>
      </w:pPr>
      <w:r>
        <w:t>Number         PLCY-INFOSEC-003                                                        Version                     1.0</w:t>
      </w:r>
    </w:p>
    <w:p>
      <w:pPr>
        <w:spacing w:after="80"/>
      </w:pPr>
      <w:r>
        <w:t>Contents</w:t>
      </w:r>
    </w:p>
    <w:p>
      <w:pPr>
        <w:spacing w:after="80"/>
      </w:pPr>
      <w:r>
        <w:t>Introduction .................................................................................................................................................................................................................. 4</w:t>
      </w:r>
    </w:p>
    <w:p>
      <w:pPr>
        <w:spacing w:after="80"/>
      </w:pPr>
      <w:r>
        <w:t>Purpose ..................................................................................................................................................................................................................... 4</w:t>
      </w:r>
    </w:p>
    <w:p>
      <w:pPr>
        <w:spacing w:after="80"/>
      </w:pPr>
      <w:r>
        <w:t>Scope ......................................................................................................................................................................................................................... 4</w:t>
      </w:r>
    </w:p>
    <w:p>
      <w:pPr>
        <w:spacing w:after="80"/>
      </w:pPr>
      <w:r>
        <w:t>Roles &amp; Responsibility ................................................................................................................................................................................................... 5</w:t>
      </w:r>
    </w:p>
    <w:p>
      <w:pPr>
        <w:spacing w:after="80"/>
      </w:pPr>
      <w:r>
        <w:t>Overview of Incident Response Process........................................................................................................................................................................ 7</w:t>
      </w:r>
    </w:p>
    <w:p>
      <w:pPr>
        <w:spacing w:after="80"/>
      </w:pPr>
      <w:r>
        <w:t>1 - Discovery of Incident .............................................................................................................................................................................................. 11</w:t>
      </w:r>
    </w:p>
    <w:p>
      <w:pPr>
        <w:spacing w:after="80"/>
      </w:pPr>
      <w:r>
        <w:t>2 – Legal Involvement ................................................................................................................................................................................................. 13</w:t>
      </w:r>
    </w:p>
    <w:p>
      <w:pPr>
        <w:spacing w:after="80"/>
      </w:pPr>
      <w:r>
        <w:t>3 - Severity &amp; Escalation Determination ..................................................................................................................................................................... 14</w:t>
      </w:r>
    </w:p>
    <w:p>
      <w:pPr>
        <w:spacing w:after="80"/>
      </w:pPr>
      <w:r>
        <w:t>4 - Launch Investigation .............................................................................................................................................................................................. 16</w:t>
      </w:r>
    </w:p>
    <w:p>
      <w:pPr>
        <w:spacing w:after="80"/>
      </w:pPr>
      <w:r>
        <w:t>Containment &amp; Evidence Preservation Worksheet ................................................................................................................................................. 17</w:t>
      </w:r>
    </w:p>
    <w:p>
      <w:pPr>
        <w:spacing w:after="80"/>
      </w:pPr>
      <w:r>
        <w:t>5 - Notification Preparation ......................................................................................................................................................................................... 19</w:t>
      </w:r>
    </w:p>
    <w:p>
      <w:pPr>
        <w:spacing w:after="80"/>
      </w:pPr>
      <w:r>
        <w:t>6 - Engagement Requirements .................................................................................................................................................................................... 21</w:t>
      </w:r>
    </w:p>
    <w:p>
      <w:pPr>
        <w:spacing w:after="80"/>
      </w:pPr>
      <w:r>
        <w:t>7 - Analysis of Facts &amp; Forensics: Statement of Facts ................................................................................................................................................. 22</w:t>
      </w:r>
    </w:p>
    <w:p>
      <w:pPr>
        <w:spacing w:after="80"/>
      </w:pPr>
      <w:r>
        <w:t>Statement of Facts Worksheet ................................................................................................................................................................................ 22</w:t>
      </w:r>
    </w:p>
    <w:p>
      <w:pPr>
        <w:spacing w:after="80"/>
      </w:pPr>
      <w:r>
        <w:t>8 - Advise ExCIRT &amp; Determine Action Plan ................................................................................................................................................................ 24</w:t>
      </w:r>
    </w:p>
    <w:p>
      <w:pPr>
        <w:spacing w:after="80"/>
      </w:pPr>
      <w:r>
        <w:t>Internal Use Only                                                             Page 2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     Corporate Information Security Policy (CISP)                          Effective Date             3/30/2016</w:t>
      </w:r>
    </w:p>
    <w:p>
      <w:pPr>
        <w:spacing w:after="80"/>
      </w:pPr>
      <w:r>
        <w:t>Section        Incident Response                                                     Document Owner             Authorized Representative</w:t>
      </w:r>
    </w:p>
    <w:p>
      <w:pPr>
        <w:spacing w:after="80"/>
      </w:pPr>
      <w:r>
        <w:t>Number         PLCY-INFOSEC-003                                                      Version                    1.0</w:t>
      </w:r>
    </w:p>
    <w:p>
      <w:pPr>
        <w:spacing w:after="80"/>
      </w:pPr>
      <w:r>
        <w:t>9 - Determination of Notification ................................................................................................................................................................................ 24</w:t>
      </w:r>
    </w:p>
    <w:p>
      <w:pPr>
        <w:spacing w:after="80"/>
      </w:pPr>
      <w:r>
        <w:t>Determination of Notification Worksheet .............................................................................................................................................................. 24</w:t>
      </w:r>
    </w:p>
    <w:p>
      <w:pPr>
        <w:spacing w:after="80"/>
      </w:pPr>
      <w:r>
        <w:t>10 - Government Information Sharing Requests......................................................................................................................................................... 26</w:t>
      </w:r>
    </w:p>
    <w:p>
      <w:pPr>
        <w:spacing w:after="80"/>
      </w:pPr>
      <w:r>
        <w:t>11 - Analysis of Contractual Requirements, Obligations, Rights and Remedies .......................................................................................................... 27</w:t>
      </w:r>
    </w:p>
    <w:p>
      <w:pPr>
        <w:spacing w:after="80"/>
      </w:pPr>
      <w:r>
        <w:t>Determination of Contractual Requirements Worksheet ....................................................................................................................................... 27</w:t>
      </w:r>
    </w:p>
    <w:p>
      <w:pPr>
        <w:spacing w:after="80"/>
      </w:pPr>
      <w:r>
        <w:t>12 - Pursue Contract Rights ......................................................................................................................................................................................... 28</w:t>
      </w:r>
    </w:p>
    <w:p>
      <w:pPr>
        <w:spacing w:after="80"/>
      </w:pPr>
      <w:r>
        <w:t>13 - Respond to Government Investigations &amp; Class Actions ..................................................................................................................................... 28</w:t>
      </w:r>
    </w:p>
    <w:p>
      <w:pPr>
        <w:spacing w:after="80"/>
      </w:pPr>
      <w:r>
        <w:t>14 - Recovery Plan ....................................................................................................................................................................................................... 29</w:t>
      </w:r>
    </w:p>
    <w:p>
      <w:pPr>
        <w:spacing w:after="80"/>
      </w:pPr>
      <w:r>
        <w:t>15 - Improvement Plan ................................................................................................................................................................................................ 29</w:t>
      </w:r>
    </w:p>
    <w:p>
      <w:pPr>
        <w:spacing w:after="80"/>
      </w:pPr>
      <w:r>
        <w:t>Lessons Learned Worksheet .................................................................................................................................................................................... 29</w:t>
      </w:r>
    </w:p>
    <w:p>
      <w:pPr>
        <w:spacing w:after="80"/>
      </w:pPr>
      <w:r>
        <w:t>Incident Response Plan Testing ............................................................................................................................................................................... 30</w:t>
      </w:r>
    </w:p>
    <w:p>
      <w:pPr>
        <w:spacing w:after="80"/>
      </w:pPr>
      <w:r>
        <w:t>Required Reviews .................................................................................................................................................................................................... 31</w:t>
      </w:r>
    </w:p>
    <w:p>
      <w:pPr>
        <w:spacing w:after="80"/>
      </w:pPr>
      <w:r>
        <w:t>Appendix A – Call List .................................................................................................................................................................................................. 32</w:t>
      </w:r>
    </w:p>
    <w:p>
      <w:pPr>
        <w:spacing w:after="80"/>
      </w:pPr>
      <w:r>
        <w:t>Internal Use Only                                                          Page 3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Corporate Information Security Policy (CISP)           Effective Date   3/30/2016</w:t>
      </w:r>
    </w:p>
    <w:p>
      <w:pPr>
        <w:spacing w:after="80"/>
      </w:pPr>
      <w:r>
        <w:t>Section   Incident Response                                      Document Owner   Authorized Representative</w:t>
      </w:r>
    </w:p>
    <w:p>
      <w:pPr>
        <w:spacing w:after="80"/>
      </w:pPr>
      <w:r>
        <w:t>Number    PLCY-INFOSEC-003                                       Version          1.0</w:t>
      </w:r>
    </w:p>
    <w:p>
      <w:pPr>
        <w:spacing w:after="80"/>
      </w:pPr>
      <w:r>
        <w:t>Introduction</w:t>
      </w:r>
    </w:p>
    <w:p>
      <w:pPr>
        <w:spacing w:after="80"/>
      </w:pPr>
      <w:r>
        <w:t>Purpose</w:t>
      </w:r>
    </w:p>
    <w:p>
      <w:pPr>
        <w:spacing w:after="80"/>
      </w:pPr>
      <w:r>
        <w:t>To operate business within a cyber-landscape where intrusions have become more prevalent, sophisticated, damaging and disruptive, it is</w:t>
      </w:r>
    </w:p>
    <w:p>
      <w:pPr>
        <w:spacing w:after="80"/>
      </w:pPr>
      <w:r>
        <w:t>critically important that ACME work proactively to establish a program for detecting and containing security incidents quickly. Through the</w:t>
      </w:r>
    </w:p>
    <w:p>
      <w:pPr>
        <w:spacing w:after="80"/>
      </w:pPr>
      <w:r>
        <w:t>definition, implementation, and continual improvement of formal incident response procedures, ACME can ensure that response teams are</w:t>
      </w:r>
    </w:p>
    <w:p>
      <w:pPr>
        <w:spacing w:after="80"/>
      </w:pPr>
      <w:r>
        <w:t>prepared to respond with the appropriate actions quickly and efficiently when an incident arises.</w:t>
      </w:r>
    </w:p>
    <w:p>
      <w:pPr>
        <w:spacing w:after="80"/>
      </w:pPr>
      <w:r>
        <w:t>Besides the business reasons to establish and maintain an incident response capability, there are multiple compliance and regulatory</w:t>
      </w:r>
    </w:p>
    <w:p>
      <w:pPr>
        <w:spacing w:after="80"/>
      </w:pPr>
      <w:r>
        <w:t>requirements that mandate such a program at ACME. These requirements include:</w:t>
      </w:r>
    </w:p>
    <w:p>
      <w:pPr>
        <w:pStyle w:val="ListBullet"/>
      </w:pPr>
      <w:r>
        <w:t xml:space="preserve">   State, federal and international legislation</w:t>
      </w:r>
    </w:p>
    <w:p>
      <w:pPr>
        <w:pStyle w:val="ListBullet"/>
      </w:pPr>
      <w:r>
        <w:t xml:space="preserve">   Payment Card Industry (PCI) Data Security Standard requirements</w:t>
      </w:r>
    </w:p>
    <w:p>
      <w:pPr>
        <w:pStyle w:val="ListBullet"/>
      </w:pPr>
      <w:r>
        <w:t xml:space="preserve">   Industry standards</w:t>
      </w:r>
    </w:p>
    <w:p>
      <w:pPr>
        <w:spacing w:after="80"/>
      </w:pPr>
      <w:r>
        <w:t>Scope</w:t>
      </w:r>
    </w:p>
    <w:p>
      <w:pPr>
        <w:spacing w:after="80"/>
      </w:pPr>
      <w:r>
        <w:t>The scope of the ACME Incident Response Plan covers all of ACME’s associates, contingent workers and vendors.</w:t>
      </w:r>
    </w:p>
    <w:p>
      <w:pPr>
        <w:spacing w:after="80"/>
      </w:pPr>
      <w:r>
        <w:t>Internal Use Only                               Page 4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Corporate Information Security Policy (CISP)           Effective Date   3/30/2016</w:t>
      </w:r>
    </w:p>
    <w:p>
      <w:pPr>
        <w:spacing w:after="80"/>
      </w:pPr>
      <w:r>
        <w:t>Section   Incident Response                                      Document Owner   Authorized Representative</w:t>
      </w:r>
    </w:p>
    <w:p>
      <w:pPr>
        <w:spacing w:after="80"/>
      </w:pPr>
      <w:r>
        <w:t>Number    PLCY-INFOSEC-003                                       Version          1.0</w:t>
      </w:r>
    </w:p>
    <w:p>
      <w:pPr>
        <w:spacing w:after="80"/>
      </w:pPr>
      <w:r>
        <w:t>Roles &amp; Responsibility</w:t>
      </w:r>
    </w:p>
    <w:p>
      <w:pPr>
        <w:spacing w:after="80"/>
      </w:pPr>
      <w:r>
        <w:t>ACME Associates, Contingent Workers, and Vendors</w:t>
      </w:r>
    </w:p>
    <w:p>
      <w:pPr>
        <w:spacing w:after="80"/>
      </w:pPr>
      <w:r>
        <w:t>Associates, contingent workers, and vendors must comply with the Information Security Policy (ISP). The ISP requires that these individuals</w:t>
      </w:r>
    </w:p>
    <w:p>
      <w:pPr>
        <w:spacing w:after="80"/>
      </w:pPr>
      <w:r>
        <w:t>report actual or suspected security violations or potential security weaknesses to their managers or the IT Service Desk (ITSD)immediately.</w:t>
      </w:r>
    </w:p>
    <w:p>
      <w:pPr>
        <w:spacing w:after="80"/>
      </w:pPr>
      <w:r>
        <w:t>Executive Critical Incident Response Team (ExCIRT)</w:t>
      </w:r>
    </w:p>
    <w:p>
      <w:pPr>
        <w:spacing w:after="80"/>
      </w:pPr>
      <w:r>
        <w:t>Executive level associates representing all business units make up the ExCIRT, with the purpose of supporting and providing a consistent</w:t>
      </w:r>
    </w:p>
    <w:p>
      <w:pPr>
        <w:spacing w:after="80"/>
      </w:pPr>
      <w:r>
        <w:t>escalation path for existing crisis and incident response teams.</w:t>
      </w:r>
    </w:p>
    <w:p>
      <w:pPr>
        <w:spacing w:after="80"/>
      </w:pPr>
      <w:r>
        <w:t>The ExCIRT provides decision-making and advice in the incident of a severe crisis. The Incident Response Team’s role or actions will vary</w:t>
      </w:r>
    </w:p>
    <w:p>
      <w:pPr>
        <w:spacing w:after="80"/>
      </w:pPr>
      <w:r>
        <w:t>depending on the incident. The ExCIRT’s role may include monitoring the recovery efforts executed by the incident response team or assuming</w:t>
      </w:r>
    </w:p>
    <w:p>
      <w:pPr>
        <w:spacing w:after="80"/>
      </w:pPr>
      <w:r>
        <w:t>ownership of the recovery. In the latter case, the ExCIRT would coordinate activities based on the magnitude or potential magnitude of the</w:t>
      </w:r>
    </w:p>
    <w:p>
      <w:pPr>
        <w:spacing w:after="80"/>
      </w:pPr>
      <w:r>
        <w:t>incident.</w:t>
      </w:r>
    </w:p>
    <w:p>
      <w:pPr>
        <w:spacing w:after="80"/>
      </w:pPr>
      <w:r>
        <w:t>The ExCIRT can provide financial, legal, and logistical support to the Incident Response Team. Although the ExCIRT may not perform the detailed</w:t>
      </w:r>
    </w:p>
    <w:p>
      <w:pPr>
        <w:spacing w:after="80"/>
      </w:pPr>
      <w:r>
        <w:t>day-to-day activities related to addressing the incident, the ExCIRT may be responsible for coordinating all legal issues and communications to</w:t>
      </w:r>
    </w:p>
    <w:p>
      <w:pPr>
        <w:spacing w:after="80"/>
      </w:pPr>
      <w:r>
        <w:t>the public, clients, customers, associates, governmental authorities, media and other parties.</w:t>
      </w:r>
    </w:p>
    <w:p>
      <w:pPr>
        <w:spacing w:after="80"/>
      </w:pPr>
      <w:r>
        <w:t>Incident Response Coordinator</w:t>
      </w:r>
    </w:p>
    <w:p>
      <w:pPr>
        <w:spacing w:after="80"/>
      </w:pPr>
      <w:r>
        <w:t>The executive sponsors of the incident response program are the SVP of Corporate Communications, EVP General Counsel and the Chief</w:t>
      </w:r>
    </w:p>
    <w:p>
      <w:pPr>
        <w:spacing w:after="80"/>
      </w:pPr>
      <w:r>
        <w:t>Information Security Officer (CISO). The Incident Response Coordinators are responsible for providing corporate oversight; coordinating and</w:t>
      </w:r>
    </w:p>
    <w:p>
      <w:pPr>
        <w:spacing w:after="80"/>
      </w:pPr>
      <w:r>
        <w:t>Internal Use Only                               Page 5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 Corporate Information Security Policy (CISP)           Effective Date   3/30/2016</w:t>
      </w:r>
    </w:p>
    <w:p>
      <w:pPr>
        <w:spacing w:after="80"/>
      </w:pPr>
      <w:r>
        <w:t>Section    Incident Response                                      Document Owner   Authorized Representative</w:t>
      </w:r>
    </w:p>
    <w:p>
      <w:pPr>
        <w:spacing w:after="80"/>
      </w:pPr>
      <w:r>
        <w:t>Number     PLCY-INFOSEC-003                                       Version          1.0</w:t>
      </w:r>
    </w:p>
    <w:p>
      <w:pPr>
        <w:spacing w:after="80"/>
      </w:pPr>
      <w:r>
        <w:t>providing governance over the incidents and incidents as they develop; and creating and disseminating, in coordination with legal, formal</w:t>
      </w:r>
    </w:p>
    <w:p>
      <w:pPr>
        <w:spacing w:after="80"/>
      </w:pPr>
      <w:r>
        <w:t>reporting related to those incidents and incidents to the ExCIRT, Incident Response Steering Committee, and ACME associates.</w:t>
      </w:r>
    </w:p>
    <w:p>
      <w:pPr>
        <w:spacing w:after="80"/>
      </w:pPr>
      <w:r>
        <w:t>Incident Response Steering Committee</w:t>
      </w:r>
    </w:p>
    <w:p>
      <w:pPr>
        <w:spacing w:after="80"/>
      </w:pPr>
      <w:r>
        <w:t>The Incident Response Steering Committee contains one non-executive level leader from each business unit referred to as Business Unit Incident</w:t>
      </w:r>
    </w:p>
    <w:p>
      <w:pPr>
        <w:spacing w:after="80"/>
      </w:pPr>
      <w:r>
        <w:t>Coordinator. Each Business Unit Incident Coordinator is responsible for developing incident/incident response plans that accommodate specific</w:t>
      </w:r>
    </w:p>
    <w:p>
      <w:pPr>
        <w:spacing w:after="80"/>
      </w:pPr>
      <w:r>
        <w:t>business requirements in their area and managing all incidents/incidents within their business unit from notification to closure. The activities of</w:t>
      </w:r>
    </w:p>
    <w:p>
      <w:pPr>
        <w:spacing w:after="80"/>
      </w:pPr>
      <w:r>
        <w:t>the Business Unit Incident Coordinator include logging, tracking, involving the appropriate personnel, convening an Incident Response Team, and</w:t>
      </w:r>
    </w:p>
    <w:p>
      <w:pPr>
        <w:spacing w:after="80"/>
      </w:pPr>
      <w:r>
        <w:t>performing communication and support functions. The Business Unit Incident Coordinator is responsible for notifying the Incident Response</w:t>
      </w:r>
    </w:p>
    <w:p>
      <w:pPr>
        <w:spacing w:after="80"/>
      </w:pPr>
      <w:r>
        <w:t>Team of incidents/incidents, providing details, and involving them in the process.</w:t>
      </w:r>
    </w:p>
    <w:p>
      <w:pPr>
        <w:spacing w:after="80"/>
      </w:pPr>
      <w:r>
        <w:t>During an incident, all Business Unit Incident Coordinators are responsible for the following:</w:t>
      </w:r>
    </w:p>
    <w:p>
      <w:pPr>
        <w:pStyle w:val="ListBullet"/>
      </w:pPr>
      <w:r>
        <w:t xml:space="preserve">   Communicating and reporting to the ExCIRT</w:t>
      </w:r>
    </w:p>
    <w:p>
      <w:pPr>
        <w:pStyle w:val="ListBullet"/>
      </w:pPr>
      <w:r>
        <w:t xml:space="preserve">   Coordinating with relevant internal and external experts, as appropriate, to determine the nature and scope of the incident</w:t>
      </w:r>
    </w:p>
    <w:p>
      <w:pPr>
        <w:pStyle w:val="ListBullet"/>
      </w:pPr>
      <w:r>
        <w:t xml:space="preserve">   Contacting qualified information security specialists for advice as needed</w:t>
      </w:r>
    </w:p>
    <w:p>
      <w:pPr>
        <w:pStyle w:val="ListBullet"/>
      </w:pPr>
      <w:r>
        <w:t xml:space="preserve">   Contacting members of their Incident Response Team</w:t>
      </w:r>
    </w:p>
    <w:p>
      <w:pPr>
        <w:pStyle w:val="ListBullet"/>
      </w:pPr>
      <w:r>
        <w:t xml:space="preserve">   Determining which Incident Response Team members should play an active role in the investigation</w:t>
      </w:r>
    </w:p>
    <w:p>
      <w:pPr>
        <w:pStyle w:val="ListBullet"/>
      </w:pPr>
      <w:r>
        <w:t xml:space="preserve">   Escalating incidents to ExCIRT as appropriate</w:t>
      </w:r>
    </w:p>
    <w:p>
      <w:pPr>
        <w:pStyle w:val="ListBullet"/>
      </w:pPr>
      <w:r>
        <w:t xml:space="preserve">   Contacting auxiliary departments as appropriate</w:t>
      </w:r>
    </w:p>
    <w:p>
      <w:pPr>
        <w:pStyle w:val="ListBullet"/>
      </w:pPr>
      <w:r>
        <w:t xml:space="preserve">   Monitoring progress of the investigation</w:t>
      </w:r>
    </w:p>
    <w:p>
      <w:pPr>
        <w:pStyle w:val="ListBullet"/>
      </w:pPr>
      <w:r>
        <w:t xml:space="preserve">   Ensuring evidence gathering, chain of custody, and preservation of evidence is conducted appropriately</w:t>
      </w:r>
    </w:p>
    <w:p>
      <w:pPr>
        <w:pStyle w:val="ListBullet"/>
      </w:pPr>
      <w:r>
        <w:t xml:space="preserve">   Preparing a written summary of the incident/event and corrective action(s) taken, if appropriate (as approved by the Legal Department)</w:t>
      </w:r>
    </w:p>
    <w:p>
      <w:pPr>
        <w:pStyle w:val="ListBullet"/>
      </w:pPr>
      <w:r>
        <w:t xml:space="preserve">   Managing and tracking follow-up activities as needed</w:t>
      </w:r>
    </w:p>
    <w:p>
      <w:pPr>
        <w:spacing w:after="80"/>
      </w:pPr>
      <w:r>
        <w:t>Internal Use Only                               Page 6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Corporate Information Security Policy (CISP)           Effective Date   3/30/2016</w:t>
      </w:r>
    </w:p>
    <w:p>
      <w:pPr>
        <w:spacing w:after="80"/>
      </w:pPr>
      <w:r>
        <w:t>Section   Incident Response                                      Document Owner   Authorized Representative</w:t>
      </w:r>
    </w:p>
    <w:p>
      <w:pPr>
        <w:spacing w:after="80"/>
      </w:pPr>
      <w:r>
        <w:t>Number    PLCY-INFOSEC-003                                       Version          1.0</w:t>
      </w:r>
    </w:p>
    <w:p>
      <w:pPr>
        <w:spacing w:after="80"/>
      </w:pPr>
      <w:r>
        <w:t>The Business Unit Incident Coordinator should use outside legal expertise to assist in meeting evidence gathering, chain of custody, and</w:t>
      </w:r>
    </w:p>
    <w:p>
      <w:pPr>
        <w:spacing w:after="80"/>
      </w:pPr>
      <w:r>
        <w:t>preservation objectives if the Business Unit Incident Coordinator does not have the necessary legal expertise available.</w:t>
      </w:r>
    </w:p>
    <w:p>
      <w:pPr>
        <w:spacing w:after="80"/>
      </w:pPr>
      <w:r>
        <w:t>Business Unit Incident Coordinators will own all aspects of the incident or event unless otherwise determined by the IT IRT, the corporate</w:t>
      </w:r>
    </w:p>
    <w:p>
      <w:pPr>
        <w:spacing w:after="80"/>
      </w:pPr>
      <w:r>
        <w:t>extended team, or the ExCIRT.</w:t>
      </w:r>
    </w:p>
    <w:p>
      <w:pPr>
        <w:spacing w:after="80"/>
      </w:pPr>
      <w:r>
        <w:t>Crisis Management and IT IRT</w:t>
      </w:r>
    </w:p>
    <w:p>
      <w:pPr>
        <w:spacing w:after="80"/>
      </w:pPr>
      <w:r>
        <w:t>The appropriate Incident Coordinator leads the Crisis Management and IT IRT. The Crisis Management and IT IRT consist of well-trained incident</w:t>
      </w:r>
    </w:p>
    <w:p>
      <w:pPr>
        <w:spacing w:after="80"/>
      </w:pPr>
      <w:r>
        <w:t>handlers with the expertise and knowledge necessary to manage an incident/event and drive it to closure. The Incident Response Teams must</w:t>
      </w:r>
    </w:p>
    <w:p>
      <w:pPr>
        <w:spacing w:after="80"/>
      </w:pPr>
      <w:r>
        <w:t>determine what actions are necessary to limit the scope and damage of an incident and to identify and remediate weaknesses or failures of</w:t>
      </w:r>
    </w:p>
    <w:p>
      <w:pPr>
        <w:spacing w:after="80"/>
      </w:pPr>
      <w:r>
        <w:t>controls.</w:t>
      </w:r>
    </w:p>
    <w:p>
      <w:pPr>
        <w:spacing w:after="80"/>
      </w:pPr>
      <w:r>
        <w:t>Overview of Incident Response Process:</w:t>
      </w:r>
    </w:p>
    <w:p>
      <w:pPr>
        <w:spacing w:after="80"/>
      </w:pPr>
      <w:r>
        <w:t>While the following IR Process appears below in a numbered sequential flow, it is imperative that all members of the ExCIRT be prepared that</w:t>
      </w:r>
    </w:p>
    <w:p>
      <w:pPr>
        <w:spacing w:after="80"/>
      </w:pPr>
      <w:r>
        <w:t>any potential data breach is a dynamic incident and unique based on it own facts. The incidents may not proceed in the order as follows here</w:t>
      </w:r>
    </w:p>
    <w:p>
      <w:pPr>
        <w:spacing w:after="80"/>
      </w:pPr>
      <w:r>
        <w:t>and members of the ExCIRT team should be flexible when applying these suggested process flow steps.</w:t>
      </w:r>
    </w:p>
    <w:p>
      <w:pPr>
        <w:spacing w:after="80"/>
      </w:pPr>
      <w:r>
        <w:t>Internal Use Only                               Page 7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Corporate Information Security Policy (CISP)           Effective Date   3/30/2016</w:t>
      </w:r>
    </w:p>
    <w:p>
      <w:pPr>
        <w:spacing w:after="80"/>
      </w:pPr>
      <w:r>
        <w:t>Section   Incident Response                                      Document Owner   Authorized Representative</w:t>
      </w:r>
    </w:p>
    <w:p>
      <w:pPr>
        <w:spacing w:after="80"/>
      </w:pPr>
      <w:r>
        <w:t>Number    PLCY-INFOSEC-003                                       Version          1.0</w:t>
      </w:r>
    </w:p>
    <w:p>
      <w:pPr>
        <w:spacing w:after="80"/>
      </w:pPr>
      <w:r>
        <w:t>1 - Discovery of Incident</w:t>
      </w:r>
    </w:p>
    <w:p>
      <w:pPr>
        <w:spacing w:after="80"/>
      </w:pPr>
      <w:r>
        <w:t>2 - Legal Involvement</w:t>
      </w:r>
    </w:p>
    <w:p>
      <w:pPr>
        <w:spacing w:after="80"/>
      </w:pPr>
      <w:r>
        <w:t>3 - Severity &amp; Escalahon Determinahon</w:t>
      </w:r>
    </w:p>
    <w:p>
      <w:pPr>
        <w:spacing w:after="80"/>
      </w:pPr>
      <w:r>
        <w:t>4 - Launch Inveshgahon</w:t>
      </w:r>
    </w:p>
    <w:p>
      <w:pPr>
        <w:spacing w:after="80"/>
      </w:pPr>
      <w:r>
        <w:t>5 - Nohﬁcahon Preparahon</w:t>
      </w:r>
    </w:p>
    <w:p>
      <w:pPr>
        <w:spacing w:after="80"/>
      </w:pPr>
      <w:r>
        <w:t>Internal Use Only                               Page 8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Corporate Information Security Policy (CISP)           Effective Date   3/30/2016</w:t>
      </w:r>
    </w:p>
    <w:p>
      <w:pPr>
        <w:spacing w:after="80"/>
      </w:pPr>
      <w:r>
        <w:t>Section   Incident Response                                      Document Owner   Authorized Representative</w:t>
      </w:r>
    </w:p>
    <w:p>
      <w:pPr>
        <w:spacing w:after="80"/>
      </w:pPr>
      <w:r>
        <w:t>Number    PLCY-INFOSEC-003                                       Version          1.0</w:t>
      </w:r>
    </w:p>
    <w:p>
      <w:pPr>
        <w:spacing w:after="80"/>
      </w:pPr>
      <w:r>
        <w:t>6 - Engagement Requirements</w:t>
      </w:r>
    </w:p>
    <w:p>
      <w:pPr>
        <w:spacing w:after="80"/>
      </w:pPr>
      <w:r>
        <w:t>7 - Statement of Facts</w:t>
      </w:r>
    </w:p>
    <w:p>
      <w:pPr>
        <w:spacing w:after="80"/>
      </w:pPr>
      <w:r>
        <w:t>8 - Advise ExCERT &amp; Determine Achon Plan</w:t>
      </w:r>
    </w:p>
    <w:p>
      <w:pPr>
        <w:spacing w:after="80"/>
      </w:pPr>
      <w:r>
        <w:t>9 - Determinahon of Nohﬁcahon</w:t>
      </w:r>
    </w:p>
    <w:p>
      <w:pPr>
        <w:spacing w:after="80"/>
      </w:pPr>
      <w:r>
        <w:t>10 - Government Informahon Sharing Requests</w:t>
      </w:r>
    </w:p>
    <w:p>
      <w:pPr>
        <w:spacing w:after="80"/>
      </w:pPr>
      <w:r>
        <w:t>Internal Use Only                               Page 9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Corporate Information Security Policy (CISP)           Effective Date   3/30/2016</w:t>
      </w:r>
    </w:p>
    <w:p>
      <w:pPr>
        <w:spacing w:after="80"/>
      </w:pPr>
      <w:r>
        <w:t>Section   Incident Response                                      Document Owner   Authorized Representative</w:t>
      </w:r>
    </w:p>
    <w:p>
      <w:pPr>
        <w:spacing w:after="80"/>
      </w:pPr>
      <w:r>
        <w:t>Number    PLCY-INFOSEC-003                                       Version          1.0</w:t>
      </w:r>
    </w:p>
    <w:p>
      <w:pPr>
        <w:spacing w:after="80"/>
      </w:pPr>
      <w:r>
        <w:t>11 - Analysis of Contractual Requirements</w:t>
      </w:r>
    </w:p>
    <w:p>
      <w:pPr>
        <w:spacing w:after="80"/>
      </w:pPr>
      <w:r>
        <w:t>12 - Pursue Contract Rights</w:t>
      </w:r>
    </w:p>
    <w:p>
      <w:pPr>
        <w:spacing w:after="80"/>
      </w:pPr>
      <w:r>
        <w:t>13 - Respond to Government Inveshgahons</w:t>
      </w:r>
    </w:p>
    <w:p>
      <w:pPr>
        <w:spacing w:after="80"/>
      </w:pPr>
      <w:r>
        <w:t>&amp; Class Achons</w:t>
      </w:r>
    </w:p>
    <w:p>
      <w:pPr>
        <w:spacing w:after="80"/>
      </w:pPr>
      <w:r>
        <w:t>14 - Recovery Plan</w:t>
      </w:r>
    </w:p>
    <w:p>
      <w:pPr>
        <w:spacing w:after="80"/>
      </w:pPr>
      <w:r>
        <w:t>Internal Use Only                               Page 10 of 33</w:t>
      </w:r>
    </w:p>
    <w:p>
      <w:pPr>
        <w:spacing w:after="80"/>
      </w:pPr>
      <w:r>
        <w:t>15 - Improvement Plan              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 Corporate Information Security Policy (CISP)                     Effective Date              3/30/2016</w:t>
      </w:r>
    </w:p>
    <w:p>
      <w:pPr>
        <w:spacing w:after="80"/>
      </w:pPr>
      <w:r>
        <w:t>Section    Incident Response                                                Document Owner              Authorized Representative</w:t>
      </w:r>
    </w:p>
    <w:p>
      <w:pPr>
        <w:spacing w:after="80"/>
      </w:pPr>
      <w:r>
        <w:t>Number     PLCY-INFOSEC-003                                                 Version                     1.0</w:t>
      </w:r>
    </w:p>
    <w:p>
      <w:pPr>
        <w:spacing w:after="80"/>
      </w:pPr>
      <w:r>
        <w:t>1 - Discovery of Incident</w:t>
      </w:r>
    </w:p>
    <w:p>
      <w:pPr>
        <w:spacing w:after="80"/>
      </w:pPr>
      <w:r>
        <w:t>“Information Security Incident” means an incident involving actual or suspected unauthorized access to or acquisition, use or disclosure of</w:t>
      </w:r>
    </w:p>
    <w:p>
      <w:pPr>
        <w:spacing w:after="80"/>
      </w:pPr>
      <w:r>
        <w:t>Personal Information or interference with ACME’s or third party system operations in an information system that affects ACME. This includes</w:t>
      </w:r>
    </w:p>
    <w:p>
      <w:pPr>
        <w:spacing w:after="80"/>
      </w:pPr>
      <w:r>
        <w:t>but not limited to any incident for which there is a reasonable probability of unauthorized access to or acquisition, use or disclosure of Personal</w:t>
      </w:r>
    </w:p>
    <w:p>
      <w:pPr>
        <w:spacing w:after="80"/>
      </w:pPr>
      <w:r>
        <w:t>Information. Security incidents may arise for a variety of reasons and may target ACME properties, data centers, domestic and international</w:t>
      </w:r>
    </w:p>
    <w:p>
      <w:pPr>
        <w:spacing w:after="80"/>
      </w:pPr>
      <w:r>
        <w:t>offices, and vendors. The following diagram provides examples of the diverse attack vectors that may lead to an incident.</w:t>
      </w:r>
    </w:p>
    <w:p>
      <w:pPr>
        <w:spacing w:after="80"/>
      </w:pPr>
      <w:r>
        <w:t>Malicious AcNons</w:t>
      </w:r>
    </w:p>
    <w:p>
      <w:pPr>
        <w:pStyle w:val="ListBullet"/>
      </w:pPr>
      <w:r>
        <w:t xml:space="preserve"> Malware</w:t>
      </w:r>
    </w:p>
    <w:p>
      <w:pPr>
        <w:pStyle w:val="ListBullet"/>
      </w:pPr>
      <w:r>
        <w:t xml:space="preserve"> Denial of service alack</w:t>
      </w:r>
    </w:p>
    <w:p>
      <w:pPr>
        <w:pStyle w:val="ListBullet"/>
      </w:pPr>
      <w:r>
        <w:t xml:space="preserve"> Alempts to gain unauthorized</w:t>
      </w:r>
    </w:p>
    <w:p>
      <w:pPr>
        <w:spacing w:after="80"/>
      </w:pPr>
      <w:r>
        <w:t>access</w:t>
      </w:r>
    </w:p>
    <w:p>
      <w:pPr>
        <w:pStyle w:val="ListBullet"/>
      </w:pPr>
      <w:r>
        <w:t xml:space="preserve"> Phishing or other social engineering</w:t>
      </w:r>
    </w:p>
    <w:p>
      <w:pPr>
        <w:spacing w:after="80"/>
      </w:pPr>
      <w:r>
        <w:t>alempts</w:t>
      </w:r>
    </w:p>
    <w:p>
      <w:pPr>
        <w:spacing w:after="80"/>
      </w:pPr>
      <w:r>
        <w:t>Policy ViolaNon                                                    Mistake</w:t>
      </w:r>
    </w:p>
    <w:p>
      <w:pPr>
        <w:pStyle w:val="ListBullet"/>
      </w:pPr>
      <w:r>
        <w:t xml:space="preserve"> Intenhonal disclosure of ACME                              • Accidental disclosure of ACME</w:t>
      </w:r>
    </w:p>
    <w:p>
      <w:pPr>
        <w:spacing w:after="80"/>
      </w:pPr>
      <w:r>
        <w:t>Conﬁdenhal Informahon                                        Conﬁdenhal Informahon</w:t>
      </w:r>
    </w:p>
    <w:p>
      <w:pPr>
        <w:pStyle w:val="ListBullet"/>
      </w:pPr>
      <w:r>
        <w:t xml:space="preserve"> Internal alempts to gain                                • Poor coding prachces leading to</w:t>
      </w:r>
    </w:p>
    <w:p>
      <w:pPr>
        <w:spacing w:after="80"/>
      </w:pPr>
      <w:r>
        <w:t>unauthorized access or acquire                                   unintended disclosures</w:t>
      </w:r>
    </w:p>
    <w:p>
      <w:pPr>
        <w:spacing w:after="80"/>
      </w:pPr>
      <w:r>
        <w:t>data for unauthorized purposes</w:t>
      </w:r>
    </w:p>
    <w:p>
      <w:pPr>
        <w:spacing w:after="80"/>
      </w:pPr>
      <w:r>
        <w:t>Internal Use Only                                           Page 11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Corporate Information Security Policy (CISP)           Effective Date   3/30/2016</w:t>
      </w:r>
    </w:p>
    <w:p>
      <w:pPr>
        <w:spacing w:after="80"/>
      </w:pPr>
      <w:r>
        <w:t>Section   Incident Response                                      Document Owner   Authorized Representative</w:t>
      </w:r>
    </w:p>
    <w:p>
      <w:pPr>
        <w:spacing w:after="80"/>
      </w:pPr>
      <w:r>
        <w:t>Number    PLCY-INFOSEC-003                                       Version          1.0</w:t>
      </w:r>
    </w:p>
    <w:p>
      <w:pPr>
        <w:spacing w:after="80"/>
      </w:pPr>
      <w:r>
        <w:t>ACME may become aware of security incidents in a variety of ways as noted in the following diagram.</w:t>
      </w:r>
    </w:p>
    <w:p>
      <w:pPr>
        <w:spacing w:after="80"/>
      </w:pPr>
      <w:r>
        <w:t>Associate/</w:t>
      </w:r>
    </w:p>
    <w:p>
      <w:pPr>
        <w:spacing w:after="80"/>
      </w:pPr>
      <w:r>
        <w:t>Government/Law                     Conhngent Worker</w:t>
      </w:r>
    </w:p>
    <w:p>
      <w:pPr>
        <w:spacing w:after="80"/>
      </w:pPr>
      <w:r>
        <w:t>Internal</w:t>
      </w:r>
    </w:p>
    <w:p>
      <w:pPr>
        <w:spacing w:after="80"/>
      </w:pPr>
      <w:r>
        <w:t>Vendor                                                                         Monitoring</w:t>
      </w:r>
    </w:p>
    <w:p>
      <w:pPr>
        <w:spacing w:after="80"/>
      </w:pPr>
      <w:r>
        <w:t>Applicahons</w:t>
      </w:r>
    </w:p>
    <w:p>
      <w:pPr>
        <w:spacing w:after="80"/>
      </w:pPr>
      <w:r>
        <w:t>Other (i.e.</w:t>
      </w:r>
    </w:p>
    <w:p>
      <w:pPr>
        <w:spacing w:after="80"/>
      </w:pPr>
      <w:r>
        <w:t>customers,</w:t>
      </w:r>
    </w:p>
    <w:p>
      <w:pPr>
        <w:spacing w:after="80"/>
      </w:pPr>
      <w:r>
        <w:t>Internet Service</w:t>
      </w:r>
    </w:p>
    <w:p>
      <w:pPr>
        <w:spacing w:after="80"/>
      </w:pPr>
      <w:r>
        <w:t>Provider (ISP)                                 Discovery                                            payment card</w:t>
      </w:r>
    </w:p>
    <w:p>
      <w:pPr>
        <w:spacing w:after="80"/>
      </w:pPr>
      <w:r>
        <w:t>brands, merchant</w:t>
      </w:r>
    </w:p>
    <w:p>
      <w:pPr>
        <w:spacing w:after="80"/>
      </w:pPr>
      <w:r>
        <w:t>bank, media)</w:t>
      </w:r>
    </w:p>
    <w:p>
      <w:pPr>
        <w:spacing w:after="80"/>
      </w:pPr>
      <w:r>
        <w:t>Once an individual or agency reports a potential incident, the recipient must escalate the potential incident to the IT IRT immediately regardless</w:t>
      </w:r>
    </w:p>
    <w:p>
      <w:pPr>
        <w:spacing w:after="80"/>
      </w:pPr>
      <w:r>
        <w:t>of the originating source of the report.</w:t>
      </w:r>
    </w:p>
    <w:p>
      <w:pPr>
        <w:spacing w:after="80"/>
      </w:pPr>
      <w:r>
        <w:t>Internal Use Only                               Page 12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 Corporate Information Security Policy (CISP)           Effective Date   3/30/2016</w:t>
      </w:r>
    </w:p>
    <w:p>
      <w:pPr>
        <w:spacing w:after="80"/>
      </w:pPr>
      <w:r>
        <w:t>Section    Incident Response                                      Document Owner   Authorized Representative</w:t>
      </w:r>
    </w:p>
    <w:p>
      <w:pPr>
        <w:spacing w:after="80"/>
      </w:pPr>
      <w:r>
        <w:t>Number     PLCY-INFOSEC-003                                       Version          1.0</w:t>
      </w:r>
    </w:p>
    <w:p>
      <w:pPr>
        <w:spacing w:after="80"/>
      </w:pPr>
      <w:r>
        <w:t>2 – Legal Involvement</w:t>
      </w:r>
    </w:p>
    <w:p>
      <w:pPr>
        <w:spacing w:after="80"/>
      </w:pPr>
      <w:r>
        <w:t>Before the Incident Response Team actively investigates a suspected incident, the Incident Response Team must notify Legal. If Legal initiates</w:t>
      </w:r>
    </w:p>
    <w:p>
      <w:pPr>
        <w:spacing w:after="80"/>
      </w:pPr>
      <w:r>
        <w:t>the investigation, all communication must flow through the appointed contact person until the contact grants permission to communicate the</w:t>
      </w:r>
    </w:p>
    <w:p>
      <w:pPr>
        <w:spacing w:after="80"/>
      </w:pPr>
      <w:r>
        <w:t>investigation to others.</w:t>
      </w:r>
    </w:p>
    <w:p>
      <w:pPr>
        <w:spacing w:after="80"/>
      </w:pPr>
      <w:r>
        <w:t>The Incident Response Team must consider the following activities:</w:t>
      </w:r>
    </w:p>
    <w:p>
      <w:pPr>
        <w:pStyle w:val="ListBullet"/>
      </w:pPr>
      <w:r>
        <w:t xml:space="preserve">   When involving any third parties, vendors, contracting companies, and sub-contracted entities in the incident, ACME Legal must review</w:t>
      </w:r>
    </w:p>
    <w:p>
      <w:pPr>
        <w:spacing w:after="80"/>
      </w:pPr>
      <w:r>
        <w:t>the associated:</w:t>
      </w:r>
    </w:p>
    <w:p>
      <w:pPr>
        <w:spacing w:after="80"/>
      </w:pPr>
      <w:r>
        <w:t>-   NDA agreements</w:t>
      </w:r>
    </w:p>
    <w:p>
      <w:pPr>
        <w:spacing w:after="80"/>
      </w:pPr>
      <w:r>
        <w:t>-   Confidentiality statements</w:t>
      </w:r>
    </w:p>
    <w:p>
      <w:pPr>
        <w:spacing w:after="80"/>
      </w:pPr>
      <w:r>
        <w:t>-   Incident reporting requirements</w:t>
      </w:r>
    </w:p>
    <w:p>
      <w:pPr>
        <w:spacing w:after="80"/>
      </w:pPr>
      <w:r>
        <w:t>-   Indemnification clauses</w:t>
      </w:r>
    </w:p>
    <w:p>
      <w:pPr>
        <w:spacing w:after="80"/>
      </w:pPr>
      <w:r>
        <w:t>-   Limitation of liability clauses</w:t>
      </w:r>
    </w:p>
    <w:p>
      <w:pPr>
        <w:spacing w:after="80"/>
      </w:pPr>
      <w:r>
        <w:t>-   Arbitration requirements</w:t>
      </w:r>
    </w:p>
    <w:p>
      <w:pPr>
        <w:spacing w:after="80"/>
      </w:pPr>
      <w:r>
        <w:t>-   Duty to report and notify</w:t>
      </w:r>
    </w:p>
    <w:p>
      <w:pPr>
        <w:spacing w:after="80"/>
      </w:pPr>
      <w:r>
        <w:t>-   Insurance clauses</w:t>
      </w:r>
    </w:p>
    <w:p>
      <w:pPr>
        <w:pStyle w:val="ListBullet"/>
      </w:pPr>
      <w:r>
        <w:t xml:space="preserve">   Legal must approve communication with external parties (i.e., outside legal, firms providing investigative services, insurance carriers (if</w:t>
      </w:r>
    </w:p>
    <w:p>
      <w:pPr>
        <w:spacing w:after="80"/>
      </w:pPr>
      <w:r>
        <w:t>necessitated due to a time trigger and duty to notify exists, etc.).</w:t>
      </w:r>
    </w:p>
    <w:p>
      <w:pPr>
        <w:pStyle w:val="ListBullet"/>
      </w:pPr>
      <w:r>
        <w:t xml:space="preserve">   The Incident Response Team must notify Legal of all individuals included in the investigation.</w:t>
      </w:r>
    </w:p>
    <w:p>
      <w:pPr>
        <w:pStyle w:val="ListBullet"/>
      </w:pPr>
      <w:r>
        <w:t xml:space="preserve">   Legal must communicate expectations of non-disclosure to all participants.</w:t>
      </w:r>
    </w:p>
    <w:p>
      <w:pPr>
        <w:pStyle w:val="ListBullet"/>
      </w:pPr>
      <w:r>
        <w:t xml:space="preserve">   Notify Legal HR if individuals involved are employees.</w:t>
      </w:r>
    </w:p>
    <w:p>
      <w:pPr>
        <w:spacing w:after="80"/>
      </w:pPr>
      <w:r>
        <w:t>Internal Use Only                               Page 13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 Corporate Information Security Policy (CISP)           Effective Date    3/30/2016</w:t>
      </w:r>
    </w:p>
    <w:p>
      <w:pPr>
        <w:spacing w:after="80"/>
      </w:pPr>
      <w:r>
        <w:t>Section    Incident Response                                      Document Owner    Authorized Representative</w:t>
      </w:r>
    </w:p>
    <w:p>
      <w:pPr>
        <w:spacing w:after="80"/>
      </w:pPr>
      <w:r>
        <w:t>Number     PLCY-INFOSEC-003                                       Version           1.0</w:t>
      </w:r>
    </w:p>
    <w:p>
      <w:pPr>
        <w:pStyle w:val="ListBullet"/>
      </w:pPr>
      <w:r>
        <w:t xml:space="preserve">   The Incident Response Team and Legal must continually reassess the need for external counsel engagement (such as when engaging a</w:t>
      </w:r>
    </w:p>
    <w:p>
      <w:pPr>
        <w:spacing w:after="80"/>
      </w:pPr>
      <w:r>
        <w:t>third-party forensic expert to conduct an investigation).</w:t>
      </w:r>
    </w:p>
    <w:p>
      <w:pPr>
        <w:pStyle w:val="ListBullet"/>
      </w:pPr>
      <w:r>
        <w:t xml:space="preserve">   Legal must issue litigation hold notices applicable to the relevant records, as appropriate or necessary.</w:t>
      </w:r>
    </w:p>
    <w:p>
      <w:pPr>
        <w:spacing w:after="80"/>
      </w:pPr>
      <w:r>
        <w:t>3 - Severity &amp; Escalation Determination</w:t>
      </w:r>
    </w:p>
    <w:p>
      <w:pPr>
        <w:spacing w:after="80"/>
      </w:pPr>
      <w:r>
        <w:t>The IT IRT led by the CISO shall determine the severity level and escalation actions of the incident through the incident handling process. The</w:t>
      </w:r>
    </w:p>
    <w:p>
      <w:pPr>
        <w:spacing w:after="80"/>
      </w:pPr>
      <w:r>
        <w:t>escalation process ensures involvement of the appropriate personnel based on the incident impact. The lowest escalation level capable of</w:t>
      </w:r>
    </w:p>
    <w:p>
      <w:pPr>
        <w:spacing w:after="80"/>
      </w:pPr>
      <w:r>
        <w:t>responding to an incident should handle the incident with as few resources as possible, to reduce the total impact, minimize the active</w:t>
      </w:r>
    </w:p>
    <w:p>
      <w:pPr>
        <w:spacing w:after="80"/>
      </w:pPr>
      <w:r>
        <w:t>participants, and ensure only appropriate parties are aware of the incident. [See the Incident Response [Team/Plan] for more detailed</w:t>
      </w:r>
    </w:p>
    <w:p>
      <w:pPr>
        <w:spacing w:after="80"/>
      </w:pPr>
      <w:r>
        <w:t>information regarding relevant roles and responsibilities and considerations for escalating an incident 3.1, 3.2, and 4.1.]</w:t>
      </w:r>
    </w:p>
    <w:p>
      <w:pPr>
        <w:spacing w:after="80"/>
      </w:pPr>
      <w:r>
        <w:t>Level 1                             Level 2                         Level 3                         Level 4</w:t>
      </w:r>
    </w:p>
    <w:p>
      <w:pPr>
        <w:spacing w:after="80"/>
      </w:pPr>
      <w:r>
        <w:t>General Scope of Situation     Discovery of a minor              A crisis incident with           A major incident with a         A catastrophic and</w:t>
      </w:r>
    </w:p>
    <w:p>
      <w:pPr>
        <w:spacing w:after="80"/>
      </w:pPr>
      <w:r>
        <w:t>incident                          impact to a localized area       serious impact on the           widespread incident</w:t>
      </w:r>
    </w:p>
    <w:p>
      <w:pPr>
        <w:spacing w:after="80"/>
      </w:pPr>
      <w:r>
        <w:t>company that does not</w:t>
      </w:r>
    </w:p>
    <w:p>
      <w:pPr>
        <w:spacing w:after="80"/>
      </w:pPr>
      <w:r>
        <w:t>pose a corporate-wide</w:t>
      </w:r>
    </w:p>
    <w:p>
      <w:pPr>
        <w:spacing w:after="80"/>
      </w:pPr>
      <w:r>
        <w:t>threat</w:t>
      </w:r>
    </w:p>
    <w:p>
      <w:pPr>
        <w:spacing w:after="80"/>
      </w:pPr>
      <w:r>
        <w:t>Examples:                         Examples:                        Examples:                       Examples:</w:t>
      </w:r>
    </w:p>
    <w:p>
      <w:pPr>
        <w:pStyle w:val="ListBullet"/>
      </w:pPr>
      <w:r>
        <w:t xml:space="preserve"> No indication of harm,          • Incident presents risk         • Larger scale suspicious       • Poses significant risk to</w:t>
      </w:r>
    </w:p>
    <w:p>
      <w:pPr>
        <w:spacing w:after="80"/>
      </w:pPr>
      <w:r>
        <w:t>data loss, misuse,                that a small amount of           activity involving critical     ACME, company-wide</w:t>
      </w:r>
    </w:p>
    <w:p>
      <w:pPr>
        <w:spacing w:after="80"/>
      </w:pPr>
      <w:r>
        <w:t>additional exposure, or           employee contact                 systems has been              • Reasonable likelihood of</w:t>
      </w:r>
    </w:p>
    <w:p>
      <w:pPr>
        <w:spacing w:after="80"/>
      </w:pPr>
      <w:r>
        <w:t>adverse impact                    information may have             detected                        misuse and adverse</w:t>
      </w:r>
    </w:p>
    <w:p>
      <w:pPr>
        <w:pStyle w:val="ListBullet"/>
      </w:pPr>
      <w:r>
        <w:t xml:space="preserve"> Incident presents                 been compromised at            • Compromised data may            impact to the business</w:t>
      </w:r>
    </w:p>
    <w:p>
      <w:pPr>
        <w:spacing w:after="80"/>
      </w:pPr>
      <w:r>
        <w:t>minimal risk that data            local level                      include unencrypted             Credible evidence (e.g.,</w:t>
      </w:r>
    </w:p>
    <w:p>
      <w:pPr>
        <w:spacing w:after="80"/>
      </w:pPr>
      <w:r>
        <w:t>Internal Use Only                                   Page 14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    Corporate Information Security Policy (CISP)           Effective Date   3/30/2016</w:t>
      </w:r>
    </w:p>
    <w:p>
      <w:pPr>
        <w:spacing w:after="80"/>
      </w:pPr>
      <w:r>
        <w:t>Section       Incident Response                                      Document Owner   Authorized Representative</w:t>
      </w:r>
    </w:p>
    <w:p>
      <w:pPr>
        <w:spacing w:after="80"/>
      </w:pPr>
      <w:r>
        <w:t>Number        PLCY-INFOSEC-003                                       Version          1.0</w:t>
      </w:r>
    </w:p>
    <w:p>
      <w:pPr>
        <w:spacing w:after="80"/>
      </w:pPr>
      <w:r>
        <w:t>has been compromised             • Indication that                 Personal Information [or     from law enforcement or</w:t>
      </w:r>
    </w:p>
    <w:p>
      <w:pPr>
        <w:spacing w:after="80"/>
      </w:pPr>
      <w:r>
        <w:t>compromised data may            Confidential                 card processor) of</w:t>
      </w:r>
    </w:p>
    <w:p>
      <w:pPr>
        <w:spacing w:after="80"/>
      </w:pPr>
      <w:r>
        <w:t>be in unencrypted form          Information]                 incident involving</w:t>
      </w:r>
    </w:p>
    <w:p>
      <w:pPr>
        <w:spacing w:after="80"/>
      </w:pPr>
      <w:r>
        <w:t>widespread</w:t>
      </w:r>
    </w:p>
    <w:p>
      <w:pPr>
        <w:pStyle w:val="ListBullet"/>
      </w:pPr>
      <w:r>
        <w:t xml:space="preserve"> Reasonable possibility       unauthorized access to</w:t>
      </w:r>
    </w:p>
    <w:p>
      <w:pPr>
        <w:spacing w:after="80"/>
      </w:pPr>
      <w:r>
        <w:t>that Personal                or acquisition, use or</w:t>
      </w:r>
    </w:p>
    <w:p>
      <w:pPr>
        <w:spacing w:after="80"/>
      </w:pPr>
      <w:r>
        <w:t>Information [or              disclosure of Personal</w:t>
      </w:r>
    </w:p>
    <w:p>
      <w:pPr>
        <w:spacing w:after="80"/>
      </w:pPr>
      <w:r>
        <w:t>Confidential                 Information [or</w:t>
      </w:r>
    </w:p>
    <w:p>
      <w:pPr>
        <w:spacing w:after="80"/>
      </w:pPr>
      <w:r>
        <w:t>Information] has been        Confidential</w:t>
      </w:r>
    </w:p>
    <w:p>
      <w:pPr>
        <w:spacing w:after="80"/>
      </w:pPr>
      <w:r>
        <w:t>accessed or acquired         Information]</w:t>
      </w:r>
    </w:p>
    <w:p>
      <w:pPr>
        <w:pStyle w:val="ListBullet"/>
      </w:pPr>
      <w:r>
        <w:t xml:space="preserve"> No indication of further   • Indication that media</w:t>
      </w:r>
    </w:p>
    <w:p>
      <w:pPr>
        <w:spacing w:after="80"/>
      </w:pPr>
      <w:r>
        <w:t>data misuse, additional      intends to report</w:t>
      </w:r>
    </w:p>
    <w:p>
      <w:pPr>
        <w:spacing w:after="80"/>
      </w:pPr>
      <w:r>
        <w:t>exposure, or adverse         suspected incident</w:t>
      </w:r>
    </w:p>
    <w:p>
      <w:pPr>
        <w:spacing w:after="80"/>
      </w:pPr>
      <w:r>
        <w:t>impact</w:t>
      </w:r>
    </w:p>
    <w:p>
      <w:pPr>
        <w:spacing w:after="80"/>
      </w:pPr>
      <w:r>
        <w:t>Team Involvement             •      Incident Response            •    Incident Response           • Incident Response          •    Incident Response</w:t>
      </w:r>
    </w:p>
    <w:p>
      <w:pPr>
        <w:spacing w:after="80"/>
      </w:pPr>
      <w:r>
        <w:t>Team                              Team                            Team                          Team</w:t>
      </w:r>
    </w:p>
    <w:p>
      <w:pPr>
        <w:pStyle w:val="ListBullet"/>
      </w:pPr>
      <w:r>
        <w:t xml:space="preserve">    CISO                        • CISO                       •    CISO</w:t>
      </w:r>
    </w:p>
    <w:p>
      <w:pPr>
        <w:pStyle w:val="ListBullet"/>
      </w:pPr>
      <w:r>
        <w:t xml:space="preserve">    Incident Response           • Incident Response          •    Incident Response</w:t>
      </w:r>
    </w:p>
    <w:p>
      <w:pPr>
        <w:spacing w:after="80"/>
      </w:pPr>
      <w:r>
        <w:t>Steering Committee              Steering Committee            Steering Committee</w:t>
      </w:r>
    </w:p>
    <w:p>
      <w:pPr>
        <w:pStyle w:val="ListBullet"/>
      </w:pPr>
      <w:r>
        <w:t xml:space="preserve"> ExCIRT                     •    ExCIRT</w:t>
      </w:r>
    </w:p>
    <w:p>
      <w:pPr>
        <w:spacing w:after="80"/>
      </w:pPr>
      <w:r>
        <w:t>Internal Use Only                               Page 15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Corporate Information Security Policy (CISP)           Effective Date   3/30/2016</w:t>
      </w:r>
    </w:p>
    <w:p>
      <w:pPr>
        <w:spacing w:after="80"/>
      </w:pPr>
      <w:r>
        <w:t>Section   Incident Response                                      Document Owner   Authorized Representative</w:t>
      </w:r>
    </w:p>
    <w:p>
      <w:pPr>
        <w:spacing w:after="80"/>
      </w:pPr>
      <w:r>
        <w:t>Number    PLCY-INFOSEC-003                                       Version          1.0</w:t>
      </w:r>
    </w:p>
    <w:p>
      <w:pPr>
        <w:spacing w:after="80"/>
      </w:pPr>
      <w:r>
        <w:t>4 - Launch Investigation</w:t>
      </w:r>
    </w:p>
    <w:p>
      <w:pPr>
        <w:spacing w:after="80"/>
      </w:pPr>
      <w:r>
        <w:t>During the investigation phase, incident handlers examine available evidence (e.g., port lists, system documentation, logs, network diagrams,</w:t>
      </w:r>
    </w:p>
    <w:p>
      <w:pPr>
        <w:spacing w:after="80"/>
      </w:pPr>
      <w:r>
        <w:t>standard machine images, expected system baselines) to determine the nature, scope and severity of an incident. The primary goal of incident</w:t>
      </w:r>
    </w:p>
    <w:p>
      <w:pPr>
        <w:spacing w:after="80"/>
      </w:pPr>
      <w:r>
        <w:t>management is to minimize adverse business impacts (including harm to affected individuals), with identification of the attacker considered a</w:t>
      </w:r>
    </w:p>
    <w:p>
      <w:pPr>
        <w:spacing w:after="80"/>
      </w:pPr>
      <w:r>
        <w:t>secondary goal.</w:t>
      </w:r>
    </w:p>
    <w:p>
      <w:pPr>
        <w:spacing w:after="80"/>
      </w:pPr>
      <w:r>
        <w:t>If appropriate, ACME shall engage external counsel, government entities, and forensics services (retained through external counsel, as</w:t>
      </w:r>
    </w:p>
    <w:p>
      <w:pPr>
        <w:spacing w:after="80"/>
      </w:pPr>
      <w:r>
        <w:t>appropriate) during the investigation phase. When escalating to any external parties, Legal must establish communication with these groups to</w:t>
      </w:r>
    </w:p>
    <w:p>
      <w:pPr>
        <w:spacing w:after="80"/>
      </w:pPr>
      <w:r>
        <w:t>maintain attorney-client privilege and/or work product where appropriate. Parties should perform forensics services on ACME premises if</w:t>
      </w:r>
    </w:p>
    <w:p>
      <w:pPr>
        <w:spacing w:after="80"/>
      </w:pPr>
      <w:r>
        <w:t>reasonably practicable unless such services are not available on site.</w:t>
      </w:r>
    </w:p>
    <w:p>
      <w:pPr>
        <w:spacing w:after="80"/>
      </w:pPr>
      <w:r>
        <w:t>Once the investigation phase begins and depending on the severity of the incident, the Incident Response Team may establish an isolated war</w:t>
      </w:r>
    </w:p>
    <w:p>
      <w:pPr>
        <w:spacing w:after="80"/>
      </w:pPr>
      <w:r>
        <w:t>room in the IT Service Office. The ExCIRT war room location will help ensure that all information remains confidential. Until proven otherwise,</w:t>
      </w:r>
    </w:p>
    <w:p>
      <w:pPr>
        <w:spacing w:after="80"/>
      </w:pPr>
      <w:r>
        <w:t>team members must use communication methods such as face-to-face discussions, telephone conversations or encrypted email to convey</w:t>
      </w:r>
    </w:p>
    <w:p>
      <w:pPr>
        <w:spacing w:after="80"/>
      </w:pPr>
      <w:r>
        <w:t>sensitive information, as attackers may have compromised other communication methods.</w:t>
      </w:r>
    </w:p>
    <w:p>
      <w:pPr>
        <w:spacing w:after="80"/>
      </w:pPr>
      <w:r>
        <w:t>If at any point during the investigation, the Incident Response Team determines the incident is Level 3 severity or higher, the Incident Response</w:t>
      </w:r>
    </w:p>
    <w:p>
      <w:pPr>
        <w:spacing w:after="80"/>
      </w:pPr>
      <w:r>
        <w:t>Team must inform the ExCIRT of the incident immediately and provide status updates to the ExCIRT twice daily.</w:t>
      </w:r>
    </w:p>
    <w:p>
      <w:pPr>
        <w:spacing w:after="80"/>
      </w:pPr>
      <w:r>
        <w:t>Use the following worksheet as appropriate to contain incidents and ensure proper preservation of evidence. The Incident Response Team</w:t>
      </w:r>
    </w:p>
    <w:p>
      <w:pPr>
        <w:spacing w:after="80"/>
      </w:pPr>
      <w:r>
        <w:t>should consider this worksheet as general guidance. Regardless of this general guidance, the Incident Response Team must consider the context</w:t>
      </w:r>
    </w:p>
    <w:p>
      <w:pPr>
        <w:spacing w:after="80"/>
      </w:pPr>
      <w:r>
        <w:t>of the particular security incident to make sure the actions of all persons support the first priority of protecting ACME’s data, network, and</w:t>
      </w:r>
    </w:p>
    <w:p>
      <w:pPr>
        <w:spacing w:after="80"/>
      </w:pPr>
      <w:r>
        <w:t>assets, as well as potentially affected individuals.</w:t>
      </w:r>
    </w:p>
    <w:p>
      <w:pPr>
        <w:spacing w:after="80"/>
      </w:pPr>
      <w:r>
        <w:t>Internal Use Only                               Page 16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Corporate Information Security Policy (CISP)           Effective Date   3/30/2016</w:t>
      </w:r>
    </w:p>
    <w:p>
      <w:pPr>
        <w:spacing w:after="80"/>
      </w:pPr>
      <w:r>
        <w:t>Section   Incident Response                                      Document Owner   Authorized Representative</w:t>
      </w:r>
    </w:p>
    <w:p>
      <w:pPr>
        <w:spacing w:after="80"/>
      </w:pPr>
      <w:r>
        <w:t>Number    PLCY-INFOSEC-003                                       Version          1.0</w:t>
      </w:r>
    </w:p>
    <w:p>
      <w:pPr>
        <w:spacing w:after="80"/>
      </w:pPr>
      <w:r>
        <w:t>Containment &amp; Evidence Preservation Worksheet</w:t>
      </w:r>
    </w:p>
    <w:p>
      <w:pPr>
        <w:spacing w:after="80"/>
      </w:pPr>
      <w:r>
        <w:t>To be completed by the Incident Response Team.</w:t>
      </w:r>
    </w:p>
    <w:p>
      <w:pPr>
        <w:spacing w:after="80"/>
      </w:pPr>
      <w:r>
        <w:t>□ Start a chronological log of incidents.</w:t>
      </w:r>
    </w:p>
    <w:p>
      <w:pPr>
        <w:spacing w:after="80"/>
      </w:pPr>
      <w:r>
        <w:t>□ Determine if the intruder is in the system still. Only after positive confirmation that the email system is secure and with Legal’s</w:t>
      </w:r>
    </w:p>
    <w:p>
      <w:pPr>
        <w:spacing w:after="80"/>
      </w:pPr>
      <w:r>
        <w:t>permission may email communications continue.</w:t>
      </w:r>
    </w:p>
    <w:p>
      <w:pPr>
        <w:spacing w:after="80"/>
      </w:pPr>
      <w:r>
        <w:t>□ If the incident is ongoing, consider taking steps to stop additional data loss and protect ACME systems, including taking off the network</w:t>
      </w:r>
    </w:p>
    <w:p>
      <w:pPr>
        <w:spacing w:after="80"/>
      </w:pPr>
      <w:r>
        <w:t>items listed below. To preserve evidence and ensure data and other critical information is not compromised, affected systems and other</w:t>
      </w:r>
    </w:p>
    <w:p>
      <w:pPr>
        <w:spacing w:after="80"/>
      </w:pPr>
      <w:r>
        <w:t>information resources should not be shut down or altered without prior approval from Legal.</w:t>
      </w:r>
    </w:p>
    <w:p>
      <w:pPr>
        <w:spacing w:after="80"/>
      </w:pPr>
      <w:r>
        <w:t>□ Machine (Security Engineer and Legal approval required)</w:t>
      </w:r>
    </w:p>
    <w:p>
      <w:pPr>
        <w:spacing w:after="80"/>
      </w:pPr>
      <w:r>
        <w:t>□ Server (CISO or designate and Legal approval required)</w:t>
      </w:r>
    </w:p>
    <w:p>
      <w:pPr>
        <w:spacing w:after="80"/>
      </w:pPr>
      <w:r>
        <w:t>□ System (CISO and Legal approval required)</w:t>
      </w:r>
    </w:p>
    <w:p>
      <w:pPr>
        <w:spacing w:after="80"/>
      </w:pPr>
      <w:r>
        <w:t>□ Entire network (CISO, Legal and ExCIRT approval required)</w:t>
      </w:r>
    </w:p>
    <w:p>
      <w:pPr>
        <w:spacing w:after="80"/>
      </w:pPr>
      <w:r>
        <w:t>□ Secure and prevent physical access to affected systems such as servers and workstations, to maintain the integrity of the evidence and</w:t>
      </w:r>
    </w:p>
    <w:p>
      <w:pPr>
        <w:spacing w:after="80"/>
      </w:pPr>
      <w:r>
        <w:t>ensure that only authorized persons have access to it</w:t>
      </w:r>
    </w:p>
    <w:p>
      <w:pPr>
        <w:spacing w:after="80"/>
      </w:pPr>
      <w:r>
        <w:t>□ Preserve security access devices including key cards, building credentials, logs, and surveillance tapes</w:t>
      </w:r>
    </w:p>
    <w:p>
      <w:pPr>
        <w:spacing w:after="80"/>
      </w:pPr>
      <w:r>
        <w:t>□ Track the chain of custody to determine who had contact with affected systems in what order and what actions they performed</w:t>
      </w:r>
    </w:p>
    <w:p>
      <w:pPr>
        <w:spacing w:after="80"/>
      </w:pPr>
      <w:r>
        <w:t>□ Inventory any missing hardware</w:t>
      </w:r>
    </w:p>
    <w:p>
      <w:pPr>
        <w:spacing w:after="80"/>
      </w:pPr>
      <w:r>
        <w:t>□ Preserve computer logs including:</w:t>
      </w:r>
    </w:p>
    <w:p>
      <w:pPr>
        <w:spacing w:after="80"/>
      </w:pPr>
      <w:r>
        <w:t>□ firewall</w:t>
      </w:r>
    </w:p>
    <w:p>
      <w:pPr>
        <w:spacing w:after="80"/>
      </w:pPr>
      <w:r>
        <w:t>Internal Use Only                               Page 17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 Corporate Information Security Policy (CISP)           Effective Date   3/30/2016</w:t>
      </w:r>
    </w:p>
    <w:p>
      <w:pPr>
        <w:spacing w:after="80"/>
      </w:pPr>
      <w:r>
        <w:t>Section    Incident Response                                      Document Owner   Authorized Representative</w:t>
      </w:r>
    </w:p>
    <w:p>
      <w:pPr>
        <w:spacing w:after="80"/>
      </w:pPr>
      <w:r>
        <w:t>Number     PLCY-INFOSEC-003                                       Version          1.0</w:t>
      </w:r>
    </w:p>
    <w:p>
      <w:pPr>
        <w:spacing w:after="80"/>
      </w:pPr>
      <w:r>
        <w:t>□ VPN</w:t>
      </w:r>
    </w:p>
    <w:p>
      <w:pPr>
        <w:spacing w:after="80"/>
      </w:pPr>
      <w:r>
        <w:t>□ mail</w:t>
      </w:r>
    </w:p>
    <w:p>
      <w:pPr>
        <w:spacing w:after="80"/>
      </w:pPr>
      <w:r>
        <w:t>□ network</w:t>
      </w:r>
    </w:p>
    <w:p>
      <w:pPr>
        <w:spacing w:after="80"/>
      </w:pPr>
      <w:r>
        <w:t>□ client</w:t>
      </w:r>
    </w:p>
    <w:p>
      <w:pPr>
        <w:spacing w:after="80"/>
      </w:pPr>
      <w:r>
        <w:t>□ web</w:t>
      </w:r>
    </w:p>
    <w:p>
      <w:pPr>
        <w:spacing w:after="80"/>
      </w:pPr>
      <w:r>
        <w:t>□ server</w:t>
      </w:r>
    </w:p>
    <w:p>
      <w:pPr>
        <w:spacing w:after="80"/>
      </w:pPr>
      <w:r>
        <w:t>□ Intrusion Detection System logs</w:t>
      </w:r>
    </w:p>
    <w:p>
      <w:pPr>
        <w:spacing w:after="80"/>
      </w:pPr>
      <w:r>
        <w:t>□ Where applicable, obtain:</w:t>
      </w:r>
    </w:p>
    <w:p>
      <w:pPr>
        <w:spacing w:after="80"/>
      </w:pPr>
      <w:r>
        <w:t>□ A list of all of the persons who had access to the affected systems</w:t>
      </w:r>
    </w:p>
    <w:p>
      <w:pPr>
        <w:spacing w:after="80"/>
      </w:pPr>
      <w:r>
        <w:t>□ A list of all associates and contingent workers terminated within the last 90 to 120 days (or other relevant time period) and confirm</w:t>
      </w:r>
    </w:p>
    <w:p>
      <w:pPr>
        <w:spacing w:after="80"/>
      </w:pPr>
      <w:r>
        <w:t>System Administrators terminated their access to the affected systems correctly</w:t>
      </w:r>
    </w:p>
    <w:p>
      <w:pPr>
        <w:spacing w:after="80"/>
      </w:pPr>
      <w:r>
        <w:t>□ At the direction of the CISO (and with the approval of Legal), reissue or force security access changes (e.g., change passwords and issue</w:t>
      </w:r>
    </w:p>
    <w:p>
      <w:pPr>
        <w:spacing w:after="80"/>
      </w:pPr>
      <w:r>
        <w:t>new access devices)</w:t>
      </w:r>
    </w:p>
    <w:p>
      <w:pPr>
        <w:spacing w:after="80"/>
      </w:pPr>
      <w:r>
        <w:t>□ Do not probe computers and affected systems, as these actions could alter or destroy evidence or alert intruders of ACME’s</w:t>
      </w:r>
    </w:p>
    <w:p>
      <w:pPr>
        <w:spacing w:after="80"/>
      </w:pPr>
      <w:r>
        <w:t>investigation, leading to the intruder taking steps to alter or otherwise damage systems to hide their actions</w:t>
      </w:r>
    </w:p>
    <w:p>
      <w:pPr>
        <w:spacing w:after="80"/>
      </w:pPr>
      <w:r>
        <w:t>□ Do not turn off computers and affected systems, as valuable information can be stored in temporary memory storage spaces that could</w:t>
      </w:r>
    </w:p>
    <w:p>
      <w:pPr>
        <w:spacing w:after="80"/>
      </w:pPr>
      <w:r>
        <w:t>be lost if they are unnecessarily turned off</w:t>
      </w:r>
    </w:p>
    <w:p>
      <w:pPr>
        <w:spacing w:after="80"/>
      </w:pPr>
      <w:r>
        <w:t>□ If an affected system is on and connected, leave it on and connected. As determined by the CISO and Legal, work with forensic experts</w:t>
      </w:r>
    </w:p>
    <w:p>
      <w:pPr>
        <w:spacing w:after="80"/>
      </w:pPr>
      <w:r>
        <w:t>to capture a dynamic image of the environment before disconnecting it, to avoid tipping cyber criminals to the fact that you are aware of</w:t>
      </w:r>
    </w:p>
    <w:p>
      <w:pPr>
        <w:spacing w:after="80"/>
      </w:pPr>
      <w:r>
        <w:t>the breach and to preserve evidence that they might otherwise destroy to conceal their activities</w:t>
      </w:r>
    </w:p>
    <w:p>
      <w:pPr>
        <w:spacing w:after="80"/>
      </w:pPr>
      <w:r>
        <w:t>Internal Use Only                               Page 18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 Corporate Information Security Policy (CISP)           Effective Date   3/30/2016</w:t>
      </w:r>
    </w:p>
    <w:p>
      <w:pPr>
        <w:spacing w:after="80"/>
      </w:pPr>
      <w:r>
        <w:t>Section    Incident Response                                      Document Owner   Authorized Representative</w:t>
      </w:r>
    </w:p>
    <w:p>
      <w:pPr>
        <w:spacing w:after="80"/>
      </w:pPr>
      <w:r>
        <w:t>Number     PLCY-INFOSEC-003                                       Version          1.0</w:t>
      </w:r>
    </w:p>
    <w:p>
      <w:pPr>
        <w:spacing w:after="80"/>
      </w:pPr>
      <w:r>
        <w:t>□ If the system is off, unplug it</w:t>
      </w:r>
    </w:p>
    <w:p>
      <w:pPr>
        <w:spacing w:after="80"/>
      </w:pPr>
      <w:r>
        <w:t>□ Do not run antivirus programs or utilities without prior approval from Legal, as running programs or utilities on the affected systems</w:t>
      </w:r>
    </w:p>
    <w:p>
      <w:pPr>
        <w:spacing w:after="80"/>
      </w:pPr>
      <w:r>
        <w:t>could result in accidental loss or destruction of evidence</w:t>
      </w:r>
    </w:p>
    <w:p>
      <w:pPr>
        <w:spacing w:after="80"/>
      </w:pPr>
      <w:r>
        <w:t>□ Do not reconnect affected systems</w:t>
      </w:r>
    </w:p>
    <w:p>
      <w:pPr>
        <w:spacing w:after="80"/>
      </w:pPr>
      <w:r>
        <w:t>□ As directed by the CISO and Legal, preserve affected systems until forensic or law enforcement personnel complete examination and</w:t>
      </w:r>
    </w:p>
    <w:p>
      <w:pPr>
        <w:spacing w:after="80"/>
      </w:pPr>
      <w:r>
        <w:t>remediation efforts</w:t>
      </w:r>
    </w:p>
    <w:p>
      <w:pPr>
        <w:spacing w:after="80"/>
      </w:pPr>
      <w:r>
        <w:t>□ Remember cleaned systems are not always clean, as attackers design backdoors and persistent threats to lull personnel into a false</w:t>
      </w:r>
    </w:p>
    <w:p>
      <w:pPr>
        <w:spacing w:after="80"/>
      </w:pPr>
      <w:r>
        <w:t>sense of security. All affected systems should go through rigorous testing and verification before being reconnected to the network</w:t>
      </w:r>
    </w:p>
    <w:p>
      <w:pPr>
        <w:spacing w:after="80"/>
      </w:pPr>
      <w:r>
        <w:t>5 - Notification Preparation</w:t>
      </w:r>
    </w:p>
    <w:p>
      <w:pPr>
        <w:spacing w:after="80"/>
      </w:pPr>
      <w:r>
        <w:t>If the Incident Response Team determines that legal breach notification is not required, the Incident Response Team, as directed by Legal, must</w:t>
      </w:r>
    </w:p>
    <w:p>
      <w:pPr>
        <w:spacing w:after="80"/>
      </w:pPr>
      <w:r>
        <w:t>produce a report with the supporting rationale. This report, at a minimum, must discuss legal exceptions to notice requirements and contain</w:t>
      </w:r>
    </w:p>
    <w:p>
      <w:pPr>
        <w:spacing w:after="80"/>
      </w:pPr>
      <w:r>
        <w:t>supporting forensic evidence and conclusions.</w:t>
      </w:r>
    </w:p>
    <w:p>
      <w:pPr>
        <w:spacing w:after="80"/>
      </w:pPr>
      <w:r>
        <w:t>If the Incident Response Team determines, as directed by Legal, that notification is required or advisable, or a source leaks the security incident</w:t>
      </w:r>
    </w:p>
    <w:p>
      <w:pPr>
        <w:spacing w:after="80"/>
      </w:pPr>
      <w:r>
        <w:t>to the media, the Incident Response Team must prepare a timeline (overseen by Legal) that includes tasks and responsibilities for notification</w:t>
      </w:r>
    </w:p>
    <w:p>
      <w:pPr>
        <w:spacing w:after="80"/>
      </w:pPr>
      <w:r>
        <w:t>and remediation plans. These plans should address the audiences identified in the following diagram.</w:t>
      </w:r>
    </w:p>
    <w:p>
      <w:pPr>
        <w:spacing w:after="80"/>
      </w:pPr>
      <w:r>
        <w:t>Internal Use Only                               Page 19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   Corporate Information Security Policy (CISP)               Effective Date             3/30/2016</w:t>
      </w:r>
    </w:p>
    <w:p>
      <w:pPr>
        <w:spacing w:after="80"/>
      </w:pPr>
      <w:r>
        <w:t>Section      Incident Response                                          Document Owner             Authorized Representative</w:t>
      </w:r>
    </w:p>
    <w:p>
      <w:pPr>
        <w:spacing w:after="80"/>
      </w:pPr>
      <w:r>
        <w:t>Number       PLCY-INFOSEC-003                                           Version                    1.0</w:t>
      </w:r>
    </w:p>
    <w:p>
      <w:pPr>
        <w:spacing w:after="80"/>
      </w:pPr>
      <w:r>
        <w:t>Media</w:t>
      </w:r>
    </w:p>
    <w:p>
      <w:pPr>
        <w:spacing w:after="80"/>
      </w:pPr>
      <w:r>
        <w:t>Law</w:t>
      </w:r>
    </w:p>
    <w:p>
      <w:pPr>
        <w:spacing w:after="80"/>
      </w:pPr>
      <w:r>
        <w:t>Enforcement                               Associates</w:t>
      </w:r>
    </w:p>
    <w:p>
      <w:pPr>
        <w:spacing w:after="80"/>
      </w:pPr>
      <w:r>
        <w:t>Internahonal,</w:t>
      </w:r>
    </w:p>
    <w:p>
      <w:pPr>
        <w:spacing w:after="80"/>
      </w:pPr>
      <w:r>
        <w:t>Card Brands                                                          Federal, State</w:t>
      </w:r>
    </w:p>
    <w:p>
      <w:pPr>
        <w:spacing w:after="80"/>
      </w:pPr>
      <w:r>
        <w:t>and Issuing                                                            and Other</w:t>
      </w:r>
    </w:p>
    <w:p>
      <w:pPr>
        <w:spacing w:after="80"/>
      </w:pPr>
      <w:r>
        <w:t>Banks</w:t>
      </w:r>
    </w:p>
    <w:p>
      <w:pPr>
        <w:spacing w:after="80"/>
      </w:pPr>
      <w:r>
        <w:t>Regulators</w:t>
      </w:r>
    </w:p>
    <w:p>
      <w:pPr>
        <w:spacing w:after="80"/>
      </w:pPr>
      <w:r>
        <w:t>Relevant                                                                              Investment</w:t>
      </w:r>
    </w:p>
    <w:p>
      <w:pPr>
        <w:spacing w:after="80"/>
      </w:pPr>
      <w:r>
        <w:t>Vendors                              Nohﬁcahon                                        Community</w:t>
      </w:r>
    </w:p>
    <w:p>
      <w:pPr>
        <w:spacing w:after="80"/>
      </w:pPr>
      <w:r>
        <w:t>Consumer                                                               Board of</w:t>
      </w:r>
    </w:p>
    <w:p>
      <w:pPr>
        <w:spacing w:after="80"/>
      </w:pPr>
      <w:r>
        <w:t>Agencies                                                              Directors</w:t>
      </w:r>
    </w:p>
    <w:p>
      <w:pPr>
        <w:spacing w:after="80"/>
      </w:pPr>
      <w:r>
        <w:t>Key Business</w:t>
      </w:r>
    </w:p>
    <w:p>
      <w:pPr>
        <w:spacing w:after="80"/>
      </w:pPr>
      <w:r>
        <w:t>Partners                                Customers</w:t>
      </w:r>
    </w:p>
    <w:p>
      <w:pPr>
        <w:spacing w:after="80"/>
      </w:pPr>
      <w:r>
        <w:t>Insurance</w:t>
      </w:r>
    </w:p>
    <w:p>
      <w:pPr>
        <w:spacing w:after="80"/>
      </w:pPr>
      <w:r>
        <w:t>Carrier</w:t>
      </w:r>
    </w:p>
    <w:p>
      <w:pPr>
        <w:spacing w:after="80"/>
      </w:pPr>
      <w:r>
        <w:t>Internal Use Only                                          Page 20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Corporate Information Security Policy (CISP)           Effective Date   3/30/2016</w:t>
      </w:r>
    </w:p>
    <w:p>
      <w:pPr>
        <w:spacing w:after="80"/>
      </w:pPr>
      <w:r>
        <w:t>Section   Incident Response                                      Document Owner   Authorized Representative</w:t>
      </w:r>
    </w:p>
    <w:p>
      <w:pPr>
        <w:spacing w:after="80"/>
      </w:pPr>
      <w:r>
        <w:t>Number    PLCY-INFOSEC-003                                       Version          1.0</w:t>
      </w:r>
    </w:p>
    <w:p>
      <w:pPr>
        <w:spacing w:after="80"/>
      </w:pPr>
      <w:r>
        <w:t>6 - Engagement Requirements</w:t>
      </w:r>
    </w:p>
    <w:p>
      <w:pPr>
        <w:spacing w:after="80"/>
      </w:pPr>
      <w:r>
        <w:t>The notification and recovery timeline must include the following tasks, with target completion dates and responsibilities for each task:</w:t>
      </w:r>
    </w:p>
    <w:p>
      <w:pPr>
        <w:spacing w:after="80"/>
      </w:pPr>
      <w:r>
        <w:t>□ Engage external legal counsel</w:t>
      </w:r>
    </w:p>
    <w:p>
      <w:pPr>
        <w:spacing w:after="80"/>
      </w:pPr>
      <w:r>
        <w:t>□ Engage external forensic experts</w:t>
      </w:r>
    </w:p>
    <w:p>
      <w:pPr>
        <w:spacing w:after="80"/>
      </w:pPr>
      <w:r>
        <w:t>□ Engage external public relations experts</w:t>
      </w:r>
    </w:p>
    <w:p>
      <w:pPr>
        <w:spacing w:after="80"/>
      </w:pPr>
      <w:r>
        <w:t>□ Develop draft communications and FAQs to key audiences including:</w:t>
      </w:r>
    </w:p>
    <w:p>
      <w:pPr>
        <w:spacing w:after="80"/>
      </w:pPr>
      <w:r>
        <w:t>□ Insurance carriers (under confidentiality protocol)</w:t>
      </w:r>
    </w:p>
    <w:p>
      <w:pPr>
        <w:spacing w:after="80"/>
      </w:pPr>
      <w:r>
        <w:t>□ International, federal, state, and other regulators</w:t>
      </w:r>
    </w:p>
    <w:p>
      <w:pPr>
        <w:spacing w:after="80"/>
      </w:pPr>
      <w:r>
        <w:t>□ Payment card issuers and banks</w:t>
      </w:r>
    </w:p>
    <w:p>
      <w:pPr>
        <w:spacing w:after="80"/>
      </w:pPr>
      <w:r>
        <w:t>□ Law enforcement authorities</w:t>
      </w:r>
    </w:p>
    <w:p>
      <w:pPr>
        <w:spacing w:after="80"/>
      </w:pPr>
      <w:r>
        <w:t>□ Consumer reporting agencies</w:t>
      </w:r>
    </w:p>
    <w:p>
      <w:pPr>
        <w:spacing w:after="80"/>
      </w:pPr>
      <w:r>
        <w:t>□ Relevant vendors</w:t>
      </w:r>
    </w:p>
    <w:p>
      <w:pPr>
        <w:spacing w:after="80"/>
      </w:pPr>
      <w:r>
        <w:t>□ Media</w:t>
      </w:r>
    </w:p>
    <w:p>
      <w:pPr>
        <w:spacing w:after="80"/>
      </w:pPr>
      <w:r>
        <w:t>□ Associates, customers or other affected individuals</w:t>
      </w:r>
    </w:p>
    <w:p>
      <w:pPr>
        <w:spacing w:after="80"/>
      </w:pPr>
      <w:r>
        <w:t>□ Key business partners</w:t>
      </w:r>
    </w:p>
    <w:p>
      <w:pPr>
        <w:spacing w:after="80"/>
      </w:pPr>
      <w:r>
        <w:t>□ Board of directors</w:t>
      </w:r>
    </w:p>
    <w:p>
      <w:pPr>
        <w:spacing w:after="80"/>
      </w:pPr>
      <w:r>
        <w:t>□ Investment community</w:t>
      </w:r>
    </w:p>
    <w:p>
      <w:pPr>
        <w:spacing w:after="80"/>
      </w:pPr>
      <w:r>
        <w:t>□ Involved vendors</w:t>
      </w:r>
    </w:p>
    <w:p>
      <w:pPr>
        <w:spacing w:after="80"/>
      </w:pPr>
      <w:r>
        <w:t>Internal Use Only                               Page 21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Corporate Information Security Policy (CISP)           Effective Date   3/30/2016</w:t>
      </w:r>
    </w:p>
    <w:p>
      <w:pPr>
        <w:spacing w:after="80"/>
      </w:pPr>
      <w:r>
        <w:t>Section   Incident Response                                      Document Owner   Authorized Representative</w:t>
      </w:r>
    </w:p>
    <w:p>
      <w:pPr>
        <w:spacing w:after="80"/>
      </w:pPr>
      <w:r>
        <w:t>Number    PLCY-INFOSEC-003                                       Version          1.0</w:t>
      </w:r>
    </w:p>
    <w:p>
      <w:pPr>
        <w:spacing w:after="80"/>
      </w:pPr>
      <w:r>
        <w:t>□ Arrange for remediation services (such as credit monitoring or identity protection) for affected data subjects</w:t>
      </w:r>
    </w:p>
    <w:p>
      <w:pPr>
        <w:spacing w:after="80"/>
      </w:pPr>
      <w:r>
        <w:t>□ Arrange for increased call center volume (e.g., consider engaging external call center)</w:t>
      </w:r>
    </w:p>
    <w:p>
      <w:pPr>
        <w:spacing w:after="80"/>
      </w:pPr>
      <w:r>
        <w:t>□ Monitor media outlets (including social media) for leaks</w:t>
      </w:r>
    </w:p>
    <w:p>
      <w:pPr>
        <w:spacing w:after="80"/>
      </w:pPr>
      <w:r>
        <w:t>□ Provide associates instructions for escalating media requests and calls that are legal in nature</w:t>
      </w:r>
    </w:p>
    <w:p>
      <w:pPr>
        <w:spacing w:after="80"/>
      </w:pPr>
      <w:r>
        <w:t>□ Prepare ACME representatives who will address the media</w:t>
      </w:r>
    </w:p>
    <w:p>
      <w:pPr>
        <w:spacing w:after="80"/>
      </w:pPr>
      <w:r>
        <w:t>7 - Analysis of Facts &amp; Forensics: Statement of Facts</w:t>
      </w:r>
    </w:p>
    <w:p>
      <w:pPr>
        <w:spacing w:after="80"/>
      </w:pPr>
      <w:r>
        <w:t>At all phases during the incident, the Incident Response Team must understand and document the facts of the case. While not all encompassing,</w:t>
      </w:r>
    </w:p>
    <w:p>
      <w:pPr>
        <w:spacing w:after="80"/>
      </w:pPr>
      <w:r>
        <w:t>the following Statement of Facts Worksheet ensures the Incident Response Team asks basic questions and documents the answers. These facts</w:t>
      </w:r>
    </w:p>
    <w:p>
      <w:pPr>
        <w:spacing w:after="80"/>
      </w:pPr>
      <w:r>
        <w:t>will aid forensic investigators, Legal and internal response teams when reviewing and aligning incidents and keeping investigations organized and</w:t>
      </w:r>
    </w:p>
    <w:p>
      <w:pPr>
        <w:spacing w:after="80"/>
      </w:pPr>
      <w:r>
        <w:t>on track.</w:t>
      </w:r>
    </w:p>
    <w:p>
      <w:pPr>
        <w:spacing w:after="80"/>
      </w:pPr>
      <w:r>
        <w:t>Statement of Facts Worksheet</w:t>
      </w:r>
    </w:p>
    <w:p>
      <w:pPr>
        <w:spacing w:after="80"/>
      </w:pPr>
      <w:r>
        <w:t>To be completed by the Incident Response Team.</w:t>
      </w:r>
    </w:p>
    <w:p>
      <w:pPr>
        <w:spacing w:after="80"/>
      </w:pPr>
      <w:r>
        <w:t>□ Who reported the incident and how was it discovered?</w:t>
      </w:r>
    </w:p>
    <w:p>
      <w:pPr>
        <w:spacing w:after="80"/>
      </w:pPr>
      <w:r>
        <w:t>□ Did internal protection or monitoring systems alert associates of this incident?</w:t>
      </w:r>
    </w:p>
    <w:p>
      <w:pPr>
        <w:spacing w:after="80"/>
      </w:pPr>
      <w:r>
        <w:t>□ How and where did the incident occur?</w:t>
      </w:r>
    </w:p>
    <w:p>
      <w:pPr>
        <w:spacing w:after="80"/>
      </w:pPr>
      <w:r>
        <w:t>□ Have we identified the attacker?</w:t>
      </w:r>
    </w:p>
    <w:p>
      <w:pPr>
        <w:spacing w:after="80"/>
      </w:pPr>
      <w:r>
        <w:t>□ What happened?</w:t>
      </w:r>
    </w:p>
    <w:p>
      <w:pPr>
        <w:spacing w:after="80"/>
      </w:pPr>
      <w:r>
        <w:t>□ When did the incident occur, and is it ongoing? What appears to be the time window of vulnerability?</w:t>
      </w:r>
    </w:p>
    <w:p>
      <w:pPr>
        <w:spacing w:after="80"/>
      </w:pPr>
      <w:r>
        <w:t>Internal Use Only                               Page 22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Corporate Information Security Policy (CISP)           Effective Date   3/30/2016</w:t>
      </w:r>
    </w:p>
    <w:p>
      <w:pPr>
        <w:spacing w:after="80"/>
      </w:pPr>
      <w:r>
        <w:t>Section   Incident Response                                      Document Owner   Authorized Representative</w:t>
      </w:r>
    </w:p>
    <w:p>
      <w:pPr>
        <w:spacing w:after="80"/>
      </w:pPr>
      <w:r>
        <w:t>Number    PLCY-INFOSEC-003                                       Version          1.0</w:t>
      </w:r>
    </w:p>
    <w:p>
      <w:pPr>
        <w:spacing w:after="80"/>
      </w:pPr>
      <w:r>
        <w:t>□ What systems or areas of the network are involved? How many locations are impacted?</w:t>
      </w:r>
    </w:p>
    <w:p>
      <w:pPr>
        <w:spacing w:after="80"/>
      </w:pPr>
      <w:r>
        <w:t>□ Is the damage controlled?</w:t>
      </w:r>
    </w:p>
    <w:p>
      <w:pPr>
        <w:spacing w:after="80"/>
      </w:pPr>
      <w:r>
        <w:t>□ What data elements are potentially compromised and what are the states and countries of residence of the potentially affected</w:t>
      </w:r>
    </w:p>
    <w:p>
      <w:pPr>
        <w:spacing w:after="80"/>
      </w:pPr>
      <w:r>
        <w:t>individuals?</w:t>
      </w:r>
    </w:p>
    <w:p>
      <w:pPr>
        <w:spacing w:after="80"/>
      </w:pPr>
      <w:r>
        <w:t>□ Did the incident involve a compromise of cardholder information? If payment cards were affected, what types of cards are they (e.g.,</w:t>
      </w:r>
    </w:p>
    <w:p>
      <w:pPr>
        <w:spacing w:after="80"/>
      </w:pPr>
      <w:r>
        <w:t>determine the relevant brands and debit vs. credit)?</w:t>
      </w:r>
    </w:p>
    <w:p>
      <w:pPr>
        <w:spacing w:after="80"/>
      </w:pPr>
      <w:r>
        <w:t>□ Was the potentially compromised information in electronic or hard-copy form?</w:t>
      </w:r>
    </w:p>
    <w:p>
      <w:pPr>
        <w:spacing w:after="80"/>
      </w:pPr>
      <w:r>
        <w:t>□ What was the volume of data that was potentially compromised?</w:t>
      </w:r>
    </w:p>
    <w:p>
      <w:pPr>
        <w:spacing w:after="80"/>
      </w:pPr>
      <w:r>
        <w:t>□ Was the data encrypted or redacted?</w:t>
      </w:r>
    </w:p>
    <w:p>
      <w:pPr>
        <w:spacing w:after="80"/>
      </w:pPr>
      <w:r>
        <w:t>□ If the data was encrypted? Was the encryption key compromised?</w:t>
      </w:r>
    </w:p>
    <w:p>
      <w:pPr>
        <w:spacing w:after="80"/>
      </w:pPr>
      <w:r>
        <w:t>□ Was the relevant information in ACME’s possession or in the possession, custody or control of a third party (e.g., vendor)? If in the</w:t>
      </w:r>
    </w:p>
    <w:p>
      <w:pPr>
        <w:spacing w:after="80"/>
      </w:pPr>
      <w:r>
        <w:t>possession, custody or control of a third party, is there any evidence that the third party disseminated the relevant information to</w:t>
      </w:r>
    </w:p>
    <w:p>
      <w:pPr>
        <w:spacing w:after="80"/>
      </w:pPr>
      <w:r>
        <w:t>others?</w:t>
      </w:r>
    </w:p>
    <w:p>
      <w:pPr>
        <w:spacing w:after="80"/>
      </w:pPr>
      <w:r>
        <w:t>□ Is there evidence that the relevant information has been misused or likely will be misused? Is there evidence that the incident likely will</w:t>
      </w:r>
    </w:p>
    <w:p>
      <w:pPr>
        <w:spacing w:after="80"/>
      </w:pPr>
      <w:r>
        <w:t>result in harm to affected individuals or ACME?</w:t>
      </w:r>
    </w:p>
    <w:p>
      <w:pPr>
        <w:spacing w:after="80"/>
      </w:pPr>
      <w:r>
        <w:t>□ When will teams complete the forensics report?</w:t>
      </w:r>
    </w:p>
    <w:p>
      <w:pPr>
        <w:spacing w:after="80"/>
      </w:pPr>
      <w:r>
        <w:t>□ Have we identified any of the exploited deficiencies previously?</w:t>
      </w:r>
    </w:p>
    <w:p>
      <w:pPr>
        <w:spacing w:after="80"/>
      </w:pPr>
      <w:r>
        <w:t>□ What technologies or processes could have prevented this incident?</w:t>
      </w:r>
    </w:p>
    <w:p>
      <w:pPr>
        <w:spacing w:after="80"/>
      </w:pPr>
      <w:r>
        <w:t>□ Did the incident affect any ACME business units?</w:t>
      </w:r>
    </w:p>
    <w:p>
      <w:pPr>
        <w:spacing w:after="80"/>
      </w:pPr>
      <w:r>
        <w:t>□ Did the incident affect any domestic (i.e., US) or international customers, associates, or systems?</w:t>
      </w:r>
    </w:p>
    <w:p>
      <w:pPr>
        <w:spacing w:after="80"/>
      </w:pPr>
      <w:r>
        <w:t>Internal Use Only                               Page 23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Corporate Information Security Policy (CISP)           Effective Date   3/30/2016</w:t>
      </w:r>
    </w:p>
    <w:p>
      <w:pPr>
        <w:spacing w:after="80"/>
      </w:pPr>
      <w:r>
        <w:t>Section   Incident Response                                      Document Owner   Authorized Representative</w:t>
      </w:r>
    </w:p>
    <w:p>
      <w:pPr>
        <w:spacing w:after="80"/>
      </w:pPr>
      <w:r>
        <w:t>Number    PLCY-INFOSEC-003                                       Version          1.0</w:t>
      </w:r>
    </w:p>
    <w:p>
      <w:pPr>
        <w:spacing w:after="80"/>
      </w:pPr>
      <w:r>
        <w:t>8 - Advise ExCIRT &amp; Determine Action Plan</w:t>
      </w:r>
    </w:p>
    <w:p>
      <w:pPr>
        <w:spacing w:after="80"/>
      </w:pPr>
      <w:r>
        <w:t>The Incident Response Team must complete the following worksheets as a prerequisite for this step:</w:t>
      </w:r>
    </w:p>
    <w:p>
      <w:pPr>
        <w:spacing w:after="80"/>
      </w:pPr>
      <w:r>
        <w:t>□ Statement of Facts Worksheet</w:t>
      </w:r>
    </w:p>
    <w:p>
      <w:pPr>
        <w:spacing w:after="80"/>
      </w:pPr>
      <w:r>
        <w:t>□ Engagement Requirements Worksheet</w:t>
      </w:r>
    </w:p>
    <w:p>
      <w:pPr>
        <w:spacing w:after="80"/>
      </w:pPr>
      <w:r>
        <w:t>The Incident Response Team must summarize all worksheets completed in the incident response process into a presentation, along with the</w:t>
      </w:r>
    </w:p>
    <w:p>
      <w:pPr>
        <w:spacing w:after="80"/>
      </w:pPr>
      <w:r>
        <w:t>recommended action plan for the ExCIRT’s approval.</w:t>
      </w:r>
    </w:p>
    <w:p>
      <w:pPr>
        <w:spacing w:after="80"/>
      </w:pPr>
      <w:r>
        <w:t>The Incident Response Team must provide updates to the ExCIRT for Level 3 or higher incidents twice daily.</w:t>
      </w:r>
    </w:p>
    <w:p>
      <w:pPr>
        <w:spacing w:after="80"/>
      </w:pPr>
      <w:r>
        <w:t>9 - Determination of Notification</w:t>
      </w:r>
    </w:p>
    <w:p>
      <w:pPr>
        <w:spacing w:after="80"/>
      </w:pPr>
      <w:r>
        <w:t>As soon as the Incident Response Team understands and confirms the nature and scope of the incident, the Incident Response Team and Legal</w:t>
      </w:r>
    </w:p>
    <w:p>
      <w:pPr>
        <w:spacing w:after="80"/>
      </w:pPr>
      <w:r>
        <w:t>must determine notification requirements. Legal must initiate or otherwise make all notifications to ensure we meet the appropriate legal</w:t>
      </w:r>
    </w:p>
    <w:p>
      <w:pPr>
        <w:spacing w:after="80"/>
      </w:pPr>
      <w:r>
        <w:t>requirements and to maintain privilege. The Incident Response Team must use the following worksheet to ensure consistent notification. Once</w:t>
      </w:r>
    </w:p>
    <w:p>
      <w:pPr>
        <w:spacing w:after="80"/>
      </w:pPr>
      <w:r>
        <w:t>the Incident Response Team and Legal identify the proper notifications, use the steps and considerations in Section 9 for proper dissemination of</w:t>
      </w:r>
    </w:p>
    <w:p>
      <w:pPr>
        <w:spacing w:after="80"/>
      </w:pPr>
      <w:r>
        <w:t>information.</w:t>
      </w:r>
    </w:p>
    <w:p>
      <w:pPr>
        <w:spacing w:after="80"/>
      </w:pPr>
      <w:r>
        <w:t>Determination of Notification Worksheet</w:t>
      </w:r>
    </w:p>
    <w:p>
      <w:pPr>
        <w:spacing w:after="80"/>
      </w:pPr>
      <w:r>
        <w:t>The Legal team must complete the following worksheet. The Legal team must use the completed Statement of Facts Worksheet to identify areas</w:t>
      </w:r>
    </w:p>
    <w:p>
      <w:pPr>
        <w:spacing w:after="80"/>
      </w:pPr>
      <w:r>
        <w:t>requiring notification.</w:t>
      </w:r>
    </w:p>
    <w:p>
      <w:pPr>
        <w:spacing w:after="80"/>
      </w:pPr>
      <w:r>
        <w:t>Did the incident affect any ACME business units? If yes, notify:</w:t>
      </w:r>
    </w:p>
    <w:p>
      <w:pPr>
        <w:spacing w:after="80"/>
      </w:pPr>
      <w:r>
        <w:t>Internal Use Only                               Page 24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 Corporate Information Security Policy (CISP)           Effective Date   3/30/2016</w:t>
      </w:r>
    </w:p>
    <w:p>
      <w:pPr>
        <w:spacing w:after="80"/>
      </w:pPr>
      <w:r>
        <w:t>Section    Incident Response                                      Document Owner   Authorized Representative</w:t>
      </w:r>
    </w:p>
    <w:p>
      <w:pPr>
        <w:spacing w:after="80"/>
      </w:pPr>
      <w:r>
        <w:t>Number     PLCY-INFOSEC-003                                       Version          1.0</w:t>
      </w:r>
    </w:p>
    <w:p>
      <w:pPr>
        <w:spacing w:after="80"/>
      </w:pPr>
      <w:r>
        <w:t>□ Affected ACME business units</w:t>
      </w:r>
    </w:p>
    <w:p>
      <w:pPr>
        <w:spacing w:after="80"/>
      </w:pPr>
      <w:r>
        <w:t>Does this incident involve a breach of cardholder information? If yes, consider (This must be done within 24 hours of the breach after</w:t>
      </w:r>
    </w:p>
    <w:p>
      <w:pPr>
        <w:spacing w:after="80"/>
      </w:pPr>
      <w:r>
        <w:t>payment card information is confirmed):</w:t>
      </w:r>
    </w:p>
    <w:p>
      <w:pPr>
        <w:spacing w:after="80"/>
      </w:pPr>
      <w:r>
        <w:t>□ Notification to card brands and acquiring banks</w:t>
      </w:r>
    </w:p>
    <w:p>
      <w:pPr>
        <w:spacing w:after="80"/>
      </w:pPr>
      <w:r>
        <w:t>□ Engaging a credit monitoring or identity protection service</w:t>
      </w:r>
    </w:p>
    <w:p>
      <w:pPr>
        <w:spacing w:after="80"/>
      </w:pPr>
      <w:r>
        <w:t>Did the incident affect any domestic (US) customers, associates, or systems? If yes, consider:</w:t>
      </w:r>
    </w:p>
    <w:p>
      <w:pPr>
        <w:spacing w:after="80"/>
      </w:pPr>
      <w:r>
        <w:t>□ Data types involved in incident (e.g., PII, HIPAA), referring to state and federal legislation for notification requirements, or consider</w:t>
      </w:r>
    </w:p>
    <w:p>
      <w:pPr>
        <w:spacing w:after="80"/>
      </w:pPr>
      <w:r>
        <w:t>notice regardless of legal requirements</w:t>
      </w:r>
    </w:p>
    <w:p>
      <w:pPr>
        <w:spacing w:after="80"/>
      </w:pPr>
      <w:r>
        <w:t>□ Notice to relevant law enforcement authorities</w:t>
      </w:r>
    </w:p>
    <w:p>
      <w:pPr>
        <w:spacing w:after="80"/>
      </w:pPr>
      <w:r>
        <w:t>□ Notice to data subjects, referring to state and federal legislation for notification requirements</w:t>
      </w:r>
    </w:p>
    <w:p>
      <w:pPr>
        <w:spacing w:after="80"/>
      </w:pPr>
      <w:r>
        <w:t>□ Notice to Attorney Generals and state and federal regulatory agencies, referring to state and federal legislation for notification</w:t>
      </w:r>
    </w:p>
    <w:p>
      <w:pPr>
        <w:spacing w:after="80"/>
      </w:pPr>
      <w:r>
        <w:t>requirements</w:t>
      </w:r>
    </w:p>
    <w:p>
      <w:pPr>
        <w:spacing w:after="80"/>
      </w:pPr>
      <w:r>
        <w:t>□ Notice to consumer reporting agencies, referring to state and federal legislation for notification requirements</w:t>
      </w:r>
    </w:p>
    <w:p>
      <w:pPr>
        <w:spacing w:after="80"/>
      </w:pPr>
      <w:r>
        <w:t>□ Notice to media, as appropriate (such as in connection with substitute notice)</w:t>
      </w:r>
    </w:p>
    <w:p>
      <w:pPr>
        <w:spacing w:after="80"/>
      </w:pPr>
      <w:r>
        <w:t>□ Exemptions, referring to state and federal legislation for notification requirements</w:t>
      </w:r>
    </w:p>
    <w:p>
      <w:pPr>
        <w:spacing w:after="80"/>
      </w:pPr>
      <w:r>
        <w:t>□ SEC disclosure requirements</w:t>
      </w:r>
    </w:p>
    <w:p>
      <w:pPr>
        <w:spacing w:after="80"/>
      </w:pPr>
      <w:r>
        <w:t>□ Notice to insurance carrier</w:t>
      </w:r>
    </w:p>
    <w:p>
      <w:pPr>
        <w:spacing w:after="80"/>
      </w:pPr>
      <w:r>
        <w:t>Internal Use Only                               Page 25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Corporate Information Security Policy (CISP)           Effective Date   3/30/2016</w:t>
      </w:r>
    </w:p>
    <w:p>
      <w:pPr>
        <w:spacing w:after="80"/>
      </w:pPr>
      <w:r>
        <w:t>Section   Incident Response                                      Document Owner   Authorized Representative</w:t>
      </w:r>
    </w:p>
    <w:p>
      <w:pPr>
        <w:spacing w:after="80"/>
      </w:pPr>
      <w:r>
        <w:t>Number    PLCY-INFOSEC-003                                       Version          1.0</w:t>
      </w:r>
    </w:p>
    <w:p>
      <w:pPr>
        <w:spacing w:after="80"/>
      </w:pPr>
      <w:r>
        <w:t>Did the incident affect any international customers, associates, or systems? If yes, consider:</w:t>
      </w:r>
    </w:p>
    <w:p>
      <w:pPr>
        <w:spacing w:after="80"/>
      </w:pPr>
      <w:r>
        <w:t>□ Data types involved in incident (e.g., personal data, sensitive personal data), referring to international laws and regulations for</w:t>
      </w:r>
    </w:p>
    <w:p>
      <w:pPr>
        <w:spacing w:after="80"/>
      </w:pPr>
      <w:r>
        <w:t>notification requirements</w:t>
      </w:r>
    </w:p>
    <w:p>
      <w:pPr>
        <w:spacing w:after="80"/>
      </w:pPr>
      <w:r>
        <w:t>□ Notice to data subjects, referring to international laws and regulations for notification requirements</w:t>
      </w:r>
    </w:p>
    <w:p>
      <w:pPr>
        <w:spacing w:after="80"/>
      </w:pPr>
      <w:r>
        <w:t>□ Notice to regulators, referring to international laws and regulations for notification requirements, or consider notice regardless of legal</w:t>
      </w:r>
    </w:p>
    <w:p>
      <w:pPr>
        <w:spacing w:after="80"/>
      </w:pPr>
      <w:r>
        <w:t>requirements</w:t>
      </w:r>
    </w:p>
    <w:p>
      <w:pPr>
        <w:spacing w:after="80"/>
      </w:pPr>
      <w:r>
        <w:t>□ Exemptions</w:t>
      </w:r>
    </w:p>
    <w:p>
      <w:pPr>
        <w:spacing w:after="80"/>
      </w:pPr>
      <w:r>
        <w:t>□ Notice to insurance carrier</w:t>
      </w:r>
    </w:p>
    <w:p>
      <w:pPr>
        <w:spacing w:after="80"/>
      </w:pPr>
      <w:r>
        <w:t>10 - Government Information Sharing Requests</w:t>
      </w:r>
    </w:p>
    <w:p>
      <w:pPr>
        <w:spacing w:after="80"/>
      </w:pPr>
      <w:r>
        <w:t>Analyze all government information sharing requests to develop a consistent and well thought-out approach to sharing. The Incident Response</w:t>
      </w:r>
    </w:p>
    <w:p>
      <w:pPr>
        <w:spacing w:after="80"/>
      </w:pPr>
      <w:r>
        <w:t>Team should consider the following factors:</w:t>
      </w:r>
    </w:p>
    <w:p>
      <w:pPr>
        <w:pStyle w:val="ListBullet"/>
      </w:pPr>
      <w:r>
        <w:t xml:space="preserve">   Legal considerations (such as whether Personal Information will be shared when disclosing details about the incident to the government</w:t>
      </w:r>
    </w:p>
    <w:p>
      <w:pPr>
        <w:spacing w:after="80"/>
      </w:pPr>
      <w:r>
        <w:t>and whether the requesting agency has provided a legally-enforceable mandate to disclose the information)</w:t>
      </w:r>
    </w:p>
    <w:p>
      <w:pPr>
        <w:pStyle w:val="ListBullet"/>
      </w:pPr>
      <w:r>
        <w:t xml:space="preserve">   Notice to customers</w:t>
      </w:r>
    </w:p>
    <w:p>
      <w:pPr>
        <w:pStyle w:val="ListBullet"/>
      </w:pPr>
      <w:r>
        <w:t xml:space="preserve">   Brand damage arising</w:t>
      </w:r>
    </w:p>
    <w:p>
      <w:pPr>
        <w:pStyle w:val="ListBullet"/>
      </w:pPr>
      <w:r>
        <w:t xml:space="preserve">   Use of a forensic expert</w:t>
      </w:r>
    </w:p>
    <w:p>
      <w:pPr>
        <w:pStyle w:val="ListBullet"/>
      </w:pPr>
      <w:r>
        <w:t xml:space="preserve">   Initiation contact of only one government agency to prevent jurisdictional issues</w:t>
      </w:r>
    </w:p>
    <w:p>
      <w:pPr>
        <w:spacing w:after="80"/>
      </w:pPr>
      <w:r>
        <w:t>Internal Use Only                               Page 26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Corporate Information Security Policy (CISP)           Effective Date   3/30/2016</w:t>
      </w:r>
    </w:p>
    <w:p>
      <w:pPr>
        <w:spacing w:after="80"/>
      </w:pPr>
      <w:r>
        <w:t>Section   Incident Response                                      Document Owner   Authorized Representative</w:t>
      </w:r>
    </w:p>
    <w:p>
      <w:pPr>
        <w:spacing w:after="80"/>
      </w:pPr>
      <w:r>
        <w:t>Number    PLCY-INFOSEC-003                                       Version          1.0</w:t>
      </w:r>
    </w:p>
    <w:p>
      <w:pPr>
        <w:spacing w:after="80"/>
      </w:pPr>
      <w:r>
        <w:t>11 - Analysis of Contractual Requirements, Obligations, Rights and Remedies</w:t>
      </w:r>
    </w:p>
    <w:p>
      <w:pPr>
        <w:spacing w:after="80"/>
      </w:pPr>
      <w:r>
        <w:t>During an incident, the Incident Response Team may discover that ACME must take on additional liability or may seek to transfer liability to a</w:t>
      </w:r>
    </w:p>
    <w:p>
      <w:pPr>
        <w:spacing w:after="80"/>
      </w:pPr>
      <w:r>
        <w:t>third party. Relevant contractual provisions will dictate the obligations between ACME and third parties. The intent of the following worksheet</w:t>
      </w:r>
    </w:p>
    <w:p>
      <w:pPr>
        <w:spacing w:after="80"/>
      </w:pPr>
      <w:r>
        <w:t>is to assist Procurement and Legal teams in the determination of the requirements between entities.</w:t>
      </w:r>
    </w:p>
    <w:p>
      <w:pPr>
        <w:spacing w:after="80"/>
      </w:pPr>
      <w:r>
        <w:t>Determination of Contractual Requirements Worksheet</w:t>
      </w:r>
    </w:p>
    <w:p>
      <w:pPr>
        <w:spacing w:after="80"/>
      </w:pPr>
      <w:r>
        <w:t>The Procurement and Legal teams must complete the following worksheet. Use the completed Statement of Facts Worksheet to identify areas</w:t>
      </w:r>
    </w:p>
    <w:p>
      <w:pPr>
        <w:spacing w:after="80"/>
      </w:pPr>
      <w:r>
        <w:t>requiring review.</w:t>
      </w:r>
    </w:p>
    <w:p>
      <w:pPr>
        <w:spacing w:after="80"/>
      </w:pPr>
      <w:r>
        <w:t>□ Determine applicable contractual rights and obligations of ACME and vendors where the Incident Response Team deems a vendor the</w:t>
      </w:r>
    </w:p>
    <w:p>
      <w:pPr>
        <w:spacing w:after="80"/>
      </w:pPr>
      <w:r>
        <w:t>root cause of the security incident, or where the incident otherwise involves a vendor</w:t>
      </w:r>
    </w:p>
    <w:p>
      <w:pPr>
        <w:spacing w:after="80"/>
      </w:pPr>
      <w:r>
        <w:t>□ Review contracts requiring notice to customers</w:t>
      </w:r>
    </w:p>
    <w:p>
      <w:pPr>
        <w:spacing w:after="80"/>
      </w:pPr>
      <w:r>
        <w:t>□ Review contracts requiring notice to vendors</w:t>
      </w:r>
    </w:p>
    <w:p>
      <w:pPr>
        <w:spacing w:after="80"/>
      </w:pPr>
      <w:r>
        <w:t>□ Where applicable, determine appropriate actions in relation to malicious actors (e.g., violations of the Computer Fraud and Abuse Act).</w:t>
      </w:r>
    </w:p>
    <w:p>
      <w:pPr>
        <w:spacing w:after="80"/>
      </w:pPr>
      <w:r>
        <w:t>□ Analyze litigation hold requirements</w:t>
      </w:r>
    </w:p>
    <w:p>
      <w:pPr>
        <w:pStyle w:val="ListBullet"/>
      </w:pPr>
      <w:r>
        <w:t xml:space="preserve">   When involving any third parties, vendors, contracting companies, and sub-contracted entities in the incident, ACME Legal must review</w:t>
      </w:r>
    </w:p>
    <w:p>
      <w:pPr>
        <w:spacing w:after="80"/>
      </w:pPr>
      <w:r>
        <w:t>the associated:</w:t>
      </w:r>
    </w:p>
    <w:p>
      <w:pPr>
        <w:spacing w:after="80"/>
      </w:pPr>
      <w:r>
        <w:t>-   NDA agreements</w:t>
      </w:r>
    </w:p>
    <w:p>
      <w:pPr>
        <w:spacing w:after="80"/>
      </w:pPr>
      <w:r>
        <w:t>-   Confidentiality statements</w:t>
      </w:r>
    </w:p>
    <w:p>
      <w:pPr>
        <w:spacing w:after="80"/>
      </w:pPr>
      <w:r>
        <w:t>-   Incident reporting requirements</w:t>
      </w:r>
    </w:p>
    <w:p>
      <w:pPr>
        <w:spacing w:after="80"/>
      </w:pPr>
      <w:r>
        <w:t>-   Indemnification clauses</w:t>
      </w:r>
    </w:p>
    <w:p>
      <w:pPr>
        <w:spacing w:after="80"/>
      </w:pPr>
      <w:r>
        <w:t>Internal Use Only                               Page 27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 Corporate Information Security Policy (CISP)           Effective Date   3/30/2016</w:t>
      </w:r>
    </w:p>
    <w:p>
      <w:pPr>
        <w:spacing w:after="80"/>
      </w:pPr>
      <w:r>
        <w:t>Section    Incident Response                                      Document Owner   Authorized Representative</w:t>
      </w:r>
    </w:p>
    <w:p>
      <w:pPr>
        <w:spacing w:after="80"/>
      </w:pPr>
      <w:r>
        <w:t>Number     PLCY-INFOSEC-003                                       Version          1.0</w:t>
      </w:r>
    </w:p>
    <w:p>
      <w:pPr>
        <w:spacing w:after="80"/>
      </w:pPr>
      <w:r>
        <w:t>-   Limitation of liability clauses</w:t>
      </w:r>
    </w:p>
    <w:p>
      <w:pPr>
        <w:spacing w:after="80"/>
      </w:pPr>
      <w:r>
        <w:t>-   Insurance clauses.</w:t>
      </w:r>
    </w:p>
    <w:p>
      <w:pPr>
        <w:spacing w:after="80"/>
      </w:pPr>
      <w:r>
        <w:t>12 - Pursue Contract Rights</w:t>
      </w:r>
    </w:p>
    <w:p>
      <w:pPr>
        <w:spacing w:after="80"/>
      </w:pPr>
      <w:r>
        <w:t>If the incident indicates, a breach of contractual obligations or the transfer of liability is appropriate, Legal and Procurement will initiate formal</w:t>
      </w:r>
    </w:p>
    <w:p>
      <w:pPr>
        <w:spacing w:after="80"/>
      </w:pPr>
      <w:r>
        <w:t>notification to the applicable parties. The Incident Response Teams should use the information collected in Section 7 should ACME decide to</w:t>
      </w:r>
    </w:p>
    <w:p>
      <w:pPr>
        <w:spacing w:after="80"/>
      </w:pPr>
      <w:r>
        <w:t>pursue legal matters.</w:t>
      </w:r>
    </w:p>
    <w:p>
      <w:pPr>
        <w:spacing w:after="80"/>
      </w:pPr>
      <w:r>
        <w:t>13 - Respond to Government Investigations &amp; Class Actions</w:t>
      </w:r>
    </w:p>
    <w:p>
      <w:pPr>
        <w:spacing w:after="80"/>
      </w:pPr>
      <w:r>
        <w:t>If the Incident Response Team must address applicable government investigations and class action litigation, the Incident Response Team must</w:t>
      </w:r>
    </w:p>
    <w:p>
      <w:pPr>
        <w:spacing w:after="80"/>
      </w:pPr>
      <w:r>
        <w:t>keep the following groups directly involved in and informed of preparation activities:</w:t>
      </w:r>
    </w:p>
    <w:p>
      <w:pPr>
        <w:pStyle w:val="ListBullet"/>
      </w:pPr>
      <w:r>
        <w:t xml:space="preserve">   Legal counsel (including external counsel, as appropriate)</w:t>
      </w:r>
    </w:p>
    <w:p>
      <w:pPr>
        <w:pStyle w:val="ListBullet"/>
      </w:pPr>
      <w:r>
        <w:t xml:space="preserve">   IT IRT</w:t>
      </w:r>
    </w:p>
    <w:p>
      <w:pPr>
        <w:pStyle w:val="ListBullet"/>
      </w:pPr>
      <w:r>
        <w:t xml:space="preserve">   Incident Steering Committee</w:t>
      </w:r>
    </w:p>
    <w:p>
      <w:pPr>
        <w:pStyle w:val="ListBullet"/>
      </w:pPr>
      <w:r>
        <w:t xml:space="preserve">   ExCIRT</w:t>
      </w:r>
    </w:p>
    <w:p>
      <w:pPr>
        <w:pStyle w:val="ListBullet"/>
      </w:pPr>
      <w:r>
        <w:t xml:space="preserve">   Corporate Communications</w:t>
      </w:r>
    </w:p>
    <w:p>
      <w:pPr>
        <w:spacing w:after="80"/>
      </w:pPr>
      <w:r>
        <w:t>Internal Use Only                               Page 28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Corporate Information Security Policy (CISP)           Effective Date   3/30/2016</w:t>
      </w:r>
    </w:p>
    <w:p>
      <w:pPr>
        <w:spacing w:after="80"/>
      </w:pPr>
      <w:r>
        <w:t>Section   Incident Response                                      Document Owner   Authorized Representative</w:t>
      </w:r>
    </w:p>
    <w:p>
      <w:pPr>
        <w:spacing w:after="80"/>
      </w:pPr>
      <w:r>
        <w:t>Number    PLCY-INFOSEC-003                                       Version          1.0</w:t>
      </w:r>
    </w:p>
    <w:p>
      <w:pPr>
        <w:spacing w:after="80"/>
      </w:pPr>
      <w:r>
        <w:t>14 - Recovery Plan</w:t>
      </w:r>
    </w:p>
    <w:p>
      <w:pPr>
        <w:spacing w:after="80"/>
      </w:pPr>
      <w:r>
        <w:t>The Incident Response Team should execute recovery processes and procedures to ensure timely restoration of systems or assets affected by</w:t>
      </w:r>
    </w:p>
    <w:p>
      <w:pPr>
        <w:spacing w:after="80"/>
      </w:pPr>
      <w:r>
        <w:t>cyber security incidents. The Incident Response Team should communicate all recovery activities to internal stakeholders and executive and</w:t>
      </w:r>
    </w:p>
    <w:p>
      <w:pPr>
        <w:spacing w:after="80"/>
      </w:pPr>
      <w:r>
        <w:t>management teams.</w:t>
      </w:r>
    </w:p>
    <w:p>
      <w:pPr>
        <w:spacing w:after="80"/>
      </w:pPr>
      <w:r>
        <w:t>Depending on the scope and severity of the incident, recovery can include one or more of the following activities:</w:t>
      </w:r>
    </w:p>
    <w:p>
      <w:pPr>
        <w:pStyle w:val="ListBullet"/>
      </w:pPr>
      <w:r>
        <w:t xml:space="preserve">   Restoration of systems and services to normal operation</w:t>
      </w:r>
    </w:p>
    <w:p>
      <w:pPr>
        <w:pStyle w:val="ListBullet"/>
      </w:pPr>
      <w:r>
        <w:t xml:space="preserve">   Vulnerability remediation</w:t>
      </w:r>
    </w:p>
    <w:p>
      <w:pPr>
        <w:pStyle w:val="ListBullet"/>
      </w:pPr>
      <w:r>
        <w:t xml:space="preserve">   Instituting increased security and logging functionality</w:t>
      </w:r>
    </w:p>
    <w:p>
      <w:pPr>
        <w:pStyle w:val="ListBullet"/>
      </w:pPr>
      <w:r>
        <w:t xml:space="preserve">   Brand reputation repair</w:t>
      </w:r>
    </w:p>
    <w:p>
      <w:pPr>
        <w:pStyle w:val="ListBullet"/>
      </w:pPr>
      <w:r>
        <w:t xml:space="preserve">   Public relation management</w:t>
      </w:r>
    </w:p>
    <w:p>
      <w:pPr>
        <w:pStyle w:val="ListBullet"/>
      </w:pPr>
      <w:r>
        <w:t xml:space="preserve">   Monitoring for incident-related copycats or scammers preying on incident victims</w:t>
      </w:r>
    </w:p>
    <w:p>
      <w:pPr>
        <w:spacing w:after="80"/>
      </w:pPr>
      <w:r>
        <w:t>15 - Improvement Plan</w:t>
      </w:r>
    </w:p>
    <w:p>
      <w:pPr>
        <w:spacing w:after="80"/>
      </w:pPr>
      <w:r>
        <w:t>Through process and insurance reviews as well as plan testing, the Incident Response Team can improve incident response functions by evolving</w:t>
      </w:r>
    </w:p>
    <w:p>
      <w:pPr>
        <w:spacing w:after="80"/>
      </w:pPr>
      <w:r>
        <w:t>the program to address new threats, leverage improved technology, and otherwise incorporate lessons learned.</w:t>
      </w:r>
    </w:p>
    <w:p>
      <w:pPr>
        <w:spacing w:after="80"/>
      </w:pPr>
      <w:r>
        <w:t>Lessons Learned Worksheet</w:t>
      </w:r>
    </w:p>
    <w:p>
      <w:pPr>
        <w:spacing w:after="80"/>
      </w:pPr>
      <w:r>
        <w:t>The Incident Response Team should improve processes by incorporating lessons learned into future activities. The Incident Response Team can</w:t>
      </w:r>
    </w:p>
    <w:p>
      <w:pPr>
        <w:spacing w:after="80"/>
      </w:pPr>
      <w:r>
        <w:t>leverage the Statement of Facts Worksheet produced during the incident along with the incident handlers to answer the following questions:</w:t>
      </w:r>
    </w:p>
    <w:p>
      <w:pPr>
        <w:spacing w:after="80"/>
      </w:pPr>
      <w:r>
        <w:t>□ How well did staff and management perform in dealing with the incident?</w:t>
      </w:r>
    </w:p>
    <w:p>
      <w:pPr>
        <w:spacing w:after="80"/>
      </w:pPr>
      <w:r>
        <w:t>Internal Use Only                               Page 29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 Corporate Information Security Policy (CISP)           Effective Date   3/30/2016</w:t>
      </w:r>
    </w:p>
    <w:p>
      <w:pPr>
        <w:spacing w:after="80"/>
      </w:pPr>
      <w:r>
        <w:t>Section    Incident Response                                      Document Owner   Authorized Representative</w:t>
      </w:r>
    </w:p>
    <w:p>
      <w:pPr>
        <w:spacing w:after="80"/>
      </w:pPr>
      <w:r>
        <w:t>Number     PLCY-INFOSEC-003                                       Version          1.0</w:t>
      </w:r>
    </w:p>
    <w:p>
      <w:pPr>
        <w:spacing w:after="80"/>
      </w:pPr>
      <w:r>
        <w:t>□ Did the Incident Response Teams follow the documented incident handling procedures? Were the documented procedures adequate?</w:t>
      </w:r>
    </w:p>
    <w:p>
      <w:pPr>
        <w:spacing w:after="80"/>
      </w:pPr>
      <w:r>
        <w:t>If not, what procedures, if any, does the Incident Response Team need to change in the incident response plan?</w:t>
      </w:r>
    </w:p>
    <w:p>
      <w:pPr>
        <w:spacing w:after="80"/>
      </w:pPr>
      <w:r>
        <w:t>□ What information did the Incident Response Teams need sooner? Are there ways to set the incident response team up for success in the</w:t>
      </w:r>
    </w:p>
    <w:p>
      <w:pPr>
        <w:spacing w:after="80"/>
      </w:pPr>
      <w:r>
        <w:t>future with the knowledge of what information might be required?</w:t>
      </w:r>
    </w:p>
    <w:p>
      <w:pPr>
        <w:spacing w:after="80"/>
      </w:pPr>
      <w:r>
        <w:t>□ Were any steps or actions taken that might have inhibited the recovery process?</w:t>
      </w:r>
    </w:p>
    <w:p>
      <w:pPr>
        <w:spacing w:after="80"/>
      </w:pPr>
      <w:r>
        <w:t>□ What would the staff and management do differently the next time a similar incident occurs?</w:t>
      </w:r>
    </w:p>
    <w:p>
      <w:pPr>
        <w:spacing w:after="80"/>
      </w:pPr>
      <w:r>
        <w:t>□ What corrective measures can prevent similar incidents from occurring in the future? What indicators should be monitored in the future</w:t>
      </w:r>
    </w:p>
    <w:p>
      <w:pPr>
        <w:spacing w:after="80"/>
      </w:pPr>
      <w:r>
        <w:t>to detect similar incidents?</w:t>
      </w:r>
    </w:p>
    <w:p>
      <w:pPr>
        <w:spacing w:after="80"/>
      </w:pPr>
      <w:r>
        <w:t>□ What additional tools or resources do we need to detect, analyze, and mitigate future incidents?</w:t>
      </w:r>
    </w:p>
    <w:p>
      <w:pPr>
        <w:spacing w:after="80"/>
      </w:pPr>
      <w:r>
        <w:t>Incident Response Plan Testing</w:t>
      </w:r>
    </w:p>
    <w:p>
      <w:pPr>
        <w:spacing w:after="80"/>
      </w:pPr>
      <w:r>
        <w:t>The Incident Response Team must test the ACME IT Incident Response Plan at least once annually. Examples of acceptable testing initiatives</w:t>
      </w:r>
    </w:p>
    <w:p>
      <w:pPr>
        <w:spacing w:after="80"/>
      </w:pPr>
      <w:r>
        <w:t>include:</w:t>
      </w:r>
    </w:p>
    <w:p>
      <w:pPr>
        <w:spacing w:after="80"/>
      </w:pPr>
      <w:r>
        <w:t>Complete Incident Response Plan Test – This test is a complete simulation of an incident handled as if it were a real incident. The Incident</w:t>
      </w:r>
    </w:p>
    <w:p>
      <w:pPr>
        <w:spacing w:after="80"/>
      </w:pPr>
      <w:r>
        <w:t>Response Team must notify all involved parties of the test prior to kicking off the test incident. The Incident Response Team must hold a pre-</w:t>
      </w:r>
    </w:p>
    <w:p>
      <w:pPr>
        <w:spacing w:after="80"/>
      </w:pPr>
      <w:r>
        <w:t>test meeting to identify the scope and boundaries of such a test.</w:t>
      </w:r>
    </w:p>
    <w:p>
      <w:pPr>
        <w:spacing w:after="80"/>
      </w:pPr>
      <w:r>
        <w:t>Tabletop Walkthrough Test – This test consists of a mock incident reviewed in a single meeting. The Incident Response Team reviews and</w:t>
      </w:r>
    </w:p>
    <w:p>
      <w:pPr>
        <w:spacing w:after="80"/>
      </w:pPr>
      <w:r>
        <w:t>verifies each step taken in response to the mock incident with all involved parties to capture feedback.</w:t>
      </w:r>
    </w:p>
    <w:p>
      <w:pPr>
        <w:spacing w:after="80"/>
      </w:pPr>
      <w:r>
        <w:t>Internal Use Only                               Page 30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Corporate Information Security Policy (CISP)           Effective Date   3/30/2016</w:t>
      </w:r>
    </w:p>
    <w:p>
      <w:pPr>
        <w:spacing w:after="80"/>
      </w:pPr>
      <w:r>
        <w:t>Section   Incident Response                                      Document Owner   Authorized Representative</w:t>
      </w:r>
    </w:p>
    <w:p>
      <w:pPr>
        <w:spacing w:after="80"/>
      </w:pPr>
      <w:r>
        <w:t>Number    PLCY-INFOSEC-003                                       Version          1.0</w:t>
      </w:r>
    </w:p>
    <w:p>
      <w:pPr>
        <w:spacing w:after="80"/>
      </w:pPr>
      <w:r>
        <w:t>Incident Response Notification Test – This type of test exercises the notification procedures and the call tree to verify that all parties are</w:t>
      </w:r>
    </w:p>
    <w:p>
      <w:pPr>
        <w:spacing w:after="80"/>
      </w:pPr>
      <w:r>
        <w:t>reachable and information is accurate and up to date.</w:t>
      </w:r>
    </w:p>
    <w:p>
      <w:pPr>
        <w:spacing w:after="80"/>
      </w:pPr>
      <w:r>
        <w:t>Incident Response Corporate Communications Test – This test involves verification of the Corporate Communications process, which also</w:t>
      </w:r>
    </w:p>
    <w:p>
      <w:pPr>
        <w:spacing w:after="80"/>
      </w:pPr>
      <w:r>
        <w:t>serves as a reminder to all ACME associates that an Incident Response Plan is in place and they have responsibilities pursuant to that plan</w:t>
      </w:r>
    </w:p>
    <w:p>
      <w:pPr>
        <w:spacing w:after="80"/>
      </w:pPr>
      <w:r>
        <w:t>should an incident occur.</w:t>
      </w:r>
    </w:p>
    <w:p>
      <w:pPr>
        <w:spacing w:after="80"/>
      </w:pPr>
      <w:r>
        <w:t>Incident Response Discovery Test – This test is designed to test Incident Response Team communication mechanisms (e.g., hotline, email),</w:t>
      </w:r>
    </w:p>
    <w:p>
      <w:pPr>
        <w:spacing w:after="80"/>
      </w:pPr>
      <w:r>
        <w:t>as well as third party notification entities such as the ITSD. This is to ensure the Incident Response Teams take proper steps when end users</w:t>
      </w:r>
    </w:p>
    <w:p>
      <w:pPr>
        <w:spacing w:after="80"/>
      </w:pPr>
      <w:r>
        <w:t>notify various parties of a perceived incident.</w:t>
      </w:r>
    </w:p>
    <w:p>
      <w:pPr>
        <w:spacing w:after="80"/>
      </w:pPr>
      <w:r>
        <w:t>At the conclusion of each test, the Incident Response Team must hold a follow-up meeting to analyze the incident and develop any necessary</w:t>
      </w:r>
    </w:p>
    <w:p>
      <w:pPr>
        <w:spacing w:after="80"/>
      </w:pPr>
      <w:r>
        <w:t>changes based on those results.</w:t>
      </w:r>
    </w:p>
    <w:p>
      <w:pPr>
        <w:spacing w:after="80"/>
      </w:pPr>
      <w:r>
        <w:t>Required Reviews</w:t>
      </w:r>
    </w:p>
    <w:p>
      <w:pPr>
        <w:spacing w:after="80"/>
      </w:pPr>
      <w:r>
        <w:t>The Steering Committee and Treasury team must review the notification requirements and coverage amounts of ACME cyber insurance</w:t>
      </w:r>
    </w:p>
    <w:p>
      <w:pPr>
        <w:spacing w:after="80"/>
      </w:pPr>
      <w:r>
        <w:t>coverage on a regular basis.</w:t>
      </w:r>
    </w:p>
    <w:p>
      <w:pPr>
        <w:spacing w:after="80"/>
      </w:pPr>
      <w:r>
        <w:t>IT Risk Management (ITRM) owns the ACME Incident Response Team Call Tree (see Appendix A). ITRM must update the call tree on a quarterly</w:t>
      </w:r>
    </w:p>
    <w:p>
      <w:pPr>
        <w:spacing w:after="80"/>
      </w:pPr>
      <w:r>
        <w:t>basis to ensure it remains effective during an incident.</w:t>
      </w:r>
    </w:p>
    <w:p>
      <w:pPr>
        <w:spacing w:after="80"/>
      </w:pPr>
      <w:r>
        <w:t>Procurement must review all vendors put on retainer or pre-emptively contracted (e.g., call center, master service agreement (MSA), credit</w:t>
      </w:r>
    </w:p>
    <w:p>
      <w:pPr>
        <w:spacing w:after="80"/>
      </w:pPr>
      <w:r>
        <w:t>monitoring, forensic team) and related teams on a regular basis.</w:t>
      </w:r>
    </w:p>
    <w:p>
      <w:pPr>
        <w:spacing w:after="80"/>
      </w:pPr>
      <w:r>
        <w:t>Internal Use Only                               Page 31 of 33</w:t>
      </w:r>
    </w:p>
    <w:p>
      <w:pPr>
        <w:spacing w:after="80"/>
      </w:pPr>
      <w:r>
        <w:t>IT Information Security</w:t>
      </w:r>
    </w:p>
    <w:p>
      <w:pPr>
        <w:spacing w:after="80"/>
      </w:pPr>
      <w:r>
        <w:t>PROCESS</w:t>
      </w:r>
    </w:p>
    <w:p>
      <w:pPr>
        <w:spacing w:after="80"/>
      </w:pPr>
      <w:r>
        <w:t>Subject    Corporate Information Security Policy (CISP)           Effective Date           3/30/2016</w:t>
      </w:r>
    </w:p>
    <w:p>
      <w:pPr>
        <w:spacing w:after="80"/>
      </w:pPr>
      <w:r>
        <w:t>Section    Incident Response                                      Document Owner           Authorized Representative</w:t>
      </w:r>
    </w:p>
    <w:p>
      <w:pPr>
        <w:spacing w:after="80"/>
      </w:pPr>
      <w:r>
        <w:t>Number     PLCY-INFOSEC-003                                       Version                  1.0</w:t>
      </w:r>
    </w:p>
    <w:p>
      <w:pPr>
        <w:spacing w:after="80"/>
      </w:pPr>
      <w:r>
        <w:t>Appendix A – ACME Incident Response Team Call Tree</w:t>
      </w:r>
    </w:p>
    <w:p>
      <w:pPr>
        <w:spacing w:after="80"/>
      </w:pPr>
      <w:r>
        <w:t>Name                            Title                                 E-mail                      Office Phone            Home Phone         Cell Phone</w:t>
      </w:r>
    </w:p>
    <w:p>
      <w:pPr>
        <w:spacing w:after="80"/>
      </w:pPr>
      <w:r>
        <w:t>Internal Use Only                                       Page 32 of 33</w:t>
      </w:r>
    </w:p>
    <w:p>
      <w:pPr>
        <w:spacing w:after="80"/>
      </w:pPr>
      <w:r>
        <w:t>IT Information Security</w:t>
      </w:r>
    </w:p>
    <w:p>
      <w:pPr>
        <w:pStyle w:val="ListNumber"/>
      </w:pPr>
      <w:r>
        <w:t>81885.000002 EMF_US 52218814v2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Appendix B – Incident Response Team Activation Email Template</w:t>
      </w:r>
    </w:p>
    <w:p>
      <w:pPr>
        <w:spacing w:after="80"/>
      </w:pPr>
      <w:r>
        <w:t>Via Secured ExCIRT Communication?</w:t>
      </w:r>
    </w:p>
    <w:p>
      <w:pPr>
        <w:spacing w:after="80"/>
      </w:pPr>
      <w:r>
        <w:t>From: The CISO and core IR Team</w:t>
      </w:r>
    </w:p>
    <w:p>
      <w:pPr>
        <w:spacing w:after="80"/>
      </w:pPr>
      <w:r>
        <w:t>All,</w:t>
      </w:r>
    </w:p>
    <w:p>
      <w:pPr>
        <w:spacing w:after="80"/>
      </w:pPr>
      <w:r>
        <w:t>We are scheduling a call at [time] to discuss how to handle the report received from</w:t>
      </w:r>
    </w:p>
    <w:p>
      <w:pPr>
        <w:spacing w:after="80"/>
      </w:pPr>
      <w:r>
        <w:t>[individual/entity/department reporting] that [description of the report and timeframe of</w:t>
      </w:r>
    </w:p>
    <w:p>
      <w:pPr>
        <w:spacing w:after="80"/>
      </w:pPr>
      <w:r>
        <w:t>suspected Event/ Incident]. We will share any additional information on the call. Please note</w:t>
      </w:r>
    </w:p>
    <w:p>
      <w:pPr>
        <w:spacing w:after="80"/>
      </w:pPr>
      <w:r>
        <w:t>that the calendar invite is being sent to all incident response team members from each impacted</w:t>
      </w:r>
    </w:p>
    <w:p>
      <w:pPr>
        <w:spacing w:after="80"/>
      </w:pPr>
      <w:r>
        <w:t>function, but only 1 person from each function needs to be present on the call. In addition, I am</w:t>
      </w:r>
    </w:p>
    <w:p>
      <w:pPr>
        <w:spacing w:after="80"/>
      </w:pPr>
      <w:r>
        <w:t>inviting additional individuals that have been involved in the investigation, but are not on our</w:t>
      </w:r>
    </w:p>
    <w:p>
      <w:pPr>
        <w:spacing w:after="80"/>
      </w:pPr>
      <w:r>
        <w:t>incident response team.</w:t>
      </w:r>
    </w:p>
    <w:p>
      <w:pPr>
        <w:spacing w:after="80"/>
      </w:pPr>
      <w:r>
        <w:t>Thanks,</w:t>
      </w:r>
    </w:p>
    <w:p>
      <w:pPr>
        <w:spacing w:after="80"/>
      </w:pPr>
      <w:r>
        <w:t>[Name]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APPENDIX C-1 – Internal Contact Information for ExCIRT and Incident</w:t>
      </w:r>
    </w:p>
    <w:p>
      <w:pPr>
        <w:spacing w:after="80"/>
      </w:pPr>
      <w:r>
        <w:t>Response Team</w:t>
      </w:r>
    </w:p>
    <w:p>
      <w:pPr>
        <w:spacing w:after="80"/>
      </w:pPr>
      <w:r>
        <w:t>Cell Phone</w:t>
      </w:r>
    </w:p>
    <w:p>
      <w:pPr>
        <w:spacing w:after="80"/>
      </w:pPr>
      <w:r>
        <w:t>Name                  Title             Email Address                   Office No.          No.</w:t>
      </w:r>
    </w:p>
    <w:p>
      <w:pPr>
        <w:spacing w:after="80"/>
      </w:pPr>
      <w:r>
        <w:t>Acme Company Executive Operations</w:t>
      </w:r>
    </w:p>
    <w:p>
      <w:pPr>
        <w:spacing w:after="80"/>
      </w:pPr>
      <w:r>
        <w:t>Corey Sanders        COO              csanders@acmecompany.example                 702-693-7744</w:t>
      </w:r>
    </w:p>
    <w:p>
      <w:pPr>
        <w:spacing w:after="80"/>
      </w:pPr>
      <w:r>
        <w:t>Chris Nordling       EVP Operations   cnordling@acmecompany.example                702-590-7137    702-591-7964</w:t>
      </w:r>
    </w:p>
    <w:p>
      <w:pPr>
        <w:spacing w:after="80"/>
      </w:pPr>
      <w:r>
        <w:t>Acme Company IT Information Security &amp; Privacy Office</w:t>
      </w:r>
    </w:p>
    <w:p>
      <w:pPr>
        <w:spacing w:after="80"/>
      </w:pPr>
      <w:r>
        <w:t>Scott Howitt         CISO                     showitt@acmecompany.example          702-692-9042    972-408-6575</w:t>
      </w:r>
    </w:p>
    <w:p>
      <w:pPr>
        <w:spacing w:after="80"/>
      </w:pPr>
      <w:r>
        <w:t>Jason DeMarco                                                                 702-692-9352    702-237-9641</w:t>
      </w:r>
    </w:p>
    <w:p>
      <w:pPr>
        <w:spacing w:after="80"/>
      </w:pPr>
      <w:r>
        <w:t>Sy Esfahani          CIO                      sesfahani@acmecompany.example                        702-400-0037</w:t>
      </w:r>
    </w:p>
    <w:p>
      <w:pPr>
        <w:spacing w:after="80"/>
      </w:pPr>
      <w:r>
        <w:t>Peter Sand           Privacy                  psand@acmecompany.example            702-692-9049    702-908-3973</w:t>
      </w:r>
    </w:p>
    <w:p>
      <w:pPr>
        <w:spacing w:after="80"/>
      </w:pPr>
      <w:r>
        <w:t>Acme Company Legal Department</w:t>
      </w:r>
    </w:p>
    <w:p>
      <w:pPr>
        <w:spacing w:after="80"/>
      </w:pPr>
      <w:r>
        <w:t>John McManus         EVP GC                   jmcmanus@acmecompany.example         702-693-7869    702-812-5484</w:t>
      </w:r>
    </w:p>
    <w:p>
      <w:pPr>
        <w:spacing w:after="80"/>
      </w:pPr>
      <w:r>
        <w:t>Andrew Hagopian      AGC                      hagopian@acmecompany.example         702-632-9724    702-372-2037</w:t>
      </w:r>
    </w:p>
    <w:p>
      <w:pPr>
        <w:spacing w:after="80"/>
      </w:pPr>
      <w:r>
        <w:t>Nate Lloyd           AGC                      nlloyd@acmecompany.example           702-692-1960    702-575-0421</w:t>
      </w:r>
    </w:p>
    <w:p>
      <w:pPr>
        <w:spacing w:after="80"/>
      </w:pPr>
      <w:r>
        <w:t>Acme Company Communications &amp; Public Relations</w:t>
      </w:r>
    </w:p>
    <w:p>
      <w:pPr>
        <w:spacing w:after="80"/>
      </w:pPr>
      <w:r>
        <w:t>Clark Dumont         SVO Corp Comm            Cdumont@acmecompany.example          702-692-6888</w:t>
      </w:r>
    </w:p>
    <w:p>
      <w:pPr>
        <w:spacing w:after="80"/>
      </w:pPr>
      <w:r>
        <w:t>Acme Company Human Relations</w:t>
      </w:r>
    </w:p>
    <w:p>
      <w:pPr>
        <w:spacing w:after="80"/>
      </w:pPr>
      <w:r>
        <w:t>Michelle Ditondo     Chief HR                 MDiTondo@acmecompany.example         702-693-8211</w:t>
      </w:r>
    </w:p>
    <w:p>
      <w:pPr>
        <w:spacing w:after="80"/>
      </w:pPr>
      <w:r>
        <w:t>Acme Company Compliance</w:t>
      </w:r>
    </w:p>
    <w:p>
      <w:pPr>
        <w:spacing w:after="80"/>
      </w:pPr>
      <w:r>
        <w:t>Director of</w:t>
      </w:r>
    </w:p>
    <w:p>
      <w:pPr>
        <w:spacing w:after="80"/>
      </w:pPr>
      <w:r>
        <w:t>Omar Khoury</w:t>
      </w:r>
    </w:p>
    <w:p>
      <w:pPr>
        <w:spacing w:after="80"/>
      </w:pPr>
      <w:r>
        <w:t>Compliance               okhoury@acmecompany.example          702-692-6227    702-232-0960</w:t>
      </w:r>
    </w:p>
    <w:p>
      <w:pPr>
        <w:spacing w:after="80"/>
      </w:pPr>
      <w:r>
        <w:t>Acme Company Risk Management</w:t>
      </w:r>
    </w:p>
    <w:p>
      <w:pPr>
        <w:spacing w:after="80"/>
      </w:pPr>
      <w:r>
        <w:t>Paula Gentile                                 pgentile@acmecompany.example         702-692-9555</w:t>
      </w:r>
    </w:p>
    <w:p>
      <w:pPr>
        <w:spacing w:after="80"/>
      </w:pPr>
      <w:r>
        <w:t>Doug Wyrsch                                   dwyrsch@acmecompany.example          702-692-9588</w:t>
      </w:r>
    </w:p>
    <w:p>
      <w:pPr>
        <w:spacing w:after="80"/>
      </w:pPr>
      <w:r>
        <w:t>Acme Company Finance</w:t>
      </w:r>
    </w:p>
    <w:p>
      <w:pPr>
        <w:spacing w:after="80"/>
      </w:pPr>
      <w:r>
        <w:t>Dan D’Arrigo                                  D’arrigo@acmecompany.example         702-693-8895</w:t>
      </w:r>
    </w:p>
    <w:p>
      <w:pPr>
        <w:spacing w:after="80"/>
      </w:pPr>
      <w:r>
        <w:t>Acme Company Global Security</w:t>
      </w:r>
    </w:p>
    <w:p>
      <w:pPr>
        <w:spacing w:after="80"/>
      </w:pPr>
      <w:r>
        <w:t>Steve Martinez                           stevmartin@acmecompany.example            702-399-7175    702-319-1212</w:t>
      </w:r>
    </w:p>
    <w:p>
      <w:pPr>
        <w:spacing w:after="80"/>
      </w:pPr>
      <w:r>
        <w:t>Acme Company Customer Experience</w:t>
      </w:r>
    </w:p>
    <w:p>
      <w:pPr>
        <w:spacing w:after="80"/>
      </w:pPr>
      <w:r>
        <w:t>Lilian Tomovich                               LTomovich@acmecompany.example        702-693-7755</w:t>
      </w:r>
    </w:p>
    <w:p>
      <w:pPr>
        <w:spacing w:after="80"/>
      </w:pPr>
      <w:r>
        <w:t>Marketing</w:t>
      </w:r>
    </w:p>
    <w:p>
      <w:pPr>
        <w:spacing w:after="80"/>
      </w:pPr>
      <w:r>
        <w:t>Point Person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Appendix C-2 - External Support Contacts List - TBD</w:t>
      </w:r>
    </w:p>
    <w:p>
      <w:pPr>
        <w:spacing w:after="80"/>
      </w:pPr>
      <w:r>
        <w:t>Cell Phone</w:t>
      </w:r>
    </w:p>
    <w:p>
      <w:pPr>
        <w:spacing w:after="80"/>
      </w:pPr>
      <w:r>
        <w:t>Name         Company/Firm               Email Address            Office No.            No.</w:t>
      </w:r>
    </w:p>
    <w:p>
      <w:pPr>
        <w:spacing w:after="80"/>
      </w:pPr>
      <w:r>
        <w:t>External Legal Counsel</w:t>
      </w:r>
    </w:p>
    <w:p>
      <w:pPr>
        <w:spacing w:after="80"/>
      </w:pPr>
      <w:r>
        <w:t>Matt          Yarbrough Law</w:t>
      </w:r>
    </w:p>
    <w:p>
      <w:pPr>
        <w:spacing w:after="80"/>
      </w:pPr>
      <w:r>
        <w:t>Yarbrough     Group                   Mey@ylawgroup.com            214-263-7500     214-205-7717</w:t>
      </w:r>
    </w:p>
    <w:p>
      <w:pPr>
        <w:spacing w:after="80"/>
      </w:pPr>
      <w:r>
        <w:t>Patrick       Presidian Data</w:t>
      </w:r>
    </w:p>
    <w:p>
      <w:pPr>
        <w:spacing w:after="80"/>
      </w:pPr>
      <w:r>
        <w:t>Interrante    Strategies              Patrick@presidiandata.com    214-855-0044     214-394-5962</w:t>
      </w:r>
    </w:p>
    <w:p>
      <w:pPr>
        <w:spacing w:after="80"/>
      </w:pPr>
      <w:r>
        <w:t>Third-Party Call Center</w:t>
      </w:r>
    </w:p>
    <w:p>
      <w:pPr>
        <w:spacing w:after="80"/>
      </w:pPr>
      <w:r>
        <w:t>AllClearID                            TBD                             TBD</w:t>
      </w:r>
    </w:p>
    <w:p>
      <w:pPr>
        <w:spacing w:after="80"/>
      </w:pPr>
      <w:r>
        <w:t>Third-Party Credit Protection</w:t>
      </w:r>
    </w:p>
    <w:p>
      <w:pPr>
        <w:spacing w:after="80"/>
      </w:pPr>
      <w:r>
        <w:t>AllClearID                            TBD                             TBD</w:t>
      </w:r>
    </w:p>
    <w:p>
      <w:pPr>
        <w:spacing w:after="80"/>
      </w:pPr>
      <w:r>
        <w:t>Third-Party Mailing Vendor</w:t>
      </w:r>
    </w:p>
    <w:p>
      <w:pPr>
        <w:spacing w:after="80"/>
      </w:pPr>
      <w:r>
        <w:t>Forensic Investigators</w:t>
      </w:r>
    </w:p>
    <w:p>
      <w:pPr>
        <w:spacing w:after="80"/>
      </w:pPr>
      <w:r>
        <w:t>Verizon                               TBD                             TBD</w:t>
      </w:r>
    </w:p>
    <w:p>
      <w:pPr>
        <w:spacing w:after="80"/>
      </w:pPr>
      <w:r>
        <w:t>Mandiant                              TBD                             TBD</w:t>
      </w:r>
    </w:p>
    <w:p>
      <w:pPr>
        <w:spacing w:after="80"/>
      </w:pPr>
      <w:r>
        <w:t>Cyber Insurance</w:t>
      </w:r>
    </w:p>
    <w:p>
      <w:pPr>
        <w:spacing w:after="80"/>
      </w:pPr>
      <w:r>
        <w:t>Contact GC</w:t>
      </w:r>
    </w:p>
    <w:p>
      <w:pPr>
        <w:spacing w:after="80"/>
      </w:pPr>
      <w:r>
        <w:t>&amp; Acme Company</w:t>
      </w:r>
    </w:p>
    <w:p>
      <w:pPr>
        <w:spacing w:after="80"/>
      </w:pPr>
      <w:r>
        <w:t>Risk</w:t>
      </w:r>
    </w:p>
    <w:p>
      <w:pPr>
        <w:spacing w:after="80"/>
      </w:pPr>
      <w:r>
        <w:t>Mngmnt</w:t>
      </w:r>
    </w:p>
    <w:p>
      <w:pPr>
        <w:spacing w:after="80"/>
      </w:pPr>
      <w:r>
        <w:t>Law Enforcement</w:t>
      </w:r>
    </w:p>
    <w:p>
      <w:pPr>
        <w:spacing w:after="80"/>
      </w:pPr>
      <w:r>
        <w:t>Las Vegas Office</w:t>
      </w:r>
    </w:p>
    <w:p>
      <w:pPr>
        <w:spacing w:after="80"/>
      </w:pPr>
      <w:r>
        <w:t>of the U.S. Secret</w:t>
      </w:r>
    </w:p>
    <w:p>
      <w:pPr>
        <w:spacing w:after="80"/>
      </w:pPr>
      <w:r>
        <w:t>Service                                              702-388-6571</w:t>
      </w:r>
    </w:p>
    <w:p>
      <w:pPr>
        <w:spacing w:after="80"/>
      </w:pPr>
      <w:r>
        <w:t>FBI NV Office</w:t>
      </w:r>
    </w:p>
    <w:p>
      <w:pPr>
        <w:spacing w:after="80"/>
      </w:pPr>
      <w:r>
        <w:t>US Attorney</w:t>
      </w:r>
    </w:p>
    <w:p>
      <w:pPr>
        <w:spacing w:after="80"/>
      </w:pPr>
      <w:r>
        <w:t>General’s Office</w:t>
      </w:r>
    </w:p>
    <w:p>
      <w:pPr>
        <w:spacing w:after="80"/>
      </w:pPr>
      <w:r>
        <w:t>NV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Appendix C-3: Merchant Banks &amp; Payment Card Companies Contact List</w:t>
      </w:r>
    </w:p>
    <w:p>
      <w:pPr>
        <w:spacing w:after="80"/>
      </w:pPr>
      <w:r>
        <w:t>Merchant Banks and Payment Card Company Contact List</w:t>
      </w:r>
    </w:p>
    <w:p>
      <w:pPr>
        <w:spacing w:after="80"/>
      </w:pPr>
      <w:r>
        <w:t>Company                             Phone No.</w:t>
      </w:r>
    </w:p>
    <w:p>
      <w:pPr>
        <w:spacing w:after="80"/>
      </w:pPr>
      <w:r>
        <w:t>Visa USA Fraud Investigations and Incident Management</w:t>
      </w:r>
    </w:p>
    <w:p>
      <w:pPr>
        <w:spacing w:after="80"/>
      </w:pPr>
      <w:r>
        <w:t>Group                                                       (650) 432-2978</w:t>
      </w:r>
    </w:p>
    <w:p>
      <w:pPr>
        <w:spacing w:after="80"/>
      </w:pPr>
      <w:r>
        <w:t>American Express                                            (800) 528-5200</w:t>
      </w:r>
    </w:p>
    <w:p>
      <w:pPr>
        <w:spacing w:after="80"/>
      </w:pPr>
      <w:r>
        <w:t>Discover Merchant Security Department                       (800) 347-3083</w:t>
      </w:r>
    </w:p>
    <w:p>
      <w:pPr>
        <w:spacing w:after="80"/>
      </w:pPr>
      <w:r>
        <w:t>Bank of America Merchant Services (BAMS) (will inform</w:t>
      </w:r>
    </w:p>
    <w:p>
      <w:pPr>
        <w:spacing w:after="80"/>
      </w:pPr>
      <w:r>
        <w:t>MasterCard)                                                 (800) 228-5882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Appendix D – Information to Consider for Notification</w:t>
      </w:r>
    </w:p>
    <w:p>
      <w:pPr>
        <w:spacing w:after="80"/>
      </w:pPr>
      <w:r>
        <w:t>PCI DSS Requirements</w:t>
      </w:r>
    </w:p>
    <w:p>
      <w:pPr>
        <w:spacing w:after="80"/>
      </w:pPr>
      <w:r>
        <w:t>In response to increasing incidents of identity theft, the major Payment Card Companies –</w:t>
      </w:r>
    </w:p>
    <w:p>
      <w:pPr>
        <w:spacing w:after="80"/>
      </w:pPr>
      <w:r>
        <w:t>American Express, Discover, MasterCard, and Visa – created requirements designed to protect</w:t>
      </w:r>
    </w:p>
    <w:p>
      <w:pPr>
        <w:spacing w:after="80"/>
      </w:pPr>
      <w:r>
        <w:t>Cardholder Data. These regulations are known as the Payment Card Industry Data Security</w:t>
      </w:r>
    </w:p>
    <w:p>
      <w:pPr>
        <w:spacing w:after="80"/>
      </w:pPr>
      <w:r>
        <w:t>Standards (PCI DSS). The PCI DSS is multifaceted and includes requirements for security</w:t>
      </w:r>
    </w:p>
    <w:p>
      <w:pPr>
        <w:spacing w:after="80"/>
      </w:pPr>
      <w:r>
        <w:t>management, policies, procedures, network architecture, software design and other critical</w:t>
      </w:r>
    </w:p>
    <w:p>
      <w:pPr>
        <w:spacing w:after="80"/>
      </w:pPr>
      <w:r>
        <w:t>protective measures.</w:t>
      </w:r>
    </w:p>
    <w:p>
      <w:pPr>
        <w:spacing w:after="80"/>
      </w:pPr>
      <w:r>
        <w:t>Compliance with the PCI DSS is a proactive effort of Acme Company and each of the Payment Card</w:t>
      </w:r>
    </w:p>
    <w:p>
      <w:pPr>
        <w:spacing w:after="80"/>
      </w:pPr>
      <w:r>
        <w:t>Companies to protect Cardholder Data. Each of the major Payment Card Companies has specific</w:t>
      </w:r>
    </w:p>
    <w:p>
      <w:pPr>
        <w:spacing w:after="80"/>
      </w:pPr>
      <w:r>
        <w:t>and required procedures that are referenced in this IRP for providing appropriate notifications in</w:t>
      </w:r>
    </w:p>
    <w:p>
      <w:pPr>
        <w:spacing w:after="80"/>
      </w:pPr>
      <w:r>
        <w:t>the event of a suspected and/or confirmed unauthorized acquisition of Cardholder Data.</w:t>
      </w:r>
    </w:p>
    <w:p>
      <w:pPr>
        <w:spacing w:after="80"/>
      </w:pPr>
      <w:r>
        <w:t>Legal Requirements</w:t>
      </w:r>
    </w:p>
    <w:p>
      <w:pPr>
        <w:spacing w:after="80"/>
      </w:pPr>
      <w:r>
        <w:t>The exposure or loss of only certain types of Personally Identifiable Information (PII or Personal</w:t>
      </w:r>
    </w:p>
    <w:p>
      <w:pPr>
        <w:spacing w:after="80"/>
      </w:pPr>
      <w:r>
        <w:t>Information) may trigger a legal notification requirement in the US. Typically in the US, the loss</w:t>
      </w:r>
    </w:p>
    <w:p>
      <w:pPr>
        <w:spacing w:after="80"/>
      </w:pPr>
      <w:r>
        <w:t>or unauthorized access to, or unauthorized acquisition of the following Personal Information may</w:t>
      </w:r>
    </w:p>
    <w:p>
      <w:pPr>
        <w:spacing w:after="80"/>
      </w:pPr>
      <w:r>
        <w:t>trigger a notification requirement: an individual’s first name or initial and last name, combined</w:t>
      </w:r>
    </w:p>
    <w:p>
      <w:pPr>
        <w:spacing w:after="80"/>
      </w:pPr>
      <w:r>
        <w:t>with another piece of data, such as SSN, driver’s license number or state- issued identification</w:t>
      </w:r>
    </w:p>
    <w:p>
      <w:pPr>
        <w:spacing w:after="80"/>
      </w:pPr>
      <w:r>
        <w:t>number, a financial account number alone or with a code or password required to access the</w:t>
      </w:r>
    </w:p>
    <w:p>
      <w:pPr>
        <w:spacing w:after="80"/>
      </w:pPr>
      <w:r>
        <w:t>account, or medical or insurance information. However, various states have defined Personal</w:t>
      </w:r>
    </w:p>
    <w:p>
      <w:pPr>
        <w:spacing w:after="80"/>
      </w:pPr>
      <w:r>
        <w:t>Information differently. The state where the individual to whom the involved Personal</w:t>
      </w:r>
    </w:p>
    <w:p>
      <w:pPr>
        <w:spacing w:after="80"/>
      </w:pPr>
      <w:r>
        <w:t>Information resides will dictate which state law applies; NOT where the breach occurred. When</w:t>
      </w:r>
    </w:p>
    <w:p>
      <w:pPr>
        <w:spacing w:after="80"/>
      </w:pPr>
      <w:r>
        <w:t>the breach involves residents of multiple states, the laws of each state will apply. Summaries of</w:t>
      </w:r>
    </w:p>
    <w:p>
      <w:pPr>
        <w:spacing w:after="80"/>
      </w:pPr>
      <w:r>
        <w:t>some state laws are included below.</w:t>
      </w:r>
    </w:p>
    <w:p>
      <w:pPr>
        <w:spacing w:after="80"/>
      </w:pPr>
      <w:r>
        <w:t>For incidents involving individuals outside of the US, such as Canada, the EU, Japan or other</w:t>
      </w:r>
    </w:p>
    <w:p>
      <w:pPr>
        <w:spacing w:after="80"/>
      </w:pPr>
      <w:r>
        <w:t>countries, all forms of Personal Information may be subject to notification requirements and</w:t>
      </w:r>
    </w:p>
    <w:p>
      <w:pPr>
        <w:spacing w:after="80"/>
      </w:pPr>
      <w:r>
        <w:t>local laws will need to be reviewed for requirements. In most instances, outside counsel should</w:t>
      </w:r>
    </w:p>
    <w:p>
      <w:pPr>
        <w:spacing w:after="80"/>
      </w:pPr>
      <w:r>
        <w:t>be engaged to provide guidance on our non-US obligations.</w:t>
      </w:r>
    </w:p>
    <w:p>
      <w:pPr>
        <w:spacing w:after="80"/>
      </w:pPr>
      <w:r>
        <w:t>In addition, notification may be appropriate even when there is no legal requirement to do so.</w:t>
      </w:r>
    </w:p>
    <w:p>
      <w:pPr>
        <w:spacing w:after="80"/>
      </w:pPr>
      <w:r>
        <w:t>Response Time</w:t>
      </w:r>
    </w:p>
    <w:p>
      <w:pPr>
        <w:spacing w:after="80"/>
      </w:pPr>
      <w:r>
        <w:t>Most US states and agencies require notification within a specific time period. These times vary</w:t>
      </w:r>
    </w:p>
    <w:p>
      <w:pPr>
        <w:spacing w:after="80"/>
      </w:pPr>
      <w:r>
        <w:t>significantly (10 days, 30 days, 45 days or “As Soon As Possible”).</w:t>
      </w:r>
    </w:p>
    <w:p>
      <w:pPr>
        <w:spacing w:after="80"/>
      </w:pPr>
      <w:r>
        <w:t>Notification</w:t>
      </w:r>
    </w:p>
    <w:p>
      <w:pPr>
        <w:spacing w:after="80"/>
      </w:pPr>
      <w:r>
        <w:t>Notification to individuals, agencies, the public and the media should not occur until the systems</w:t>
      </w:r>
    </w:p>
    <w:p>
      <w:pPr>
        <w:spacing w:after="80"/>
      </w:pPr>
      <w:r>
        <w:t>have been secured, the Incident has been fully investigated, the impact has been assessed, and</w:t>
      </w:r>
    </w:p>
    <w:p>
      <w:pPr>
        <w:spacing w:after="80"/>
      </w:pPr>
      <w:r>
        <w:t>Corporate Communications has provided the notification and Legal has signed off on the</w:t>
      </w:r>
    </w:p>
    <w:p>
      <w:pPr>
        <w:spacing w:after="80"/>
      </w:pPr>
      <w:r>
        <w:t>notification.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Regulator Notification</w:t>
      </w:r>
    </w:p>
    <w:p>
      <w:pPr>
        <w:spacing w:after="80"/>
      </w:pPr>
      <w:r>
        <w:t>Appendix J includes a template letter for US state regulators requiring notification. Legal is</w:t>
      </w:r>
    </w:p>
    <w:p>
      <w:pPr>
        <w:spacing w:after="80"/>
      </w:pPr>
      <w:r>
        <w:t>responsible for creating and sending these letters to the applicable regulators. Be sure to check</w:t>
      </w:r>
    </w:p>
    <w:p>
      <w:pPr>
        <w:spacing w:after="80"/>
      </w:pPr>
      <w:r>
        <w:t>with outside counsel for updated templates, as necessary before sending notification to any state</w:t>
      </w:r>
    </w:p>
    <w:p>
      <w:pPr>
        <w:spacing w:after="80"/>
      </w:pPr>
      <w:r>
        <w:t>regulator. In addition, New York, North Carolina and California require that notice to state</w:t>
      </w:r>
    </w:p>
    <w:p>
      <w:pPr>
        <w:spacing w:after="80"/>
      </w:pPr>
      <w:r>
        <w:t>regulators and/or state agencies be provided on their prescribed reporting forms. Please see the</w:t>
      </w:r>
    </w:p>
    <w:p>
      <w:pPr>
        <w:spacing w:after="80"/>
      </w:pPr>
      <w:r>
        <w:t>following links to the required reporting forms:</w:t>
      </w:r>
    </w:p>
    <w:p>
      <w:pPr>
        <w:spacing w:after="80"/>
      </w:pPr>
      <w:r>
        <w:t>New York: http://www.dhses.ny.gov/ocs/incident-reporting/</w:t>
      </w:r>
    </w:p>
    <w:p>
      <w:pPr>
        <w:spacing w:after="80"/>
      </w:pPr>
      <w:r>
        <w:t>North Carolina: http://www.ncdoj.com/Protect-Yourself/2-4-3-Protect-Your-Identity/Protect-</w:t>
      </w:r>
    </w:p>
    <w:p>
      <w:pPr>
        <w:spacing w:after="80"/>
      </w:pPr>
      <w:r>
        <w:t>Your-Business/Report-a-Security-Breach.aspx</w:t>
      </w:r>
    </w:p>
    <w:p>
      <w:pPr>
        <w:spacing w:after="80"/>
      </w:pPr>
      <w:r>
        <w:t>California: http://oag.ca.gov/ecrime/databreach/reporting</w:t>
      </w:r>
    </w:p>
    <w:p>
      <w:pPr>
        <w:spacing w:after="80"/>
      </w:pPr>
      <w:r>
        <w:t>Enclose a sample copy of the notification letter provided to the impacted individuals, where</w:t>
      </w:r>
    </w:p>
    <w:p>
      <w:pPr>
        <w:spacing w:after="80"/>
      </w:pPr>
      <w:r>
        <w:t>required, when providing state regulators with notification. DO NOT include any impacted</w:t>
      </w:r>
    </w:p>
    <w:p>
      <w:pPr>
        <w:spacing w:after="80"/>
      </w:pPr>
      <w:r>
        <w:t>individual’s Personal Information on the sample notification letter.</w:t>
      </w:r>
    </w:p>
    <w:p>
      <w:pPr>
        <w:spacing w:after="80"/>
      </w:pPr>
      <w:r>
        <w:t>Please see Appendix E for a summary of the requirements to notify state regulators.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Appendix E – Yarbrough Law Group State Customer &amp; Employee Data</w:t>
      </w:r>
    </w:p>
    <w:p>
      <w:pPr>
        <w:spacing w:after="80"/>
      </w:pPr>
      <w:r>
        <w:t>Privacy Breach Notification Laws</w:t>
      </w:r>
    </w:p>
    <w:p>
      <w:pPr>
        <w:spacing w:after="80"/>
      </w:pPr>
      <w:r>
        <w:t>Security breach notification laws have been passed in 47 states (all except Alabama, New</w:t>
      </w:r>
    </w:p>
    <w:p>
      <w:pPr>
        <w:spacing w:after="80"/>
      </w:pPr>
      <w:r>
        <w:t>Mexico and South Dakota). Summary charts of the laws in California, Delaware, District of</w:t>
      </w:r>
    </w:p>
    <w:p>
      <w:pPr>
        <w:spacing w:after="80"/>
      </w:pPr>
      <w:r>
        <w:t>Columbia, Illinois, Maryland, Massachusetts, Michigan, Mississippi, Nevada, New Jersey, and</w:t>
      </w:r>
    </w:p>
    <w:p>
      <w:pPr>
        <w:spacing w:after="80"/>
      </w:pPr>
      <w:r>
        <w:t>Texas are included on the following pages (current as of January 2016). Each case in which</w:t>
      </w:r>
    </w:p>
    <w:p>
      <w:pPr>
        <w:spacing w:after="80"/>
      </w:pPr>
      <w:r>
        <w:t>notification to affected Cardholders, customers, employees or other individuals, or governmental</w:t>
      </w:r>
    </w:p>
    <w:p>
      <w:pPr>
        <w:spacing w:after="80"/>
      </w:pPr>
      <w:r>
        <w:t>agencies or gaming authorities are required, the Acme Company Legal Department and outside counsel</w:t>
      </w:r>
    </w:p>
    <w:p>
      <w:pPr>
        <w:spacing w:after="80"/>
      </w:pPr>
      <w:r>
        <w:t>shall review the detailed provisions of the statutes of all the relevant states to assure that</w:t>
      </w:r>
    </w:p>
    <w:p>
      <w:pPr>
        <w:spacing w:after="80"/>
      </w:pPr>
      <w:r>
        <w:t>notifications or requirements not included in the following summary are given and satisfied,</w:t>
      </w:r>
    </w:p>
    <w:p>
      <w:pPr>
        <w:spacing w:after="80"/>
      </w:pPr>
      <w:r>
        <w:t>respectively.</w:t>
      </w:r>
    </w:p>
    <w:p>
      <w:pPr>
        <w:spacing w:after="80"/>
      </w:pPr>
      <w:r>
        <w:t>YLG’S STATE DATA BREACH AND</w:t>
      </w:r>
    </w:p>
    <w:p>
      <w:pPr>
        <w:spacing w:after="80"/>
      </w:pPr>
      <w:r>
        <w:t>PRIVACY NOTIFICATION LAWS</w:t>
      </w:r>
    </w:p>
    <w:p>
      <w:pPr>
        <w:spacing w:after="80"/>
      </w:pPr>
      <w:r>
        <w:t>CONCERNING CUSTOMER AND</w:t>
      </w:r>
    </w:p>
    <w:p>
      <w:pPr>
        <w:spacing w:after="80"/>
      </w:pPr>
      <w:r>
        <w:t>EMPLOYEE PRIVACY INFORMATION</w:t>
      </w:r>
    </w:p>
    <w:p>
      <w:pPr>
        <w:spacing w:after="80"/>
      </w:pPr>
      <w:r>
        <w:t>Matthew E. Yarbrough</w:t>
      </w:r>
    </w:p>
    <w:p>
      <w:pPr>
        <w:spacing w:after="80"/>
      </w:pPr>
      <w:r>
        <w:t>President</w:t>
      </w:r>
    </w:p>
    <w:p>
      <w:pPr>
        <w:spacing w:after="80"/>
      </w:pPr>
      <w:r>
        <w:t>EXTERNAL LEGAL COUNSEL</w:t>
      </w:r>
    </w:p>
    <w:p>
      <w:pPr>
        <w:spacing w:after="80"/>
      </w:pPr>
      <w:r>
        <w:t>C: 214.263.7500</w:t>
      </w:r>
    </w:p>
    <w:p>
      <w:pPr>
        <w:spacing w:after="80"/>
      </w:pPr>
      <w:r>
        <w:t>W: 214.855.0044</w:t>
      </w:r>
    </w:p>
    <w:p>
      <w:pPr>
        <w:spacing w:after="80"/>
      </w:pPr>
      <w:r>
        <w:t>mey@ylawgroup.com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California               Covered Entities</w:t>
      </w:r>
    </w:p>
    <w:p>
      <w:pPr>
        <w:spacing w:after="80"/>
      </w:pPr>
      <w:r>
        <w:t>Person, business, or state agency that does business in CA and owns or</w:t>
      </w:r>
    </w:p>
    <w:p>
      <w:pPr>
        <w:spacing w:after="80"/>
      </w:pPr>
      <w:r>
        <w:t>licenses computerized data that contains PI.</w:t>
      </w:r>
    </w:p>
    <w:p>
      <w:pPr>
        <w:spacing w:after="80"/>
      </w:pPr>
      <w:r>
        <w:t>Cal. Civ. Code §</w:t>
      </w:r>
    </w:p>
    <w:p>
      <w:pPr>
        <w:pStyle w:val="ListNumber"/>
      </w:pPr>
      <w:r>
        <w:t>1798.29;                 Note: The provisions governing maintenance of PI not owned by the covered</w:t>
      </w:r>
    </w:p>
    <w:p>
      <w:pPr>
        <w:pStyle w:val="ListNumber"/>
      </w:pPr>
      <w:r>
        <w:t>1798.80 et seq.          entity appear applicable to any entity maintaining information on CA</w:t>
      </w:r>
    </w:p>
    <w:p>
      <w:pPr>
        <w:spacing w:after="80"/>
      </w:pPr>
      <w:r>
        <w:t>residents, whether or not the entity conducts business in CA.</w:t>
      </w:r>
    </w:p>
    <w:p>
      <w:pPr>
        <w:spacing w:after="80"/>
      </w:pPr>
      <w:r>
        <w:t>S.B. 1386                Security Breach</w:t>
      </w:r>
    </w:p>
    <w:p>
      <w:pPr>
        <w:spacing w:after="80"/>
      </w:pPr>
      <w:r>
        <w:t>Effective July 1, 2003</w:t>
      </w:r>
    </w:p>
    <w:p>
      <w:pPr>
        <w:spacing w:after="80"/>
      </w:pPr>
      <w:r>
        <w:t>Unauthorized acquisition of computerized data that compromises the</w:t>
      </w:r>
    </w:p>
    <w:p>
      <w:pPr>
        <w:spacing w:after="80"/>
      </w:pPr>
      <w:r>
        <w:t>security, confidentiality, or integrity of PI maintained by a covered entity.</w:t>
      </w:r>
    </w:p>
    <w:p>
      <w:pPr>
        <w:spacing w:after="80"/>
      </w:pPr>
      <w:r>
        <w:t>S.B. 24</w:t>
      </w:r>
    </w:p>
    <w:p>
      <w:pPr>
        <w:spacing w:after="80"/>
      </w:pPr>
      <w:r>
        <w:t>Effective Jan. 1, 2012   Good-faith acquisition of PI by an employee or agent of covered entity for</w:t>
      </w:r>
    </w:p>
    <w:p>
      <w:pPr>
        <w:spacing w:after="80"/>
      </w:pPr>
      <w:r>
        <w:t>the purposes of entity is not a breach of the security of the system, provided</w:t>
      </w:r>
    </w:p>
    <w:p>
      <w:pPr>
        <w:spacing w:after="80"/>
      </w:pPr>
      <w:r>
        <w:t>S.B. 46                  that the PI is not used or subject to further unauthorized disclosure.</w:t>
      </w:r>
    </w:p>
    <w:p>
      <w:pPr>
        <w:spacing w:after="80"/>
      </w:pPr>
      <w:r>
        <w:t>Effective Jan. 1, 2014</w:t>
      </w:r>
    </w:p>
    <w:p>
      <w:pPr>
        <w:spacing w:after="80"/>
      </w:pPr>
      <w:r>
        <w:t>Personal Information</w:t>
      </w:r>
    </w:p>
    <w:p>
      <w:pPr>
        <w:spacing w:after="80"/>
      </w:pPr>
      <w:r>
        <w:t>AB-1710                  (1) Individual’s first name (or first initial) and last name in combination with</w:t>
      </w:r>
    </w:p>
    <w:p>
      <w:pPr>
        <w:spacing w:after="80"/>
      </w:pPr>
      <w:r>
        <w:t>Effective Jan. 1, 2015   any one or more of the following data elements, when either the name or the</w:t>
      </w:r>
    </w:p>
    <w:p>
      <w:pPr>
        <w:spacing w:after="80"/>
      </w:pPr>
      <w:r>
        <w:t>data elements are not encrypted:</w:t>
      </w:r>
    </w:p>
    <w:p>
      <w:pPr>
        <w:spacing w:after="80"/>
      </w:pPr>
      <w:r>
        <w:t>Basis for Inclusion:         § Social Security Number;</w:t>
      </w:r>
    </w:p>
    <w:p>
      <w:pPr>
        <w:spacing w:after="80"/>
      </w:pPr>
      <w:r>
        <w:t>CA is the #1 state for       § Driver license number or CA identification card number;</w:t>
      </w:r>
    </w:p>
    <w:p>
      <w:pPr>
        <w:spacing w:after="80"/>
      </w:pPr>
      <w:r>
        <w:t>the most patron              § Account number or credit card number or debit card number in</w:t>
      </w:r>
    </w:p>
    <w:p>
      <w:pPr>
        <w:spacing w:after="80"/>
      </w:pPr>
      <w:r>
        <w:t>visitors to Acme Company                combination with any required security code, access code, or</w:t>
      </w:r>
    </w:p>
    <w:p>
      <w:pPr>
        <w:spacing w:after="80"/>
      </w:pPr>
      <w:r>
        <w:t>properties.                    password that would permit access to an individual’s financial</w:t>
      </w:r>
    </w:p>
    <w:p>
      <w:pPr>
        <w:spacing w:after="80"/>
      </w:pPr>
      <w:r>
        <w:t>account;</w:t>
      </w:r>
    </w:p>
    <w:p>
      <w:pPr>
        <w:pStyle w:val="ListBullet"/>
      </w:pPr>
      <w:r>
        <w:t>Medical information (any information regarding an individual’s</w:t>
      </w:r>
    </w:p>
    <w:p>
      <w:pPr>
        <w:spacing w:after="80"/>
      </w:pPr>
      <w:r>
        <w:t>medical history, mental or physical condition, or medical treatment or</w:t>
      </w:r>
    </w:p>
    <w:p>
      <w:pPr>
        <w:spacing w:after="80"/>
      </w:pPr>
      <w:r>
        <w:t>diagnosis by a health care professional); or</w:t>
      </w:r>
    </w:p>
    <w:p>
      <w:pPr>
        <w:pStyle w:val="ListBullet"/>
      </w:pPr>
      <w:r>
        <w:t>Health insurance information (an individual’s health insurance</w:t>
      </w:r>
    </w:p>
    <w:p>
      <w:pPr>
        <w:spacing w:after="80"/>
      </w:pPr>
      <w:r>
        <w:t>policy number or subscriber identification number, any unique</w:t>
      </w:r>
    </w:p>
    <w:p>
      <w:pPr>
        <w:spacing w:after="80"/>
      </w:pPr>
      <w:r>
        <w:t>identifier used by a health insurer to identify the individual, or any</w:t>
      </w:r>
    </w:p>
    <w:p>
      <w:pPr>
        <w:spacing w:after="80"/>
      </w:pPr>
      <w:r>
        <w:t>information in an individual’s application and claims history,</w:t>
      </w:r>
    </w:p>
    <w:p>
      <w:pPr>
        <w:spacing w:after="80"/>
      </w:pPr>
      <w:r>
        <w:t>including any appeals records).</w:t>
      </w:r>
    </w:p>
    <w:p>
      <w:pPr>
        <w:spacing w:after="80"/>
      </w:pPr>
      <w:r>
        <w:t>(2) User name or email address, in combination with a password or security</w:t>
      </w:r>
    </w:p>
    <w:p>
      <w:pPr>
        <w:spacing w:after="80"/>
      </w:pPr>
      <w:r>
        <w:t>question and answer that would permit access to an online account.</w:t>
      </w:r>
    </w:p>
    <w:p>
      <w:pPr>
        <w:spacing w:after="80"/>
      </w:pPr>
      <w:r>
        <w:t>PI does not include publicly available information that is lawfully made</w:t>
      </w:r>
    </w:p>
    <w:p>
      <w:pPr>
        <w:spacing w:after="80"/>
      </w:pPr>
      <w:r>
        <w:t>available to the general public from government records.</w:t>
      </w:r>
    </w:p>
    <w:p>
      <w:pPr>
        <w:spacing w:after="80"/>
      </w:pPr>
      <w:r>
        <w:t>Notification</w:t>
      </w:r>
    </w:p>
    <w:p>
      <w:pPr>
        <w:spacing w:after="80"/>
      </w:pPr>
      <w:r>
        <w:t>Affected CA Resident. Affected CA resident who’s unencrypted PI was, or</w:t>
      </w:r>
    </w:p>
    <w:p>
      <w:pPr>
        <w:spacing w:after="80"/>
      </w:pPr>
      <w:r>
        <w:t>is reasonably believed to have been, acquired by unauthorized person.</w:t>
      </w:r>
    </w:p>
    <w:p>
      <w:pPr>
        <w:spacing w:after="80"/>
      </w:pPr>
      <w:r>
        <w:t>Attorney General. If covered entity required to notify more than 500 CA</w:t>
      </w:r>
    </w:p>
    <w:p>
      <w:pPr>
        <w:spacing w:after="80"/>
      </w:pPr>
      <w:r>
        <w:t>residents, then entity to electronically submit single sample copy of</w:t>
      </w:r>
    </w:p>
    <w:p>
      <w:pPr>
        <w:spacing w:after="80"/>
      </w:pPr>
      <w:r>
        <w:t>notification, excluding personally identifiable information, to AG.</w:t>
      </w:r>
    </w:p>
    <w:p>
      <w:pPr>
        <w:spacing w:after="80"/>
      </w:pPr>
      <w:r>
        <w:t>Third-Party Data. If covered entity maintains computerized data that</w:t>
      </w:r>
    </w:p>
    <w:p>
      <w:pPr>
        <w:spacing w:after="80"/>
      </w:pPr>
      <w:r>
        <w:t>includes PI that the covered entity does not own, the entity must notify the</w:t>
      </w:r>
    </w:p>
    <w:p>
      <w:pPr>
        <w:spacing w:after="80"/>
      </w:pPr>
      <w:r>
        <w:t>owner or licensee of information of breach immediately following discovery</w:t>
      </w:r>
    </w:p>
    <w:p>
      <w:pPr>
        <w:spacing w:after="80"/>
      </w:pPr>
      <w:r>
        <w:t>if PI was, or is reasonably believed to have been, acquired by unauthorized</w:t>
      </w:r>
    </w:p>
    <w:p>
      <w:pPr>
        <w:spacing w:after="80"/>
      </w:pPr>
      <w:r>
        <w:t>person.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Timing. Most expedient time possible, without unreasonable delay,</w:t>
      </w:r>
    </w:p>
    <w:p>
      <w:pPr>
        <w:spacing w:after="80"/>
      </w:pPr>
      <w:r>
        <w:t>consistent with legitimate needs of law enforcement and any measures</w:t>
      </w:r>
    </w:p>
    <w:p>
      <w:pPr>
        <w:spacing w:after="80"/>
      </w:pPr>
      <w:r>
        <w:t>necessary to determine scope of the breach and restore reasonable integrity</w:t>
      </w:r>
    </w:p>
    <w:p>
      <w:pPr>
        <w:spacing w:after="80"/>
      </w:pPr>
      <w:r>
        <w:t>of data system.</w:t>
      </w:r>
    </w:p>
    <w:p>
      <w:pPr>
        <w:spacing w:after="80"/>
      </w:pPr>
      <w:r>
        <w:t>Form. Written or electronic, if consistent with electronic records and</w:t>
      </w:r>
    </w:p>
    <w:p>
      <w:pPr>
        <w:spacing w:after="80"/>
      </w:pPr>
      <w:r>
        <w:t>signatures provisions in 15 U.S.C. § 7001 (E-SIGN Act).</w:t>
      </w:r>
    </w:p>
    <w:p>
      <w:pPr>
        <w:spacing w:after="80"/>
      </w:pPr>
      <w:r>
        <w:t>For breaches of login credentials for an email account furnished by the</w:t>
      </w:r>
    </w:p>
    <w:p>
      <w:pPr>
        <w:spacing w:after="80"/>
      </w:pPr>
      <w:r>
        <w:t>covered entity, notice may not be provided to the breached email address,</w:t>
      </w:r>
    </w:p>
    <w:p>
      <w:pPr>
        <w:spacing w:after="80"/>
      </w:pPr>
      <w:r>
        <w:t>but may be provided by one of the following methods:</w:t>
      </w:r>
    </w:p>
    <w:p>
      <w:pPr>
        <w:pStyle w:val="ListBullet"/>
      </w:pPr>
      <w:r>
        <w:t>Written notice;</w:t>
      </w:r>
    </w:p>
    <w:p>
      <w:pPr>
        <w:pStyle w:val="ListBullet"/>
      </w:pPr>
      <w:r>
        <w:t>Electronic notice, if consistent with electronic records and signatures</w:t>
      </w:r>
    </w:p>
    <w:p>
      <w:pPr>
        <w:spacing w:after="80"/>
      </w:pPr>
      <w:r>
        <w:t>provisions in 15 U.S.C. § 7001 (E-SIGN Act); or</w:t>
      </w:r>
    </w:p>
    <w:p>
      <w:pPr>
        <w:pStyle w:val="ListBullet"/>
      </w:pPr>
      <w:r>
        <w:t>Clear and conspicuous notice delivered to CA resident online when</w:t>
      </w:r>
    </w:p>
    <w:p>
      <w:pPr>
        <w:spacing w:after="80"/>
      </w:pPr>
      <w:r>
        <w:t>CA resident is connected to online account from an IP address or</w:t>
      </w:r>
    </w:p>
    <w:p>
      <w:pPr>
        <w:spacing w:after="80"/>
      </w:pPr>
      <w:r>
        <w:t>online location from which covered entity knows the CA resident</w:t>
      </w:r>
    </w:p>
    <w:p>
      <w:pPr>
        <w:spacing w:after="80"/>
      </w:pPr>
      <w:r>
        <w:t>customarily accesses account.</w:t>
      </w:r>
    </w:p>
    <w:p>
      <w:pPr>
        <w:spacing w:after="80"/>
      </w:pPr>
      <w:r>
        <w:t>Content. Notice shall be written in plain language and include the</w:t>
      </w:r>
    </w:p>
    <w:p>
      <w:pPr>
        <w:spacing w:after="80"/>
      </w:pPr>
      <w:r>
        <w:t>following:</w:t>
      </w:r>
    </w:p>
    <w:p>
      <w:pPr>
        <w:pStyle w:val="ListBullet"/>
      </w:pPr>
      <w:r>
        <w:t>Date of the notice;</w:t>
      </w:r>
    </w:p>
    <w:p>
      <w:pPr>
        <w:pStyle w:val="ListBullet"/>
      </w:pPr>
      <w:r>
        <w:t>Name and contact information of reporting person or entity;</w:t>
      </w:r>
    </w:p>
    <w:p>
      <w:pPr>
        <w:pStyle w:val="ListBullet"/>
      </w:pPr>
      <w:r>
        <w:t>Type of PI subject to the unauthorized access and acquisition;</w:t>
      </w:r>
    </w:p>
    <w:p>
      <w:pPr>
        <w:pStyle w:val="ListBullet"/>
      </w:pPr>
      <w:r>
        <w:t>Date, estimated date, or date range during which breach occurred, if it</w:t>
      </w:r>
    </w:p>
    <w:p>
      <w:pPr>
        <w:spacing w:after="80"/>
      </w:pPr>
      <w:r>
        <w:t>can be determined;</w:t>
      </w:r>
    </w:p>
    <w:p>
      <w:pPr>
        <w:pStyle w:val="ListBullet"/>
      </w:pPr>
      <w:r>
        <w:t>Whether notification was delayed as a result of law enforcement</w:t>
      </w:r>
    </w:p>
    <w:p>
      <w:pPr>
        <w:spacing w:after="80"/>
      </w:pPr>
      <w:r>
        <w:t>investigation, if that can be determined;</w:t>
      </w:r>
    </w:p>
    <w:p>
      <w:pPr>
        <w:pStyle w:val="ListBullet"/>
      </w:pPr>
      <w:r>
        <w:t>General description of breach incident, if that information is possible</w:t>
      </w:r>
    </w:p>
    <w:p>
      <w:pPr>
        <w:spacing w:after="80"/>
      </w:pPr>
      <w:r>
        <w:t>to determine at time notice provided;</w:t>
      </w:r>
    </w:p>
    <w:p>
      <w:pPr>
        <w:pStyle w:val="ListBullet"/>
      </w:pPr>
      <w:r>
        <w:t>Toll-free telephone numbers and addresses of major credit reporting</w:t>
      </w:r>
    </w:p>
    <w:p>
      <w:pPr>
        <w:spacing w:after="80"/>
      </w:pPr>
      <w:r>
        <w:t>agencies if breach exposed a social security number or a driver's</w:t>
      </w:r>
    </w:p>
    <w:p>
      <w:pPr>
        <w:spacing w:after="80"/>
      </w:pPr>
      <w:r>
        <w:t>license or CA identification card number;</w:t>
      </w:r>
    </w:p>
    <w:p>
      <w:pPr>
        <w:pStyle w:val="ListBullet"/>
      </w:pPr>
      <w:r>
        <w:t>If person or business providing notification was source of breach, an</w:t>
      </w:r>
    </w:p>
    <w:p>
      <w:pPr>
        <w:spacing w:after="80"/>
      </w:pPr>
      <w:r>
        <w:t>offer to provide appropriate identity theft prevention and mitigation</w:t>
      </w:r>
    </w:p>
    <w:p>
      <w:pPr>
        <w:spacing w:after="80"/>
      </w:pPr>
      <w:r>
        <w:t>services, if any, to be provided at no cost to affected person for not</w:t>
      </w:r>
    </w:p>
    <w:p>
      <w:pPr>
        <w:spacing w:after="80"/>
      </w:pPr>
      <w:r>
        <w:t>less than 12 months, along with all information necessary to take</w:t>
      </w:r>
    </w:p>
    <w:p>
      <w:pPr>
        <w:spacing w:after="80"/>
      </w:pPr>
      <w:r>
        <w:t>advantage of offer to person whose information was or may have been</w:t>
      </w:r>
    </w:p>
    <w:p>
      <w:pPr>
        <w:spacing w:after="80"/>
      </w:pPr>
      <w:r>
        <w:t>breached if the breach exposed or may have exposed personal</w:t>
      </w:r>
    </w:p>
    <w:p>
      <w:pPr>
        <w:spacing w:after="80"/>
      </w:pPr>
      <w:r>
        <w:t>information involving social security numbers, driver’s license, or CA</w:t>
      </w:r>
    </w:p>
    <w:p>
      <w:pPr>
        <w:spacing w:after="80"/>
      </w:pPr>
      <w:r>
        <w:t>identification card numbers.</w:t>
      </w:r>
    </w:p>
    <w:p>
      <w:pPr>
        <w:spacing w:after="80"/>
      </w:pPr>
      <w:r>
        <w:t>At the covered entity’s discretion, the notice may also include:</w:t>
      </w:r>
    </w:p>
    <w:p>
      <w:pPr>
        <w:pStyle w:val="ListBullet"/>
      </w:pPr>
      <w:r>
        <w:t>Information about what covered entity has done to protect individuals</w:t>
      </w:r>
    </w:p>
    <w:p>
      <w:pPr>
        <w:spacing w:after="80"/>
      </w:pPr>
      <w:r>
        <w:t>whose information has been breached;</w:t>
      </w:r>
    </w:p>
    <w:p>
      <w:pPr>
        <w:pStyle w:val="ListBullet"/>
      </w:pPr>
      <w:r>
        <w:t>Advice on steps that the person whose information was breached may</w:t>
      </w:r>
    </w:p>
    <w:p>
      <w:pPr>
        <w:spacing w:after="80"/>
      </w:pPr>
      <w:r>
        <w:t>take to protect him or herself</w:t>
      </w:r>
    </w:p>
    <w:p>
      <w:pPr>
        <w:spacing w:after="80"/>
      </w:pPr>
      <w:r>
        <w:t>For breaches of only user name or email address, in combination with a</w:t>
      </w:r>
    </w:p>
    <w:p>
      <w:pPr>
        <w:spacing w:after="80"/>
      </w:pPr>
      <w:r>
        <w:t>password or security question and answer that would permit access to an</w:t>
      </w:r>
    </w:p>
    <w:p>
      <w:pPr>
        <w:spacing w:after="80"/>
      </w:pPr>
      <w:r>
        <w:t>online account, notice may be provided in electronic or other form and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should direct CA residents to:</w:t>
      </w:r>
    </w:p>
    <w:p>
      <w:pPr>
        <w:pStyle w:val="ListBullet"/>
      </w:pPr>
      <w:r>
        <w:t>Promptly change their password, security question or answer, or</w:t>
      </w:r>
    </w:p>
    <w:p>
      <w:pPr>
        <w:pStyle w:val="ListBullet"/>
      </w:pPr>
      <w:r>
        <w:t>Take other appropriate steps to protect the online account with</w:t>
      </w:r>
    </w:p>
    <w:p>
      <w:pPr>
        <w:spacing w:after="80"/>
      </w:pPr>
      <w:r>
        <w:t>covered entity and all other online accounts with same user name or</w:t>
      </w:r>
    </w:p>
    <w:p>
      <w:pPr>
        <w:spacing w:after="80"/>
      </w:pPr>
      <w:r>
        <w:t>email address and password or security question or answer.</w:t>
      </w:r>
    </w:p>
    <w:p>
      <w:pPr>
        <w:spacing w:after="80"/>
      </w:pPr>
      <w:r>
        <w:t>Substitute Notice Available. If cost exceeds $250,000, or affected class of</w:t>
      </w:r>
    </w:p>
    <w:p>
      <w:pPr>
        <w:spacing w:after="80"/>
      </w:pPr>
      <w:r>
        <w:t>subject persons exceeds 500,000, or covered entity lacks sufficient contact</w:t>
      </w:r>
    </w:p>
    <w:p>
      <w:pPr>
        <w:spacing w:after="80"/>
      </w:pPr>
      <w:r>
        <w:t>information, substitute notice available:</w:t>
      </w:r>
    </w:p>
    <w:p>
      <w:pPr>
        <w:pStyle w:val="ListBullet"/>
      </w:pPr>
      <w:r>
        <w:t>Email notice, if covered entity has an email address for subject</w:t>
      </w:r>
    </w:p>
    <w:p>
      <w:pPr>
        <w:spacing w:after="80"/>
      </w:pPr>
      <w:r>
        <w:t>persons;</w:t>
      </w:r>
    </w:p>
    <w:p>
      <w:pPr>
        <w:pStyle w:val="ListBullet"/>
      </w:pPr>
      <w:r>
        <w:t>Conspicuous posting of the notice on covered entity’s Web site, if</w:t>
      </w:r>
    </w:p>
    <w:p>
      <w:pPr>
        <w:spacing w:after="80"/>
      </w:pPr>
      <w:r>
        <w:t>maintained; and</w:t>
      </w:r>
    </w:p>
    <w:p>
      <w:pPr>
        <w:pStyle w:val="ListBullet"/>
      </w:pPr>
      <w:r>
        <w:t>Notification to major statewide media. State agencies using substitute</w:t>
      </w:r>
    </w:p>
    <w:p>
      <w:pPr>
        <w:spacing w:after="80"/>
      </w:pPr>
      <w:r>
        <w:t>notice must also notify the CA Office of Information Security within</w:t>
      </w:r>
    </w:p>
    <w:p>
      <w:pPr>
        <w:spacing w:after="80"/>
      </w:pPr>
      <w:r>
        <w:t>the Department of Technology.</w:t>
      </w:r>
    </w:p>
    <w:p>
      <w:pPr>
        <w:spacing w:after="80"/>
      </w:pPr>
      <w:r>
        <w:t>Exception—Own Notification Policy. Covered entity that maintains its</w:t>
      </w:r>
    </w:p>
    <w:p>
      <w:pPr>
        <w:spacing w:after="80"/>
      </w:pPr>
      <w:r>
        <w:t>own notification procedures, consistent with timing requirements, deemed in</w:t>
      </w:r>
    </w:p>
    <w:p>
      <w:pPr>
        <w:spacing w:after="80"/>
      </w:pPr>
      <w:r>
        <w:t>compliance with notification requirements if it notifies subject persons in</w:t>
      </w:r>
    </w:p>
    <w:p>
      <w:pPr>
        <w:spacing w:after="80"/>
      </w:pPr>
      <w:r>
        <w:t>accordance with its policies.</w:t>
      </w:r>
    </w:p>
    <w:p>
      <w:pPr>
        <w:spacing w:after="80"/>
      </w:pPr>
      <w:r>
        <w:t>Exception—HIPAA-Covered Entities. Covered entity under Health</w:t>
      </w:r>
    </w:p>
    <w:p>
      <w:pPr>
        <w:spacing w:after="80"/>
      </w:pPr>
      <w:r>
        <w:t>Insurance Portability and Accountability Act of 1996 (HIPAA) deemed to</w:t>
      </w:r>
    </w:p>
    <w:p>
      <w:pPr>
        <w:spacing w:after="80"/>
      </w:pPr>
      <w:r>
        <w:t>comply with notice requirements if it has complied with notice requirements</w:t>
      </w:r>
    </w:p>
    <w:p>
      <w:pPr>
        <w:spacing w:after="80"/>
      </w:pPr>
      <w:r>
        <w:t>in Section 13402(f) of the Health Information Technology for Economic and</w:t>
      </w:r>
    </w:p>
    <w:p>
      <w:pPr>
        <w:spacing w:after="80"/>
      </w:pPr>
      <w:r>
        <w:t>Clinical Health Act (HITECH).</w:t>
      </w:r>
    </w:p>
    <w:p>
      <w:pPr>
        <w:spacing w:after="80"/>
      </w:pPr>
      <w:r>
        <w:t>Penalties</w:t>
      </w:r>
    </w:p>
    <w:p>
      <w:pPr>
        <w:spacing w:after="80"/>
      </w:pPr>
      <w:r>
        <w:t>Private Right of Action. Any customer injured may institute civil action to</w:t>
      </w:r>
    </w:p>
    <w:p>
      <w:pPr>
        <w:spacing w:after="80"/>
      </w:pPr>
      <w:r>
        <w:t>recover damages. Any business that violates, proposes to violate, or has</w:t>
      </w:r>
    </w:p>
    <w:p>
      <w:pPr>
        <w:spacing w:after="80"/>
      </w:pPr>
      <w:r>
        <w:t>violated this title may be enjoined.</w:t>
      </w:r>
    </w:p>
    <w:p>
      <w:pPr>
        <w:spacing w:after="80"/>
      </w:pPr>
      <w:r>
        <w:t>Other Key Provisions</w:t>
      </w:r>
    </w:p>
    <w:p>
      <w:pPr>
        <w:spacing w:after="80"/>
      </w:pPr>
      <w:r>
        <w:t>Delay for Law Enforcement. Notification may be delayed if law</w:t>
      </w:r>
    </w:p>
    <w:p>
      <w:pPr>
        <w:spacing w:after="80"/>
      </w:pPr>
      <w:r>
        <w:t>enforcement determines that notification will impede a criminal</w:t>
      </w:r>
    </w:p>
    <w:p>
      <w:pPr>
        <w:spacing w:after="80"/>
      </w:pPr>
      <w:r>
        <w:t>investigation. Notification to be made promptly after law enforcement</w:t>
      </w:r>
    </w:p>
    <w:p>
      <w:pPr>
        <w:spacing w:after="80"/>
      </w:pPr>
      <w:r>
        <w:t>determines that it will not compromise investigation.</w:t>
      </w:r>
    </w:p>
    <w:p>
      <w:pPr>
        <w:spacing w:after="80"/>
      </w:pPr>
      <w:r>
        <w:t>Waiver Not Permitted.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Delaware                  Covered Entities</w:t>
      </w:r>
    </w:p>
    <w:p>
      <w:pPr>
        <w:spacing w:after="80"/>
      </w:pPr>
      <w:r>
        <w:t>Any individual or commercial entity that conducts business in DE and</w:t>
      </w:r>
    </w:p>
    <w:p>
      <w:pPr>
        <w:spacing w:after="80"/>
      </w:pPr>
      <w:r>
        <w:t>owns or licenses computerized data that includes PI about DE resident</w:t>
      </w:r>
    </w:p>
    <w:p>
      <w:pPr>
        <w:spacing w:after="80"/>
      </w:pPr>
      <w:r>
        <w:t>Del. Code Ann. Title 6</w:t>
      </w:r>
    </w:p>
    <w:p>
      <w:pPr>
        <w:spacing w:after="80"/>
      </w:pPr>
      <w:r>
        <w:t>The provisions governing maintenance of PI that Covered Entity does not</w:t>
      </w:r>
    </w:p>
    <w:p>
      <w:pPr>
        <w:pStyle w:val="ListBullet"/>
      </w:pPr>
      <w:r>
        <w:t>12B-101 et seq.</w:t>
      </w:r>
    </w:p>
    <w:p>
      <w:pPr>
        <w:spacing w:after="80"/>
      </w:pPr>
      <w:r>
        <w:t>own appear applicable to any entity maintaining information on DE</w:t>
      </w:r>
    </w:p>
    <w:p>
      <w:pPr>
        <w:spacing w:after="80"/>
      </w:pPr>
      <w:r>
        <w:t>residents, whether or not covered entity conducts business in DE.</w:t>
      </w:r>
    </w:p>
    <w:p>
      <w:pPr>
        <w:spacing w:after="80"/>
      </w:pPr>
      <w:r>
        <w:t>H.B. 116</w:t>
      </w:r>
    </w:p>
    <w:p>
      <w:pPr>
        <w:spacing w:after="80"/>
      </w:pPr>
      <w:r>
        <w:t>Effective June 28, 2005   Security Breach</w:t>
      </w:r>
    </w:p>
    <w:p>
      <w:pPr>
        <w:spacing w:after="80"/>
      </w:pPr>
      <w:r>
        <w:t>An unauthorized acquisition of unencrypted computerized data that</w:t>
      </w:r>
    </w:p>
    <w:p>
      <w:pPr>
        <w:spacing w:after="80"/>
      </w:pPr>
      <w:r>
        <w:t>H.B. 247                  compromises security, confidentiality, or integrity of PI maintained by</w:t>
      </w:r>
    </w:p>
    <w:p>
      <w:pPr>
        <w:spacing w:after="80"/>
      </w:pPr>
      <w:r>
        <w:t>Effective June 10, 2010   covered entity.</w:t>
      </w:r>
    </w:p>
    <w:p>
      <w:pPr>
        <w:spacing w:after="80"/>
      </w:pPr>
      <w:r>
        <w:t>Basis for Inclusion:      Good-faith acquisition of PI by employee or agent f is not breach if PI is</w:t>
      </w:r>
    </w:p>
    <w:p>
      <w:pPr>
        <w:spacing w:after="80"/>
      </w:pPr>
      <w:r>
        <w:t>ACME is                  not used or subject to further unauthorized disclosure.</w:t>
      </w:r>
    </w:p>
    <w:p>
      <w:pPr>
        <w:spacing w:after="80"/>
      </w:pPr>
      <w:r>
        <w:t>incorporated in the</w:t>
      </w:r>
    </w:p>
    <w:p>
      <w:pPr>
        <w:spacing w:after="80"/>
      </w:pPr>
      <w:r>
        <w:t>Personal Information</w:t>
      </w:r>
    </w:p>
    <w:p>
      <w:pPr>
        <w:spacing w:after="80"/>
      </w:pPr>
      <w:r>
        <w:t>state of Delaware.</w:t>
      </w:r>
    </w:p>
    <w:p>
      <w:pPr>
        <w:spacing w:after="80"/>
      </w:pPr>
      <w:r>
        <w:t>DE resident’s first name or first initial and last name, in combination with</w:t>
      </w:r>
    </w:p>
    <w:p>
      <w:pPr>
        <w:spacing w:after="80"/>
      </w:pPr>
      <w:r>
        <w:t>any one or more of the following data elements that relate to the resident,</w:t>
      </w:r>
    </w:p>
    <w:p>
      <w:pPr>
        <w:spacing w:after="80"/>
      </w:pPr>
      <w:r>
        <w:t>when either the name or the data elements are not encrypted:</w:t>
      </w:r>
    </w:p>
    <w:p>
      <w:pPr>
        <w:pStyle w:val="ListBullet"/>
      </w:pPr>
      <w:r>
        <w:t>Social Security Number;</w:t>
      </w:r>
    </w:p>
    <w:p>
      <w:pPr>
        <w:pStyle w:val="ListBullet"/>
      </w:pPr>
      <w:r>
        <w:t>Driver license number or DE identification card number; or</w:t>
      </w:r>
    </w:p>
    <w:p>
      <w:pPr>
        <w:pStyle w:val="ListBullet"/>
      </w:pPr>
      <w:r>
        <w:t>Account number or credit card number or debit card number in</w:t>
      </w:r>
    </w:p>
    <w:p>
      <w:pPr>
        <w:spacing w:after="80"/>
      </w:pPr>
      <w:r>
        <w:t>combination with any required security code, access code, or</w:t>
      </w:r>
    </w:p>
    <w:p>
      <w:pPr>
        <w:spacing w:after="80"/>
      </w:pPr>
      <w:r>
        <w:t>password that would permit access to a resident’s financial</w:t>
      </w:r>
    </w:p>
    <w:p>
      <w:pPr>
        <w:spacing w:after="80"/>
      </w:pPr>
      <w:r>
        <w:t>account.</w:t>
      </w:r>
    </w:p>
    <w:p>
      <w:pPr>
        <w:spacing w:after="80"/>
      </w:pPr>
      <w:r>
        <w:t>PI does not include publicly available information that is lawfully made</w:t>
      </w:r>
    </w:p>
    <w:p>
      <w:pPr>
        <w:spacing w:after="80"/>
      </w:pPr>
      <w:r>
        <w:t>available to the general public from federal, state, or local government</w:t>
      </w:r>
    </w:p>
    <w:p>
      <w:pPr>
        <w:spacing w:after="80"/>
      </w:pPr>
      <w:r>
        <w:t>records.</w:t>
      </w:r>
    </w:p>
    <w:p>
      <w:pPr>
        <w:spacing w:after="80"/>
      </w:pPr>
      <w:r>
        <w:t>Notification</w:t>
      </w:r>
    </w:p>
    <w:p>
      <w:pPr>
        <w:spacing w:after="80"/>
      </w:pPr>
      <w:r>
        <w:t>Affected DE Resident. Covered entity to notify affected DE resident</w:t>
      </w:r>
    </w:p>
    <w:p>
      <w:pPr>
        <w:spacing w:after="80"/>
      </w:pPr>
      <w:r>
        <w:t>upon knowledge of breach.</w:t>
      </w:r>
    </w:p>
    <w:p>
      <w:pPr>
        <w:spacing w:after="80"/>
      </w:pPr>
      <w:r>
        <w:t>Notification is not required if after a good-faith, reasonable, and prompt</w:t>
      </w:r>
    </w:p>
    <w:p>
      <w:pPr>
        <w:spacing w:after="80"/>
      </w:pPr>
      <w:r>
        <w:t>investigation determines there is no reasonable likelihood of harm to</w:t>
      </w:r>
    </w:p>
    <w:p>
      <w:pPr>
        <w:spacing w:after="80"/>
      </w:pPr>
      <w:r>
        <w:t>consumers.</w:t>
      </w:r>
    </w:p>
    <w:p>
      <w:pPr>
        <w:spacing w:after="80"/>
      </w:pPr>
      <w:r>
        <w:t>Third-Party Data. Covered entity that maintains computerized data that</w:t>
      </w:r>
    </w:p>
    <w:p>
      <w:pPr>
        <w:spacing w:after="80"/>
      </w:pPr>
      <w:r>
        <w:t>includes PI that is not owned or licensed to give notice to and cooperate</w:t>
      </w:r>
    </w:p>
    <w:p>
      <w:pPr>
        <w:spacing w:after="80"/>
      </w:pPr>
      <w:r>
        <w:t>with owner or licensee of information of any breach immediately</w:t>
      </w:r>
    </w:p>
    <w:p>
      <w:pPr>
        <w:spacing w:after="80"/>
      </w:pPr>
      <w:r>
        <w:t>following discovery, if misuse of PI about DE resident occurred or is</w:t>
      </w:r>
    </w:p>
    <w:p>
      <w:pPr>
        <w:spacing w:after="80"/>
      </w:pPr>
      <w:r>
        <w:t>reasonably likely to occur. Cooperation includes sharing with owner or</w:t>
      </w:r>
    </w:p>
    <w:p>
      <w:pPr>
        <w:spacing w:after="80"/>
      </w:pPr>
      <w:r>
        <w:t>licensee information relevant to breach.</w:t>
      </w:r>
    </w:p>
    <w:p>
      <w:pPr>
        <w:spacing w:after="80"/>
      </w:pPr>
      <w:r>
        <w:t>Timing. Most expedient time possible and without unreasonable delay,</w:t>
      </w:r>
    </w:p>
    <w:p>
      <w:pPr>
        <w:spacing w:after="80"/>
      </w:pPr>
      <w:r>
        <w:t>consistent with any measures necessary to determine scope of breach and</w:t>
      </w:r>
    </w:p>
    <w:p>
      <w:pPr>
        <w:spacing w:after="80"/>
      </w:pPr>
      <w:r>
        <w:t>to restore reasonable integrity of computerized data system.</w:t>
      </w:r>
    </w:p>
    <w:p>
      <w:pPr>
        <w:spacing w:after="80"/>
      </w:pPr>
      <w:r>
        <w:t>Form. Written, telephonic or electronic, if consistent with provisions</w:t>
      </w:r>
    </w:p>
    <w:p>
      <w:pPr>
        <w:spacing w:after="80"/>
      </w:pPr>
      <w:r>
        <w:t>regarding electronic records and signatures in 15 U.S.C. § 7001(E-</w:t>
      </w:r>
    </w:p>
    <w:p>
      <w:pPr>
        <w:spacing w:after="80"/>
      </w:pPr>
      <w:r>
        <w:t>SIGN Act).</w:t>
      </w:r>
    </w:p>
    <w:p>
      <w:pPr>
        <w:spacing w:after="80"/>
      </w:pPr>
      <w:r>
        <w:t>Substitute Notice Available. Substitute notice available if cost will</w:t>
      </w:r>
    </w:p>
    <w:p>
      <w:pPr>
        <w:spacing w:after="80"/>
      </w:pPr>
      <w:r>
        <w:t>exceed $75,000, affected class of DE residents exceeds 100,000, or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covered entity lacks sufficient contact information:</w:t>
      </w:r>
    </w:p>
    <w:p>
      <w:pPr>
        <w:pStyle w:val="ListBullet"/>
      </w:pPr>
      <w:r>
        <w:t>Email notice if email addresses available;</w:t>
      </w:r>
    </w:p>
    <w:p>
      <w:pPr>
        <w:pStyle w:val="ListBullet"/>
      </w:pPr>
      <w:r>
        <w:t>Conspicuous posting of notice on covered entity web site, if</w:t>
      </w:r>
    </w:p>
    <w:p>
      <w:pPr>
        <w:spacing w:after="80"/>
      </w:pPr>
      <w:r>
        <w:t>maintained; and</w:t>
      </w:r>
    </w:p>
    <w:p>
      <w:pPr>
        <w:pStyle w:val="ListBullet"/>
      </w:pPr>
      <w:r>
        <w:t>Notice to major statewide media.</w:t>
      </w:r>
    </w:p>
    <w:p>
      <w:pPr>
        <w:spacing w:after="80"/>
      </w:pPr>
      <w:r>
        <w:t>Exception--Own Notification Policy. Covered entity maintains own</w:t>
      </w:r>
    </w:p>
    <w:p>
      <w:pPr>
        <w:spacing w:after="80"/>
      </w:pPr>
      <w:r>
        <w:t>notification procedures, consistent with timing requirements, deemed in</w:t>
      </w:r>
    </w:p>
    <w:p>
      <w:pPr>
        <w:spacing w:after="80"/>
      </w:pPr>
      <w:r>
        <w:t>compliance with notification requirements if it notifies subject persons in</w:t>
      </w:r>
    </w:p>
    <w:p>
      <w:pPr>
        <w:spacing w:after="80"/>
      </w:pPr>
      <w:r>
        <w:t>accordance with its policies.</w:t>
      </w:r>
    </w:p>
    <w:p>
      <w:pPr>
        <w:spacing w:after="80"/>
      </w:pPr>
      <w:r>
        <w:t>Exception—Compliance with other Laws. Notification pursuant to</w:t>
      </w:r>
    </w:p>
    <w:p>
      <w:pPr>
        <w:spacing w:after="80"/>
      </w:pPr>
      <w:r>
        <w:t>laws, rules, regulations, guidance, or guidelines established by Covered</w:t>
      </w:r>
    </w:p>
    <w:p>
      <w:pPr>
        <w:spacing w:after="80"/>
      </w:pPr>
      <w:r>
        <w:t>Entity’s primary or functional state regulator sufficient for compliance.</w:t>
      </w:r>
    </w:p>
    <w:p>
      <w:pPr>
        <w:spacing w:after="80"/>
      </w:pPr>
      <w:r>
        <w:t>Penalties</w:t>
      </w:r>
    </w:p>
    <w:p>
      <w:pPr>
        <w:spacing w:after="80"/>
      </w:pPr>
      <w:r>
        <w:t>AG Enforcement. AG may bring an action to address violations and for</w:t>
      </w:r>
    </w:p>
    <w:p>
      <w:pPr>
        <w:spacing w:after="80"/>
      </w:pPr>
      <w:r>
        <w:t>other relief necessary to ensure compliance and recover direct economic</w:t>
      </w:r>
    </w:p>
    <w:p>
      <w:pPr>
        <w:spacing w:after="80"/>
      </w:pPr>
      <w:r>
        <w:t>damages.</w:t>
      </w:r>
    </w:p>
    <w:p>
      <w:pPr>
        <w:spacing w:after="80"/>
      </w:pPr>
      <w:r>
        <w:t>Other Key Provisions</w:t>
      </w:r>
    </w:p>
    <w:p>
      <w:pPr>
        <w:spacing w:after="80"/>
      </w:pPr>
      <w:r>
        <w:t>Delay for Law Enforcement. Notice may be delayed if law enforcement</w:t>
      </w:r>
    </w:p>
    <w:p>
      <w:pPr>
        <w:spacing w:after="80"/>
      </w:pPr>
      <w:r>
        <w:t>determines that notice will impede a criminal investigation and provides</w:t>
      </w:r>
    </w:p>
    <w:p>
      <w:pPr>
        <w:spacing w:after="80"/>
      </w:pPr>
      <w:r>
        <w:t>covered entity with a written request of delay. After law enforcement</w:t>
      </w:r>
    </w:p>
    <w:p>
      <w:pPr>
        <w:spacing w:after="80"/>
      </w:pPr>
      <w:r>
        <w:t>determines that notification will no longer impede the investigation, notice</w:t>
      </w:r>
    </w:p>
    <w:p>
      <w:pPr>
        <w:spacing w:after="80"/>
      </w:pPr>
      <w:r>
        <w:t>must be made without unreasonable delay and as soon as possible.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District of              Covered Entities</w:t>
      </w:r>
    </w:p>
    <w:p>
      <w:pPr>
        <w:spacing w:after="80"/>
      </w:pPr>
      <w:r>
        <w:t>Person, business, or state agency that does business in DC and owns or</w:t>
      </w:r>
    </w:p>
    <w:p>
      <w:pPr>
        <w:spacing w:after="80"/>
      </w:pPr>
      <w:r>
        <w:t>Columbia                 licenses computerized data that contains PI.</w:t>
      </w:r>
    </w:p>
    <w:p>
      <w:pPr>
        <w:spacing w:after="80"/>
      </w:pPr>
      <w:r>
        <w:t>Note: The provisions governing maintenance of PI not owned by the</w:t>
      </w:r>
    </w:p>
    <w:p>
      <w:pPr>
        <w:spacing w:after="80"/>
      </w:pPr>
      <w:r>
        <w:t>D.C. Code § 28-3851      covered entity appear applicable to any entity maintaining information on</w:t>
      </w:r>
    </w:p>
    <w:p>
      <w:pPr>
        <w:spacing w:after="80"/>
      </w:pPr>
      <w:r>
        <w:t>et seq.                  DC residents, whether or not the entity conducts business in DC.</w:t>
      </w:r>
    </w:p>
    <w:p>
      <w:pPr>
        <w:spacing w:after="80"/>
      </w:pPr>
      <w:r>
        <w:t>Counsel Bill 16-810      Security Breach</w:t>
      </w:r>
    </w:p>
    <w:p>
      <w:pPr>
        <w:spacing w:after="80"/>
      </w:pPr>
      <w:r>
        <w:t>Effective July 1, 2007   Unauthorized acquisition of computerized or other electronic data, or any</w:t>
      </w:r>
    </w:p>
    <w:p>
      <w:pPr>
        <w:spacing w:after="80"/>
      </w:pPr>
      <w:r>
        <w:t>equipment or device storing such data, that compromises the security,</w:t>
      </w:r>
    </w:p>
    <w:p>
      <w:pPr>
        <w:spacing w:after="80"/>
      </w:pPr>
      <w:r>
        <w:t>confidentiality, or integrity of PI maintained by covered entity.</w:t>
      </w:r>
    </w:p>
    <w:p>
      <w:pPr>
        <w:spacing w:after="80"/>
      </w:pPr>
      <w:r>
        <w:t>Good-faith acquisition of PI by an employee or agent of covered entity for</w:t>
      </w:r>
    </w:p>
    <w:p>
      <w:pPr>
        <w:spacing w:after="80"/>
      </w:pPr>
      <w:r>
        <w:t>the purposes of entity is not a breach of the security of the system, if PI is</w:t>
      </w:r>
    </w:p>
    <w:p>
      <w:pPr>
        <w:spacing w:after="80"/>
      </w:pPr>
      <w:r>
        <w:t>not improperly used or subject to further unauthorized disclosure.</w:t>
      </w:r>
    </w:p>
    <w:p>
      <w:pPr>
        <w:spacing w:after="80"/>
      </w:pPr>
      <w:r>
        <w:t>Personal Information</w:t>
      </w:r>
    </w:p>
    <w:p>
      <w:pPr>
        <w:spacing w:after="80"/>
      </w:pPr>
      <w:r>
        <w:t>Any number or code or combination of numbers or codes, such as account</w:t>
      </w:r>
    </w:p>
    <w:p>
      <w:pPr>
        <w:spacing w:after="80"/>
      </w:pPr>
      <w:r>
        <w:t>number, security code, access code, or password, that allows access to or</w:t>
      </w:r>
    </w:p>
    <w:p>
      <w:pPr>
        <w:spacing w:after="80"/>
      </w:pPr>
      <w:r>
        <w:t>use of an individual’s financial or credit account, or an individual’s first</w:t>
      </w:r>
    </w:p>
    <w:p>
      <w:pPr>
        <w:spacing w:after="80"/>
      </w:pPr>
      <w:r>
        <w:t>name or first initial and last name, or phone number, or address, and any</w:t>
      </w:r>
    </w:p>
    <w:p>
      <w:pPr>
        <w:spacing w:after="80"/>
      </w:pPr>
      <w:r>
        <w:t>one or more of the following data elements:</w:t>
      </w:r>
    </w:p>
    <w:p>
      <w:pPr>
        <w:pStyle w:val="ListBullet"/>
      </w:pPr>
      <w:r>
        <w:t>Social Security Number;</w:t>
      </w:r>
    </w:p>
    <w:p>
      <w:pPr>
        <w:pStyle w:val="ListBullet"/>
      </w:pPr>
      <w:r>
        <w:t>Driver license number or DC identification card number; or</w:t>
      </w:r>
    </w:p>
    <w:p>
      <w:pPr>
        <w:pStyle w:val="ListBullet"/>
      </w:pPr>
      <w:r>
        <w:t>Credit card number or debit card number.</w:t>
      </w:r>
    </w:p>
    <w:p>
      <w:pPr>
        <w:spacing w:after="80"/>
      </w:pPr>
      <w:r>
        <w:t>Notification</w:t>
      </w:r>
    </w:p>
    <w:p>
      <w:pPr>
        <w:spacing w:after="80"/>
      </w:pPr>
      <w:r>
        <w:t>Affected DC Resident. Affected DC resident who’s PI was included in</w:t>
      </w:r>
    </w:p>
    <w:p>
      <w:pPr>
        <w:spacing w:after="80"/>
      </w:pPr>
      <w:r>
        <w:t>the breach.</w:t>
      </w:r>
    </w:p>
    <w:p>
      <w:pPr>
        <w:spacing w:after="80"/>
      </w:pPr>
      <w:r>
        <w:t>Consumer Reporting Agencies. If covered entity required to notify more</w:t>
      </w:r>
    </w:p>
    <w:p>
      <w:pPr>
        <w:spacing w:after="80"/>
      </w:pPr>
      <w:r>
        <w:t>than 1000 DC residents, then entity to notify, without unreasonable delay,</w:t>
      </w:r>
    </w:p>
    <w:p>
      <w:pPr>
        <w:spacing w:after="80"/>
      </w:pPr>
      <w:r>
        <w:t>all consumer reporting agencies that compile and maintain files on</w:t>
      </w:r>
    </w:p>
    <w:p>
      <w:pPr>
        <w:spacing w:after="80"/>
      </w:pPr>
      <w:r>
        <w:t>consumers on a nationwide basis of the timing, distribution and content of</w:t>
      </w:r>
    </w:p>
    <w:p>
      <w:pPr>
        <w:spacing w:after="80"/>
      </w:pPr>
      <w:r>
        <w:t>the notices.</w:t>
      </w:r>
    </w:p>
    <w:p>
      <w:pPr>
        <w:spacing w:after="80"/>
      </w:pPr>
      <w:r>
        <w:t>Third-Party Data. If covered entity maintains, handles or otherwise</w:t>
      </w:r>
    </w:p>
    <w:p>
      <w:pPr>
        <w:spacing w:after="80"/>
      </w:pPr>
      <w:r>
        <w:t>processes computerized data that includes PI that the covered entity does</w:t>
      </w:r>
    </w:p>
    <w:p>
      <w:pPr>
        <w:spacing w:after="80"/>
      </w:pPr>
      <w:r>
        <w:t>not own, the entity must notify the owner or licensee of information of</w:t>
      </w:r>
    </w:p>
    <w:p>
      <w:pPr>
        <w:spacing w:after="80"/>
      </w:pPr>
      <w:r>
        <w:t>breach in the most expedient time possible following discovery.</w:t>
      </w:r>
    </w:p>
    <w:p>
      <w:pPr>
        <w:spacing w:after="80"/>
      </w:pPr>
      <w:r>
        <w:t>Timing. Most expedient time possible, without unreasonable delay,</w:t>
      </w:r>
    </w:p>
    <w:p>
      <w:pPr>
        <w:spacing w:after="80"/>
      </w:pPr>
      <w:r>
        <w:t>consistent with any measures necessary to determine scope of the breach</w:t>
      </w:r>
    </w:p>
    <w:p>
      <w:pPr>
        <w:spacing w:after="80"/>
      </w:pPr>
      <w:r>
        <w:t>and restore reasonable integrity of data system.</w:t>
      </w:r>
    </w:p>
    <w:p>
      <w:pPr>
        <w:spacing w:after="80"/>
      </w:pPr>
      <w:r>
        <w:t>Form. Written or electronic, if consistent with electronic records and</w:t>
      </w:r>
    </w:p>
    <w:p>
      <w:pPr>
        <w:spacing w:after="80"/>
      </w:pPr>
      <w:r>
        <w:t>signatures provisions in 15 U.S.C. § 7001 (E-SIGN Act).</w:t>
      </w:r>
    </w:p>
    <w:p>
      <w:pPr>
        <w:spacing w:after="80"/>
      </w:pPr>
      <w:r>
        <w:t>Substitute Notice Available. If cost exceeds $50,000, or affected class of</w:t>
      </w:r>
    </w:p>
    <w:p>
      <w:pPr>
        <w:spacing w:after="80"/>
      </w:pPr>
      <w:r>
        <w:t>subject persons exceeds 100,000, or covered entity lacks sufficient contact</w:t>
      </w:r>
    </w:p>
    <w:p>
      <w:pPr>
        <w:spacing w:after="80"/>
      </w:pPr>
      <w:r>
        <w:t>information, substitute notice available:</w:t>
      </w:r>
    </w:p>
    <w:p>
      <w:pPr>
        <w:pStyle w:val="ListBullet"/>
      </w:pPr>
      <w:r>
        <w:t>Email notice, if covered entity has an email address for subject</w:t>
      </w:r>
    </w:p>
    <w:p>
      <w:pPr>
        <w:spacing w:after="80"/>
      </w:pPr>
      <w:r>
        <w:t>persons;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pStyle w:val="ListBullet"/>
      </w:pPr>
      <w:r>
        <w:t>Conspicuous posting of the notice on covered entity’s Web site, if</w:t>
      </w:r>
    </w:p>
    <w:p>
      <w:pPr>
        <w:spacing w:after="80"/>
      </w:pPr>
      <w:r>
        <w:t>maintained; and</w:t>
      </w:r>
    </w:p>
    <w:p>
      <w:pPr>
        <w:pStyle w:val="ListBullet"/>
      </w:pPr>
      <w:r>
        <w:t>Notification to major local, and if applicable, national media.</w:t>
      </w:r>
    </w:p>
    <w:p>
      <w:pPr>
        <w:spacing w:after="80"/>
      </w:pPr>
      <w:r>
        <w:t>Exception—Own Notification Policy. Covered entity that maintains its</w:t>
      </w:r>
    </w:p>
    <w:p>
      <w:pPr>
        <w:spacing w:after="80"/>
      </w:pPr>
      <w:r>
        <w:t>own notification procedures, consistent with timing requirements, deemed</w:t>
      </w:r>
    </w:p>
    <w:p>
      <w:pPr>
        <w:spacing w:after="80"/>
      </w:pPr>
      <w:r>
        <w:t>in compliance with notification requirements if it notifies subject persons</w:t>
      </w:r>
    </w:p>
    <w:p>
      <w:pPr>
        <w:spacing w:after="80"/>
      </w:pPr>
      <w:r>
        <w:t>in accordance with its policies. Notice may be given by email if covered</w:t>
      </w:r>
    </w:p>
    <w:p>
      <w:pPr>
        <w:spacing w:after="80"/>
      </w:pPr>
      <w:r>
        <w:t>entity’s primary method of communication with DC resident is by email.</w:t>
      </w:r>
    </w:p>
    <w:p>
      <w:pPr>
        <w:spacing w:after="80"/>
      </w:pPr>
      <w:r>
        <w:t>Penalties</w:t>
      </w:r>
    </w:p>
    <w:p>
      <w:pPr>
        <w:spacing w:after="80"/>
      </w:pPr>
      <w:r>
        <w:t>Private Right of Action. Any DC resident injured may institute civil</w:t>
      </w:r>
    </w:p>
    <w:p>
      <w:pPr>
        <w:spacing w:after="80"/>
      </w:pPr>
      <w:r>
        <w:t>action to recover actual damages, the costs of the action, and reasonable</w:t>
      </w:r>
    </w:p>
    <w:p>
      <w:pPr>
        <w:spacing w:after="80"/>
      </w:pPr>
      <w:r>
        <w:t>attorney’s fees. Actual damages shall not include dignitary damages,</w:t>
      </w:r>
    </w:p>
    <w:p>
      <w:pPr>
        <w:spacing w:after="80"/>
      </w:pPr>
      <w:r>
        <w:t>including pain and suffering.</w:t>
      </w:r>
    </w:p>
    <w:p>
      <w:pPr>
        <w:spacing w:after="80"/>
      </w:pPr>
      <w:r>
        <w:t>AG Enforcement. AG may seek direct damages and injunctive relief.</w:t>
      </w:r>
    </w:p>
    <w:p>
      <w:pPr>
        <w:spacing w:after="80"/>
      </w:pPr>
      <w:r>
        <w:t>Other Key Provisions</w:t>
      </w:r>
    </w:p>
    <w:p>
      <w:pPr>
        <w:spacing w:after="80"/>
      </w:pPr>
      <w:r>
        <w:t>Delay for Law Enforcement. Notification may be delayed if law</w:t>
      </w:r>
    </w:p>
    <w:p>
      <w:pPr>
        <w:spacing w:after="80"/>
      </w:pPr>
      <w:r>
        <w:t>enforcement determines that notification will impede a criminal</w:t>
      </w:r>
    </w:p>
    <w:p>
      <w:pPr>
        <w:spacing w:after="80"/>
      </w:pPr>
      <w:r>
        <w:t>investigation. Notification to be made without unreasonable delay and as</w:t>
      </w:r>
    </w:p>
    <w:p>
      <w:pPr>
        <w:spacing w:after="80"/>
      </w:pPr>
      <w:r>
        <w:t>soon as possible after law enforcement determines that it will no longer</w:t>
      </w:r>
    </w:p>
    <w:p>
      <w:pPr>
        <w:spacing w:after="80"/>
      </w:pPr>
      <w:r>
        <w:t>impede investigation.</w:t>
      </w:r>
    </w:p>
    <w:p>
      <w:pPr>
        <w:spacing w:after="80"/>
      </w:pPr>
      <w:r>
        <w:t>Waiver Not Permitted.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Illinois                 Covered Entities</w:t>
      </w:r>
    </w:p>
    <w:p>
      <w:pPr>
        <w:spacing w:after="80"/>
      </w:pPr>
      <w:r>
        <w:t>Any data collector, which includes, but is not limited to, government</w:t>
      </w:r>
    </w:p>
    <w:p>
      <w:pPr>
        <w:spacing w:after="80"/>
      </w:pPr>
      <w:r>
        <w:t>agencies, public and private universities, privately and publicly held</w:t>
      </w:r>
    </w:p>
    <w:p>
      <w:pPr>
        <w:spacing w:after="80"/>
      </w:pPr>
      <w:r>
        <w:t>815 Ill. Comp. Stat.     corporations, financial institutions, retail operators, and any other entity that,</w:t>
      </w:r>
    </w:p>
    <w:p>
      <w:pPr>
        <w:spacing w:after="80"/>
      </w:pPr>
      <w:r>
        <w:t>530/5,                   for any purpose, handles, collects, disseminates, or otherwise deals with</w:t>
      </w:r>
    </w:p>
    <w:p>
      <w:pPr>
        <w:spacing w:after="80"/>
      </w:pPr>
      <w:r>
        <w:t>530/10, 530/12,          nonpublic PI (collectively, Entity) that owns or licenses PI concerning an IL</w:t>
      </w:r>
    </w:p>
    <w:p>
      <w:pPr>
        <w:spacing w:after="80"/>
      </w:pPr>
      <w:r>
        <w:t>530/15,                  resident.</w:t>
      </w:r>
    </w:p>
    <w:p>
      <w:pPr>
        <w:spacing w:after="80"/>
      </w:pPr>
      <w:r>
        <w:t>530/20, 530/25</w:t>
      </w:r>
    </w:p>
    <w:p>
      <w:pPr>
        <w:spacing w:after="80"/>
      </w:pPr>
      <w:r>
        <w:t>The provisions governing maintenance of PI that the covered entity does not</w:t>
      </w:r>
    </w:p>
    <w:p>
      <w:pPr>
        <w:spacing w:after="80"/>
      </w:pPr>
      <w:r>
        <w:t>H.B. 1633                own appear applicable to any entity maintaining information on IL residents,</w:t>
      </w:r>
    </w:p>
    <w:p>
      <w:pPr>
        <w:spacing w:after="80"/>
      </w:pPr>
      <w:r>
        <w:t>Effective June 27,       whether or not the entity conducts business in IL.</w:t>
      </w:r>
    </w:p>
    <w:p>
      <w:pPr>
        <w:spacing w:after="80"/>
      </w:pPr>
      <w:r>
        <w:t>2006                     Security Breach</w:t>
      </w:r>
    </w:p>
    <w:p>
      <w:pPr>
        <w:spacing w:after="80"/>
      </w:pPr>
      <w:r>
        <w:t>Unauthorized acquisition of computerized data that compromises security,</w:t>
      </w:r>
    </w:p>
    <w:p>
      <w:pPr>
        <w:spacing w:after="80"/>
      </w:pPr>
      <w:r>
        <w:t>H.B. 3025</w:t>
      </w:r>
    </w:p>
    <w:p>
      <w:pPr>
        <w:spacing w:after="80"/>
      </w:pPr>
      <w:r>
        <w:t>confidentiality, or integrity of PI maintained by entity.</w:t>
      </w:r>
    </w:p>
    <w:p>
      <w:pPr>
        <w:spacing w:after="80"/>
      </w:pPr>
      <w:r>
        <w:t>Effective Jan. 1, 2012</w:t>
      </w:r>
    </w:p>
    <w:p>
      <w:pPr>
        <w:spacing w:after="80"/>
      </w:pPr>
      <w:r>
        <w:t>Good-faith acquisition of PI by an employee or agent of covered entity for</w:t>
      </w:r>
    </w:p>
    <w:p>
      <w:pPr>
        <w:spacing w:after="80"/>
      </w:pPr>
      <w:r>
        <w:t>S.B. 1833                legitimate purpose does not constitute breach, provided that PI not used for a</w:t>
      </w:r>
    </w:p>
    <w:p>
      <w:pPr>
        <w:spacing w:after="80"/>
      </w:pPr>
      <w:r>
        <w:t>Amendatory veto          purpose unrelated to covered entity’s business or subject to further</w:t>
      </w:r>
    </w:p>
    <w:p>
      <w:pPr>
        <w:spacing w:after="80"/>
      </w:pPr>
      <w:r>
        <w:t>9/9/15                   unauthorized disclosure.</w:t>
      </w:r>
    </w:p>
    <w:p>
      <w:pPr>
        <w:spacing w:after="80"/>
      </w:pPr>
      <w:r>
        <w:t>Personal Information</w:t>
      </w:r>
    </w:p>
    <w:p>
      <w:pPr>
        <w:spacing w:after="80"/>
      </w:pPr>
      <w:r>
        <w:t>The Grand Victoria       Individual’s first name (or first initial) and last name in combination with</w:t>
      </w:r>
    </w:p>
    <w:p>
      <w:pPr>
        <w:spacing w:after="80"/>
      </w:pPr>
      <w:r>
        <w:t>any one or more of the following data elements, when either name or data</w:t>
      </w:r>
    </w:p>
    <w:p>
      <w:pPr>
        <w:spacing w:after="80"/>
      </w:pPr>
      <w:r>
        <w:t>elements are not encrypted or redacted or are encrypted or redacted but keys</w:t>
      </w:r>
    </w:p>
    <w:p>
      <w:pPr>
        <w:spacing w:after="80"/>
      </w:pPr>
      <w:r>
        <w:t>to unencrypt or unredact or otherwise read the name or data elements have</w:t>
      </w:r>
    </w:p>
    <w:p>
      <w:pPr>
        <w:spacing w:after="80"/>
      </w:pPr>
      <w:r>
        <w:t>been acquired without authorization through breach:</w:t>
      </w:r>
    </w:p>
    <w:p>
      <w:pPr>
        <w:pStyle w:val="ListBullet"/>
      </w:pPr>
      <w:r>
        <w:t>Social Security Number;</w:t>
      </w:r>
    </w:p>
    <w:p>
      <w:pPr>
        <w:spacing w:after="80"/>
      </w:pPr>
      <w:r>
        <w:t>250 South Grove Ave.         § Driver license number or State identification card number; or</w:t>
      </w:r>
    </w:p>
    <w:p>
      <w:pPr>
        <w:spacing w:after="80"/>
      </w:pPr>
      <w:r>
        <w:t>Elgin, IL 60120           § Account number or credit card number or debit card number or an</w:t>
      </w:r>
    </w:p>
    <w:p>
      <w:pPr>
        <w:spacing w:after="80"/>
      </w:pPr>
      <w:r>
        <w:t>account number or credit card number in combination with any</w:t>
      </w:r>
    </w:p>
    <w:p>
      <w:pPr>
        <w:spacing w:after="80"/>
      </w:pPr>
      <w:r>
        <w:t>required security code, access code, or password that would permit</w:t>
      </w:r>
    </w:p>
    <w:p>
      <w:pPr>
        <w:spacing w:after="80"/>
      </w:pPr>
      <w:r>
        <w:t>access to an individual’s financial account.</w:t>
      </w:r>
    </w:p>
    <w:p>
      <w:pPr>
        <w:spacing w:after="80"/>
      </w:pPr>
      <w:r>
        <w:t>PI does not include publicly available information lawfully made</w:t>
      </w:r>
    </w:p>
    <w:p>
      <w:pPr>
        <w:spacing w:after="80"/>
      </w:pPr>
      <w:r>
        <w:t>available to general public from government records.</w:t>
      </w:r>
    </w:p>
    <w:p>
      <w:pPr>
        <w:spacing w:after="80"/>
      </w:pPr>
      <w:r>
        <w:t>Notification</w:t>
      </w:r>
    </w:p>
    <w:p>
      <w:pPr>
        <w:spacing w:after="80"/>
      </w:pPr>
      <w:r>
        <w:t>Affected IL Resident. Covered entity that owns or licenses personal</w:t>
      </w:r>
    </w:p>
    <w:p>
      <w:pPr>
        <w:spacing w:after="80"/>
      </w:pPr>
      <w:r>
        <w:t>information, concerning an IL resident to notify resident at no charge that</w:t>
      </w:r>
    </w:p>
    <w:p>
      <w:pPr>
        <w:spacing w:after="80"/>
      </w:pPr>
      <w:r>
        <w:t>there has been a breach following discovery or notification of breach.</w:t>
      </w:r>
    </w:p>
    <w:p>
      <w:pPr>
        <w:spacing w:after="80"/>
      </w:pPr>
      <w:r>
        <w:t>Note: IL may take the position that any unauthorized acquisition or use by a</w:t>
      </w:r>
    </w:p>
    <w:p>
      <w:pPr>
        <w:spacing w:after="80"/>
      </w:pPr>
      <w:r>
        <w:t>third party triggers the notification obligation, regardless of materiality or</w:t>
      </w:r>
    </w:p>
    <w:p>
      <w:pPr>
        <w:spacing w:after="80"/>
      </w:pPr>
      <w:r>
        <w:t>ownership of the data.</w:t>
      </w:r>
    </w:p>
    <w:p>
      <w:pPr>
        <w:spacing w:after="80"/>
      </w:pPr>
      <w:r>
        <w:t>Third-Party Data. Covered entity that maintains or stores computerized</w:t>
      </w:r>
    </w:p>
    <w:p>
      <w:pPr>
        <w:spacing w:after="80"/>
      </w:pPr>
      <w:r>
        <w:t>data that includes PI that covered entity does not own or license to notify</w:t>
      </w:r>
    </w:p>
    <w:p>
      <w:pPr>
        <w:spacing w:after="80"/>
      </w:pPr>
      <w:r>
        <w:t>owner or licensee of breach immediately following discovery, if the PI was,</w:t>
      </w:r>
    </w:p>
    <w:p>
      <w:pPr>
        <w:spacing w:after="80"/>
      </w:pPr>
      <w:r>
        <w:t>or is reasonably believed to have been, acquired by unauthorized person.</w:t>
      </w:r>
    </w:p>
    <w:p>
      <w:pPr>
        <w:spacing w:after="80"/>
      </w:pPr>
      <w:r>
        <w:t>Such entities to cooperate with owner or licensee in matters relating to</w:t>
      </w:r>
    </w:p>
    <w:p>
      <w:pPr>
        <w:spacing w:after="80"/>
      </w:pPr>
      <w:r>
        <w:t>breach, providing (i) date (approximate) and nature of breach, and (ii) steps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taken or planned relating to breach.</w:t>
      </w:r>
    </w:p>
    <w:p>
      <w:pPr>
        <w:spacing w:after="80"/>
      </w:pPr>
      <w:r>
        <w:t>Timing. Most expedient time possible, without unreasonable delay,</w:t>
      </w:r>
    </w:p>
    <w:p>
      <w:pPr>
        <w:spacing w:after="80"/>
      </w:pPr>
      <w:r>
        <w:t>consistent with measures necessary to determine scope of breach and restore</w:t>
      </w:r>
    </w:p>
    <w:p>
      <w:pPr>
        <w:spacing w:after="80"/>
      </w:pPr>
      <w:r>
        <w:t>reasonable integrity, security, and confidentiality of data system.</w:t>
      </w:r>
    </w:p>
    <w:p>
      <w:pPr>
        <w:spacing w:after="80"/>
      </w:pPr>
      <w:r>
        <w:t>Form. Written or electronic, if consistent with provisions regarding</w:t>
      </w:r>
    </w:p>
    <w:p>
      <w:pPr>
        <w:spacing w:after="80"/>
      </w:pPr>
      <w:r>
        <w:t>electronic records and signatures in 15 U.S.C. § 7001(E-SIGN Act).</w:t>
      </w:r>
    </w:p>
    <w:p>
      <w:pPr>
        <w:spacing w:after="80"/>
      </w:pPr>
      <w:r>
        <w:t>Contents. For breach of PI other than user name/email and</w:t>
      </w:r>
    </w:p>
    <w:p>
      <w:pPr>
        <w:spacing w:after="80"/>
      </w:pPr>
      <w:r>
        <w:t>password/security question (and excluding breach of geolocation or</w:t>
      </w:r>
    </w:p>
    <w:p>
      <w:pPr>
        <w:spacing w:after="80"/>
      </w:pPr>
      <w:r>
        <w:t>consumer marketing information), the notice shall include:</w:t>
      </w:r>
    </w:p>
    <w:p>
      <w:pPr>
        <w:pStyle w:val="ListBullet"/>
      </w:pPr>
      <w:r>
        <w:t>Toll-free numbers and addresses for consumer reporting</w:t>
      </w:r>
    </w:p>
    <w:p>
      <w:pPr>
        <w:spacing w:after="80"/>
      </w:pPr>
      <w:r>
        <w:t>agencies;</w:t>
      </w:r>
    </w:p>
    <w:p>
      <w:pPr>
        <w:pStyle w:val="ListBullet"/>
      </w:pPr>
      <w:r>
        <w:t>Toll-free number, address, and website address for Federal Trade</w:t>
      </w:r>
    </w:p>
    <w:p>
      <w:pPr>
        <w:spacing w:after="80"/>
      </w:pPr>
      <w:r>
        <w:t>Commission; and</w:t>
      </w:r>
    </w:p>
    <w:p>
      <w:pPr>
        <w:pStyle w:val="ListBullet"/>
      </w:pPr>
      <w:r>
        <w:t>Statement that individual can obtain information from these</w:t>
      </w:r>
    </w:p>
    <w:p>
      <w:pPr>
        <w:spacing w:after="80"/>
      </w:pPr>
      <w:r>
        <w:t>sources about fraud alerts and security freezes.</w:t>
      </w:r>
    </w:p>
    <w:p>
      <w:pPr>
        <w:spacing w:after="80"/>
      </w:pPr>
      <w:r>
        <w:t>Substitute Notice Available. If cost will exceed $250,000, or affected class</w:t>
      </w:r>
    </w:p>
    <w:p>
      <w:pPr>
        <w:spacing w:after="80"/>
      </w:pPr>
      <w:r>
        <w:t>of subject persons exceeds 500,000, or covered entity lacks sufficient contact</w:t>
      </w:r>
    </w:p>
    <w:p>
      <w:pPr>
        <w:spacing w:after="80"/>
      </w:pPr>
      <w:r>
        <w:t>information, substitute notice available:</w:t>
      </w:r>
    </w:p>
    <w:p>
      <w:pPr>
        <w:pStyle w:val="ListBullet"/>
      </w:pPr>
      <w:r>
        <w:t>Email notice if covered entity has email address for subject persons;</w:t>
      </w:r>
    </w:p>
    <w:p>
      <w:pPr>
        <w:pStyle w:val="ListBullet"/>
      </w:pPr>
      <w:r>
        <w:t>Conspicuous posting of notice on covered entity’s Web site, if</w:t>
      </w:r>
    </w:p>
    <w:p>
      <w:pPr>
        <w:spacing w:after="80"/>
      </w:pPr>
      <w:r>
        <w:t>maintained; and</w:t>
      </w:r>
    </w:p>
    <w:p>
      <w:pPr>
        <w:pStyle w:val="ListBullet"/>
      </w:pPr>
      <w:r>
        <w:t>Notification to major statewide media or, if breach impacts residents</w:t>
      </w:r>
    </w:p>
    <w:p>
      <w:pPr>
        <w:spacing w:after="80"/>
      </w:pPr>
      <w:r>
        <w:t>in one geographic area, to prominent local media in areas where</w:t>
      </w:r>
    </w:p>
    <w:p>
      <w:pPr>
        <w:spacing w:after="80"/>
      </w:pPr>
      <w:r>
        <w:t>affected individuals are likely to reside if such notice is reasonably</w:t>
      </w:r>
    </w:p>
    <w:p>
      <w:pPr>
        <w:spacing w:after="80"/>
      </w:pPr>
      <w:r>
        <w:t>calculated to give actual notice to persons whom notice is required.</w:t>
      </w:r>
    </w:p>
    <w:p>
      <w:pPr>
        <w:spacing w:after="80"/>
      </w:pPr>
      <w:r>
        <w:t>Exception--Own Notification Policy. Covered entity maintains own</w:t>
      </w:r>
    </w:p>
    <w:p>
      <w:pPr>
        <w:spacing w:after="80"/>
      </w:pPr>
      <w:r>
        <w:t>notification procedures, consistent with timing requirements, deemed in</w:t>
      </w:r>
    </w:p>
    <w:p>
      <w:pPr>
        <w:spacing w:after="80"/>
      </w:pPr>
      <w:r>
        <w:t>compliance with notification requirements if it notifies subject persons in</w:t>
      </w:r>
    </w:p>
    <w:p>
      <w:pPr>
        <w:spacing w:after="80"/>
      </w:pPr>
      <w:r>
        <w:t>accordance with its policies.</w:t>
      </w:r>
    </w:p>
    <w:p>
      <w:pPr>
        <w:spacing w:after="80"/>
      </w:pPr>
      <w:r>
        <w:t>Penalties</w:t>
      </w:r>
    </w:p>
    <w:p>
      <w:pPr>
        <w:spacing w:after="80"/>
      </w:pPr>
      <w:r>
        <w:t>Deceptive Trade Practice. Violation of the statute constitutes an unlawful</w:t>
      </w:r>
    </w:p>
    <w:p>
      <w:pPr>
        <w:spacing w:after="80"/>
      </w:pPr>
      <w:r>
        <w:t>practice under the IL Consumer Fraud and Deceptive Business Practices Act.</w:t>
      </w:r>
    </w:p>
    <w:p>
      <w:pPr>
        <w:spacing w:after="80"/>
      </w:pPr>
      <w:r>
        <w:t>Other Key Provisions</w:t>
      </w:r>
    </w:p>
    <w:p>
      <w:pPr>
        <w:spacing w:after="80"/>
      </w:pPr>
      <w:r>
        <w:t>Delay for Law Enforcement. Notice may be delayed if law enforcement</w:t>
      </w:r>
    </w:p>
    <w:p>
      <w:pPr>
        <w:spacing w:after="80"/>
      </w:pPr>
      <w:r>
        <w:t>determines that notice will impede a criminal investigation and provides</w:t>
      </w:r>
    </w:p>
    <w:p>
      <w:pPr>
        <w:spacing w:after="80"/>
      </w:pPr>
      <w:r>
        <w:t>covered entity with a written request of delay. After law enforcement</w:t>
      </w:r>
    </w:p>
    <w:p>
      <w:pPr>
        <w:spacing w:after="80"/>
      </w:pPr>
      <w:r>
        <w:t>determines that notification will no longer impede the investigation, notice</w:t>
      </w:r>
    </w:p>
    <w:p>
      <w:pPr>
        <w:spacing w:after="80"/>
      </w:pPr>
      <w:r>
        <w:t>must be made without unreasonable delay and as soon as possible.</w:t>
      </w:r>
    </w:p>
    <w:p>
      <w:pPr>
        <w:spacing w:after="80"/>
      </w:pPr>
      <w:r>
        <w:t>Waiver Not Permitted.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Maryland                 Covered Entities</w:t>
      </w:r>
    </w:p>
    <w:p>
      <w:pPr>
        <w:spacing w:after="80"/>
      </w:pPr>
      <w:r>
        <w:t>Sole proprietorship, partnership, corporation, association, or any other</w:t>
      </w:r>
    </w:p>
    <w:p>
      <w:pPr>
        <w:spacing w:after="80"/>
      </w:pPr>
      <w:r>
        <w:t>business entity, whether or not organized to operate at a profit, including a</w:t>
      </w:r>
    </w:p>
    <w:p>
      <w:pPr>
        <w:spacing w:after="80"/>
      </w:pPr>
      <w:r>
        <w:t>Md. Code Com. Law        financial institution organized, chartered, licensed, or otherwise authorized</w:t>
      </w:r>
    </w:p>
    <w:p>
      <w:pPr>
        <w:pStyle w:val="ListBullet"/>
      </w:pPr>
      <w:r>
        <w:t>14-3501 et seq.        under the laws of MD, any other state, the United States, or any other</w:t>
      </w:r>
    </w:p>
    <w:p>
      <w:pPr>
        <w:spacing w:after="80"/>
      </w:pPr>
      <w:r>
        <w:t>country (collectively, Entity) that owns or licenses computerized data that</w:t>
      </w:r>
    </w:p>
    <w:p>
      <w:pPr>
        <w:spacing w:after="80"/>
      </w:pPr>
      <w:r>
        <w:t>H.B. 208                 includes PI of an individual residing in MD.</w:t>
      </w:r>
    </w:p>
    <w:p>
      <w:pPr>
        <w:spacing w:after="80"/>
      </w:pPr>
      <w:r>
        <w:t>Effective January 1,</w:t>
      </w:r>
    </w:p>
    <w:p>
      <w:pPr>
        <w:spacing w:after="80"/>
      </w:pPr>
      <w:r>
        <w:t>2008                     The provisions governing maintenance of PI are applicable to any Entity</w:t>
      </w:r>
    </w:p>
    <w:p>
      <w:pPr>
        <w:spacing w:after="80"/>
      </w:pPr>
      <w:r>
        <w:t>maintaining information on MD residents, whether or not organized or</w:t>
      </w:r>
    </w:p>
    <w:p>
      <w:pPr>
        <w:spacing w:after="80"/>
      </w:pPr>
      <w:r>
        <w:t>Acme Company National          licensed under the laws of MD.</w:t>
      </w:r>
    </w:p>
    <w:p>
      <w:pPr>
        <w:spacing w:after="80"/>
      </w:pPr>
      <w:r>
        <w:t>Harbor</w:t>
      </w:r>
    </w:p>
    <w:p>
      <w:pPr>
        <w:spacing w:after="80"/>
      </w:pPr>
      <w:r>
        <w:t>Security Breach</w:t>
      </w:r>
    </w:p>
    <w:p>
      <w:pPr>
        <w:spacing w:after="80"/>
      </w:pPr>
      <w:r>
        <w:t>Unauthorized acquisition of computerized data that compromises security,</w:t>
      </w:r>
    </w:p>
    <w:p>
      <w:pPr>
        <w:spacing w:after="80"/>
      </w:pPr>
      <w:r>
        <w:t>confidentiality, or integrity of PI maintained by Entity.</w:t>
      </w:r>
    </w:p>
    <w:p>
      <w:pPr>
        <w:spacing w:after="80"/>
      </w:pPr>
      <w:r>
        <w:t>7100 Oxon Hill Rd.      Good-faith acquisition by employee acting on behalf of entity is not beach if</w:t>
      </w:r>
    </w:p>
    <w:p>
      <w:pPr>
        <w:spacing w:after="80"/>
      </w:pPr>
      <w:r>
        <w:t>Oxon, MD 20745         PI not used or subject to further unauthorized disclosure.</w:t>
      </w:r>
    </w:p>
    <w:p>
      <w:pPr>
        <w:spacing w:after="80"/>
      </w:pPr>
      <w:r>
        <w:t>Personal Information</w:t>
      </w:r>
    </w:p>
    <w:p>
      <w:pPr>
        <w:spacing w:after="80"/>
      </w:pPr>
      <w:r>
        <w:t>Individual’s first name or first initial and last name in combination with any</w:t>
      </w:r>
    </w:p>
    <w:p>
      <w:pPr>
        <w:spacing w:after="80"/>
      </w:pPr>
      <w:r>
        <w:t>one or more of the following data elements, when name or data elements are</w:t>
      </w:r>
    </w:p>
    <w:p>
      <w:pPr>
        <w:spacing w:after="80"/>
      </w:pPr>
      <w:r>
        <w:t>not encrypted, redacted, or otherwise protected by another method that</w:t>
      </w:r>
    </w:p>
    <w:p>
      <w:pPr>
        <w:spacing w:after="80"/>
      </w:pPr>
      <w:r>
        <w:t>renders information unreadable or unusable:</w:t>
      </w:r>
    </w:p>
    <w:p>
      <w:pPr>
        <w:pStyle w:val="ListBullet"/>
      </w:pPr>
      <w:r>
        <w:t xml:space="preserve">   Social Security Number;</w:t>
      </w:r>
    </w:p>
    <w:p>
      <w:pPr>
        <w:pStyle w:val="ListBullet"/>
      </w:pPr>
      <w:r>
        <w:t xml:space="preserve">   Driver license number;</w:t>
      </w:r>
    </w:p>
    <w:p>
      <w:pPr>
        <w:pStyle w:val="ListBullet"/>
      </w:pPr>
      <w:r>
        <w:t xml:space="preserve">   Account or credit card or debit card number, that in combination with</w:t>
      </w:r>
    </w:p>
    <w:p>
      <w:pPr>
        <w:spacing w:after="80"/>
      </w:pPr>
      <w:r>
        <w:t>any required security code, access code, or password, would permit</w:t>
      </w:r>
    </w:p>
    <w:p>
      <w:pPr>
        <w:spacing w:after="80"/>
      </w:pPr>
      <w:r>
        <w:t>access to individual’s financial account; or</w:t>
      </w:r>
    </w:p>
    <w:p>
      <w:pPr>
        <w:pStyle w:val="ListBullet"/>
      </w:pPr>
      <w:r>
        <w:t xml:space="preserve">   Individual Taxpayer Identification Number.</w:t>
      </w:r>
    </w:p>
    <w:p>
      <w:pPr>
        <w:spacing w:after="80"/>
      </w:pPr>
      <w:r>
        <w:t>PI does not include (i) publicly available information lawfully made</w:t>
      </w:r>
    </w:p>
    <w:p>
      <w:pPr>
        <w:spacing w:after="80"/>
      </w:pPr>
      <w:r>
        <w:t>available to the general public from federal, state, or local government</w:t>
      </w:r>
    </w:p>
    <w:p>
      <w:pPr>
        <w:spacing w:after="80"/>
      </w:pPr>
      <w:r>
        <w:t>records; (ii) information that individual has consented to have publicly</w:t>
      </w:r>
    </w:p>
    <w:p>
      <w:pPr>
        <w:spacing w:after="80"/>
      </w:pPr>
      <w:r>
        <w:t>disseminated or listed; or (iii) information disseminated or listed in</w:t>
      </w:r>
    </w:p>
    <w:p>
      <w:pPr>
        <w:spacing w:after="80"/>
      </w:pPr>
      <w:r>
        <w:t>accordance with HIPAA.</w:t>
      </w:r>
    </w:p>
    <w:p>
      <w:pPr>
        <w:spacing w:after="80"/>
      </w:pPr>
      <w:r>
        <w:t>Notification</w:t>
      </w:r>
    </w:p>
    <w:p>
      <w:pPr>
        <w:spacing w:after="80"/>
      </w:pPr>
      <w:r>
        <w:t>Affected individuals. Affected individual upon Entity discovery or</w:t>
      </w:r>
    </w:p>
    <w:p>
      <w:pPr>
        <w:spacing w:after="80"/>
      </w:pPr>
      <w:r>
        <w:t>notification of breach.</w:t>
      </w:r>
    </w:p>
    <w:p>
      <w:pPr>
        <w:spacing w:after="80"/>
      </w:pPr>
      <w:r>
        <w:t>Notification not required if after a good-faith, reasonable and prompt</w:t>
      </w:r>
    </w:p>
    <w:p>
      <w:pPr>
        <w:spacing w:after="80"/>
      </w:pPr>
      <w:r>
        <w:t>investigation Entity determines that PI was not and will not be misused as a</w:t>
      </w:r>
    </w:p>
    <w:p>
      <w:pPr>
        <w:spacing w:after="80"/>
      </w:pPr>
      <w:r>
        <w:t>result of breach. If after investigation is concluded, Entity determines that</w:t>
      </w:r>
    </w:p>
    <w:p>
      <w:pPr>
        <w:spacing w:after="80"/>
      </w:pPr>
      <w:r>
        <w:t>notification not required, Entity shall maintain records that reflect its</w:t>
      </w:r>
    </w:p>
    <w:p>
      <w:pPr>
        <w:spacing w:after="80"/>
      </w:pPr>
      <w:r>
        <w:t>determination for three years after the determination made.</w:t>
      </w:r>
    </w:p>
    <w:p>
      <w:pPr>
        <w:spacing w:after="80"/>
      </w:pPr>
      <w:r>
        <w:t>Attorney General. Prior to giving notification required under the statute,</w:t>
      </w:r>
    </w:p>
    <w:p>
      <w:pPr>
        <w:spacing w:after="80"/>
      </w:pPr>
      <w:r>
        <w:t>Entity shall provide notice of a breach to AG.</w:t>
      </w:r>
    </w:p>
    <w:p>
      <w:pPr>
        <w:spacing w:after="80"/>
      </w:pPr>
      <w:r>
        <w:t>Consumer Reporting Agencies Notification. If an Entity must notify 1,000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or more individuals, Entity also shall notify, without unreasonable delay,</w:t>
      </w:r>
    </w:p>
    <w:p>
      <w:pPr>
        <w:spacing w:after="80"/>
      </w:pPr>
      <w:r>
        <w:t>each consumer reporting agency that compiles and maintains files on</w:t>
      </w:r>
    </w:p>
    <w:p>
      <w:pPr>
        <w:spacing w:after="80"/>
      </w:pPr>
      <w:r>
        <w:t>consumers on a nationwide basis of the timing, distribution, and content of</w:t>
      </w:r>
    </w:p>
    <w:p>
      <w:pPr>
        <w:spacing w:after="80"/>
      </w:pPr>
      <w:r>
        <w:t>notices.</w:t>
      </w:r>
    </w:p>
    <w:p>
      <w:pPr>
        <w:spacing w:after="80"/>
      </w:pPr>
      <w:r>
        <w:t>Third-Party Data Notification. Entity that maintains computerized data</w:t>
      </w:r>
    </w:p>
    <w:p>
      <w:pPr>
        <w:spacing w:after="80"/>
      </w:pPr>
      <w:r>
        <w:t>that includes PI that the Entity does not own or license shall notify the owner</w:t>
      </w:r>
    </w:p>
    <w:p>
      <w:pPr>
        <w:spacing w:after="80"/>
      </w:pPr>
      <w:r>
        <w:t>or licensee of the PI of a breach of the security of the system if it is likely</w:t>
      </w:r>
    </w:p>
    <w:p>
      <w:pPr>
        <w:spacing w:after="80"/>
      </w:pPr>
      <w:r>
        <w:t>that the breach has resulted or will result in the misuse of PI of an individual</w:t>
      </w:r>
    </w:p>
    <w:p>
      <w:pPr>
        <w:spacing w:after="80"/>
      </w:pPr>
      <w:r>
        <w:t>residing in MD. Notification required by a third-party Entity shall be given</w:t>
      </w:r>
    </w:p>
    <w:p>
      <w:pPr>
        <w:spacing w:after="80"/>
      </w:pPr>
      <w:r>
        <w:t>as soon as reasonably practicable after the Entity discovers or is notified of</w:t>
      </w:r>
    </w:p>
    <w:p>
      <w:pPr>
        <w:spacing w:after="80"/>
      </w:pPr>
      <w:r>
        <w:t>the breach of the security of a system. A third-party Entity shall share with</w:t>
      </w:r>
    </w:p>
    <w:p>
      <w:pPr>
        <w:spacing w:after="80"/>
      </w:pPr>
      <w:r>
        <w:t>the owner or licensee information relative to the breach.</w:t>
      </w:r>
    </w:p>
    <w:p>
      <w:pPr>
        <w:spacing w:after="80"/>
      </w:pPr>
      <w:r>
        <w:t>Timing. As soon as reasonably practicable, consistent with measures</w:t>
      </w:r>
    </w:p>
    <w:p>
      <w:pPr>
        <w:spacing w:after="80"/>
      </w:pPr>
      <w:r>
        <w:t>necessary to determine scope of breach, identify individuals affected, or</w:t>
      </w:r>
    </w:p>
    <w:p>
      <w:pPr>
        <w:spacing w:after="80"/>
      </w:pPr>
      <w:r>
        <w:t>restore system integrity.</w:t>
      </w:r>
    </w:p>
    <w:p>
      <w:pPr>
        <w:spacing w:after="80"/>
      </w:pPr>
      <w:r>
        <w:t>Form. One of the following methods:</w:t>
      </w:r>
    </w:p>
    <w:p>
      <w:pPr>
        <w:pStyle w:val="ListBullet"/>
      </w:pPr>
      <w:r>
        <w:t>Written notice sent to most recent address of individual in records of</w:t>
      </w:r>
    </w:p>
    <w:p>
      <w:pPr>
        <w:spacing w:after="80"/>
      </w:pPr>
      <w:r>
        <w:t>the business;</w:t>
      </w:r>
    </w:p>
    <w:p>
      <w:pPr>
        <w:pStyle w:val="ListBullet"/>
      </w:pPr>
      <w:r>
        <w:t>Telephonic notice, to most recent telephone number of individual in</w:t>
      </w:r>
    </w:p>
    <w:p>
      <w:pPr>
        <w:spacing w:after="80"/>
      </w:pPr>
      <w:r>
        <w:t>the records of the business; or</w:t>
      </w:r>
    </w:p>
    <w:p>
      <w:pPr>
        <w:pStyle w:val="ListBullet"/>
      </w:pPr>
      <w:r>
        <w:t>Electronic mail to most recent email address of individual in the</w:t>
      </w:r>
    </w:p>
    <w:p>
      <w:pPr>
        <w:spacing w:after="80"/>
      </w:pPr>
      <w:r>
        <w:t>records of the business if individual has expressly consented to</w:t>
      </w:r>
    </w:p>
    <w:p>
      <w:pPr>
        <w:spacing w:after="80"/>
      </w:pPr>
      <w:r>
        <w:t>receive email notice.</w:t>
      </w:r>
    </w:p>
    <w:p>
      <w:pPr>
        <w:spacing w:after="80"/>
      </w:pPr>
      <w:r>
        <w:t>Content. Notification shall include:</w:t>
      </w:r>
    </w:p>
    <w:p>
      <w:pPr>
        <w:pStyle w:val="ListBullet"/>
      </w:pPr>
      <w:r>
        <w:t>To the extent possible, description of categories of information that</w:t>
      </w:r>
    </w:p>
    <w:p>
      <w:pPr>
        <w:spacing w:after="80"/>
      </w:pPr>
      <w:r>
        <w:t>were, or are reasonably believed to have been, acquired by</w:t>
      </w:r>
    </w:p>
    <w:p>
      <w:pPr>
        <w:spacing w:after="80"/>
      </w:pPr>
      <w:r>
        <w:t>unauthorized person, including which of the elements of PI were, or</w:t>
      </w:r>
    </w:p>
    <w:p>
      <w:pPr>
        <w:spacing w:after="80"/>
      </w:pPr>
      <w:r>
        <w:t>are reasonably believed to have been acquired;</w:t>
      </w:r>
    </w:p>
    <w:p>
      <w:pPr>
        <w:pStyle w:val="ListBullet"/>
      </w:pPr>
      <w:r>
        <w:t>Contact information for business making notification, including</w:t>
      </w:r>
    </w:p>
    <w:p>
      <w:pPr>
        <w:spacing w:after="80"/>
      </w:pPr>
      <w:r>
        <w:t>business’s address, telephone number, and toll-free telephone</w:t>
      </w:r>
    </w:p>
    <w:p>
      <w:pPr>
        <w:spacing w:after="80"/>
      </w:pPr>
      <w:r>
        <w:t>number if maintained;</w:t>
      </w:r>
    </w:p>
    <w:p>
      <w:pPr>
        <w:pStyle w:val="ListBullet"/>
      </w:pPr>
      <w:r>
        <w:t>Toll-free telephone numbers and addresses for major consumer</w:t>
      </w:r>
    </w:p>
    <w:p>
      <w:pPr>
        <w:spacing w:after="80"/>
      </w:pPr>
      <w:r>
        <w:t>reporting agencies; and</w:t>
      </w:r>
    </w:p>
    <w:p>
      <w:pPr>
        <w:pStyle w:val="ListBullet"/>
      </w:pPr>
      <w:r>
        <w:t>Toll-free telephone numbers, addresses, and web site addresses for</w:t>
      </w:r>
    </w:p>
    <w:p>
      <w:pPr>
        <w:spacing w:after="80"/>
      </w:pPr>
      <w:r>
        <w:t>(i) Federal Trade Commission; and (ii) state AG, along with</w:t>
      </w:r>
    </w:p>
    <w:p>
      <w:pPr>
        <w:spacing w:after="80"/>
      </w:pPr>
      <w:r>
        <w:t>statement that individual can obtain information from these sources</w:t>
      </w:r>
    </w:p>
    <w:p>
      <w:pPr>
        <w:spacing w:after="80"/>
      </w:pPr>
      <w:r>
        <w:t>and steps individual can take to avoid identity theft.</w:t>
      </w:r>
    </w:p>
    <w:p>
      <w:pPr>
        <w:spacing w:after="80"/>
      </w:pPr>
      <w:r>
        <w:t>Substitute Notice Available. If cost of providing notice exceeds $100,000,</w:t>
      </w:r>
    </w:p>
    <w:p>
      <w:pPr>
        <w:spacing w:after="80"/>
      </w:pPr>
      <w:r>
        <w:t>or affected class of individuals to be notified exceeds 175,000, or entity does</w:t>
      </w:r>
    </w:p>
    <w:p>
      <w:pPr>
        <w:spacing w:after="80"/>
      </w:pPr>
      <w:r>
        <w:t>not have sufficient contact information to give notice, substitute notice</w:t>
      </w:r>
    </w:p>
    <w:p>
      <w:pPr>
        <w:spacing w:after="80"/>
      </w:pPr>
      <w:r>
        <w:t>available:</w:t>
      </w:r>
    </w:p>
    <w:p>
      <w:pPr>
        <w:pStyle w:val="ListBullet"/>
      </w:pPr>
      <w:r>
        <w:t xml:space="preserve">   Email notice to individual entitled to notification, if business has an</w:t>
      </w:r>
    </w:p>
    <w:p>
      <w:pPr>
        <w:spacing w:after="80"/>
      </w:pPr>
      <w:r>
        <w:t>email address for individual to be notified;</w:t>
      </w:r>
    </w:p>
    <w:p>
      <w:pPr>
        <w:pStyle w:val="ListBullet"/>
      </w:pPr>
      <w:r>
        <w:t xml:space="preserve">   Conspicuous posting of notice on entity’s web site if maintained; and</w:t>
      </w:r>
    </w:p>
    <w:p>
      <w:pPr>
        <w:pStyle w:val="ListBullet"/>
      </w:pPr>
      <w:r>
        <w:t xml:space="preserve">   Notification to statewide media.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Exception—Compliance with other Laws.</w:t>
      </w:r>
    </w:p>
    <w:p>
      <w:pPr>
        <w:pStyle w:val="ListBullet"/>
      </w:pPr>
      <w:r>
        <w:t xml:space="preserve">   Primary Regulator. Entity that complies with requirements for</w:t>
      </w:r>
    </w:p>
    <w:p>
      <w:pPr>
        <w:spacing w:after="80"/>
      </w:pPr>
      <w:r>
        <w:t>notification procedures under the rules, regulations, procedures, or</w:t>
      </w:r>
    </w:p>
    <w:p>
      <w:pPr>
        <w:spacing w:after="80"/>
      </w:pPr>
      <w:r>
        <w:t>guidelines established by primary or functional federal or state</w:t>
      </w:r>
    </w:p>
    <w:p>
      <w:pPr>
        <w:spacing w:after="80"/>
      </w:pPr>
      <w:r>
        <w:t>regulator shall be deemed to be in compliance.</w:t>
      </w:r>
    </w:p>
    <w:p>
      <w:pPr>
        <w:pStyle w:val="ListBullet"/>
      </w:pPr>
      <w:r>
        <w:t xml:space="preserve">   Gramm-Leach-Bliley Act. Entity or affiliate subject to and in</w:t>
      </w:r>
    </w:p>
    <w:p>
      <w:pPr>
        <w:spacing w:after="80"/>
      </w:pPr>
      <w:r>
        <w:t>compliance with Gramm-Leach-Bliley Act, federal Interagency</w:t>
      </w:r>
    </w:p>
    <w:p>
      <w:pPr>
        <w:spacing w:after="80"/>
      </w:pPr>
      <w:r>
        <w:t>Guidelines Establishing Information Security Standards, and federal</w:t>
      </w:r>
    </w:p>
    <w:p>
      <w:pPr>
        <w:spacing w:after="80"/>
      </w:pPr>
      <w:r>
        <w:t>Interagency Guidance on Response Programs for Unauthorized</w:t>
      </w:r>
    </w:p>
    <w:p>
      <w:pPr>
        <w:spacing w:after="80"/>
      </w:pPr>
      <w:r>
        <w:t>Access to Customer Information and Customer Notice, and any</w:t>
      </w:r>
    </w:p>
    <w:p>
      <w:pPr>
        <w:spacing w:after="80"/>
      </w:pPr>
      <w:r>
        <w:t>revisions, additions, or substitutions, deemed to be in compliance.</w:t>
      </w:r>
    </w:p>
    <w:p>
      <w:pPr>
        <w:spacing w:after="80"/>
      </w:pPr>
      <w:r>
        <w:t>Penalties</w:t>
      </w:r>
    </w:p>
    <w:p>
      <w:pPr>
        <w:spacing w:after="80"/>
      </w:pPr>
      <w:r>
        <w:t>Private Right of Action. Consumers may bring actions under Title 13 of the</w:t>
      </w:r>
    </w:p>
    <w:p>
      <w:pPr>
        <w:spacing w:after="80"/>
      </w:pPr>
      <w:r>
        <w:t>Maryland Code, the Unfair and Deceptive Trade Practices Act.</w:t>
      </w:r>
    </w:p>
    <w:p>
      <w:pPr>
        <w:spacing w:after="80"/>
      </w:pPr>
      <w:r>
        <w:t>AG Enforcement. Penalties and damages may be assessed in an</w:t>
      </w:r>
    </w:p>
    <w:p>
      <w:pPr>
        <w:spacing w:after="80"/>
      </w:pPr>
      <w:r>
        <w:t>enforcement action brought by AG.</w:t>
      </w:r>
    </w:p>
    <w:p>
      <w:pPr>
        <w:spacing w:after="80"/>
      </w:pPr>
      <w:r>
        <w:t>Other Key Provisions</w:t>
      </w:r>
    </w:p>
    <w:p>
      <w:pPr>
        <w:spacing w:after="80"/>
      </w:pPr>
      <w:r>
        <w:t>Delay for Law Enforcement. Notice may be delayed if law enforcement</w:t>
      </w:r>
    </w:p>
    <w:p>
      <w:pPr>
        <w:spacing w:after="80"/>
      </w:pPr>
      <w:r>
        <w:t>agency determines that notice will impede criminal investigation or</w:t>
      </w:r>
    </w:p>
    <w:p>
      <w:pPr>
        <w:spacing w:after="80"/>
      </w:pPr>
      <w:r>
        <w:t>jeopardize homeland or national security. Notification to be given as soon as</w:t>
      </w:r>
    </w:p>
    <w:p>
      <w:pPr>
        <w:spacing w:after="80"/>
      </w:pPr>
      <w:r>
        <w:t>reasonably practicable after law enforcement agency determines that it will</w:t>
      </w:r>
    </w:p>
    <w:p>
      <w:pPr>
        <w:spacing w:after="80"/>
      </w:pPr>
      <w:r>
        <w:t>not impede criminal investigation and will not jeopardize homeland or</w:t>
      </w:r>
    </w:p>
    <w:p>
      <w:pPr>
        <w:spacing w:after="80"/>
      </w:pPr>
      <w:r>
        <w:t>national security.</w:t>
      </w:r>
    </w:p>
    <w:p>
      <w:pPr>
        <w:spacing w:after="80"/>
      </w:pPr>
      <w:r>
        <w:t>Waiver Not Permitted.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Massachusetts Covered    Entities</w:t>
      </w:r>
    </w:p>
    <w:p>
      <w:pPr>
        <w:spacing w:after="80"/>
      </w:pPr>
      <w:r>
        <w:t>Natural person, corporation, association, partnership or other legal entity</w:t>
      </w:r>
    </w:p>
    <w:p>
      <w:pPr>
        <w:spacing w:after="80"/>
      </w:pPr>
      <w:r>
        <w:t>that owns, licenses, maintains or stores data that includes PI about MA</w:t>
      </w:r>
    </w:p>
    <w:p>
      <w:pPr>
        <w:spacing w:after="80"/>
      </w:pPr>
      <w:r>
        <w:t>Mass. Gen. Laws 93H       resident.</w:t>
      </w:r>
    </w:p>
    <w:p>
      <w:pPr>
        <w:pStyle w:val="ListBullet"/>
      </w:pPr>
      <w:r>
        <w:t>1 et seq.</w:t>
      </w:r>
    </w:p>
    <w:p>
      <w:pPr>
        <w:spacing w:after="80"/>
      </w:pPr>
      <w:r>
        <w:t>Note: Provisions governing maintenance of PI applicable to any entity</w:t>
      </w:r>
    </w:p>
    <w:p>
      <w:pPr>
        <w:spacing w:after="80"/>
      </w:pPr>
      <w:r>
        <w:t>201 C.M.R. 17.00          maintaining information on MA residents, whether or not organized or</w:t>
      </w:r>
    </w:p>
    <w:p>
      <w:pPr>
        <w:spacing w:after="80"/>
      </w:pPr>
      <w:r>
        <w:t>licensed under MA laws.</w:t>
      </w:r>
    </w:p>
    <w:p>
      <w:pPr>
        <w:spacing w:after="80"/>
      </w:pPr>
      <w:r>
        <w:t>H.B. 4144</w:t>
      </w:r>
    </w:p>
    <w:p>
      <w:pPr>
        <w:spacing w:after="80"/>
      </w:pPr>
      <w:r>
        <w:t>Effective October 31,     Security Breach</w:t>
      </w:r>
    </w:p>
    <w:p>
      <w:pPr>
        <w:spacing w:after="80"/>
      </w:pPr>
      <w:r>
        <w:t>2007                      Unauthorized acquisition or unauthorized use of unencrypted data or</w:t>
      </w:r>
    </w:p>
    <w:p>
      <w:pPr>
        <w:spacing w:after="80"/>
      </w:pPr>
      <w:r>
        <w:t>encrypted electronic data and confidential process or key that is capable of</w:t>
      </w:r>
    </w:p>
    <w:p>
      <w:pPr>
        <w:spacing w:after="80"/>
      </w:pPr>
      <w:r>
        <w:t>Acme Company Springfield         compromising security, confidentiality, or integrity of PI, maintained by</w:t>
      </w:r>
    </w:p>
    <w:p>
      <w:pPr>
        <w:spacing w:after="80"/>
      </w:pPr>
      <w:r>
        <w:t>entity that creates substantial risk of identity theft or fraud against MA</w:t>
      </w:r>
    </w:p>
    <w:p>
      <w:pPr>
        <w:spacing w:after="80"/>
      </w:pPr>
      <w:r>
        <w:t>resident.</w:t>
      </w:r>
    </w:p>
    <w:p>
      <w:pPr>
        <w:spacing w:after="80"/>
      </w:pPr>
      <w:r>
        <w:t>Good-faith but unauthorized acquisition of PI by entity, or employee or</w:t>
      </w:r>
    </w:p>
    <w:p>
      <w:pPr>
        <w:spacing w:after="80"/>
      </w:pPr>
      <w:r>
        <w:t>agent thereof, for lawful purpose of such entity, is not breach unless PI is</w:t>
      </w:r>
    </w:p>
    <w:p>
      <w:pPr>
        <w:spacing w:after="80"/>
      </w:pPr>
      <w:r>
        <w:t>used in unauthorized manner or subject to further unauthorized disclosure.</w:t>
      </w:r>
    </w:p>
    <w:p>
      <w:pPr>
        <w:spacing w:after="80"/>
      </w:pPr>
      <w:r>
        <w:t>1441 Main St.</w:t>
      </w:r>
    </w:p>
    <w:p>
      <w:pPr>
        <w:spacing w:after="80"/>
      </w:pPr>
      <w:r>
        <w:t>Springfield, MA 01103</w:t>
      </w:r>
    </w:p>
    <w:p>
      <w:pPr>
        <w:spacing w:after="80"/>
      </w:pPr>
      <w:r>
        <w:t>Personal Information</w:t>
      </w:r>
    </w:p>
    <w:p>
      <w:pPr>
        <w:spacing w:after="80"/>
      </w:pPr>
      <w:r>
        <w:t>Resident’s first name and last name or first initial and last name in</w:t>
      </w:r>
    </w:p>
    <w:p>
      <w:pPr>
        <w:spacing w:after="80"/>
      </w:pPr>
      <w:r>
        <w:t>combination with any one or more of the following data elements that</w:t>
      </w:r>
    </w:p>
    <w:p>
      <w:pPr>
        <w:spacing w:after="80"/>
      </w:pPr>
      <w:r>
        <w:t>relates to such resident:</w:t>
      </w:r>
    </w:p>
    <w:p>
      <w:pPr>
        <w:pStyle w:val="ListBullet"/>
      </w:pPr>
      <w:r>
        <w:t>Social Security Number;</w:t>
      </w:r>
    </w:p>
    <w:p>
      <w:pPr>
        <w:pStyle w:val="ListBullet"/>
      </w:pPr>
      <w:r>
        <w:t>Driver license or state-issued identification card number; or</w:t>
      </w:r>
    </w:p>
    <w:p>
      <w:pPr>
        <w:pStyle w:val="ListBullet"/>
      </w:pPr>
      <w:r>
        <w:t>Financial account or credit card number, with or without any</w:t>
      </w:r>
    </w:p>
    <w:p>
      <w:pPr>
        <w:spacing w:after="80"/>
      </w:pPr>
      <w:r>
        <w:t>required security code, access code, personal ID number or</w:t>
      </w:r>
    </w:p>
    <w:p>
      <w:pPr>
        <w:spacing w:after="80"/>
      </w:pPr>
      <w:r>
        <w:t>password, that would permit access to resident’s financial account.</w:t>
      </w:r>
    </w:p>
    <w:p>
      <w:pPr>
        <w:spacing w:after="80"/>
      </w:pPr>
      <w:r>
        <w:t>PI does not include information lawfully obtained from publicly available</w:t>
      </w:r>
    </w:p>
    <w:p>
      <w:pPr>
        <w:spacing w:after="80"/>
      </w:pPr>
      <w:r>
        <w:t>information, or from federal, state, or local government records lawfully</w:t>
      </w:r>
    </w:p>
    <w:p>
      <w:pPr>
        <w:spacing w:after="80"/>
      </w:pPr>
      <w:r>
        <w:t>made available to general public.</w:t>
      </w:r>
    </w:p>
    <w:p>
      <w:pPr>
        <w:spacing w:after="80"/>
      </w:pPr>
      <w:r>
        <w:t>Notification</w:t>
      </w:r>
    </w:p>
    <w:p>
      <w:pPr>
        <w:spacing w:after="80"/>
      </w:pPr>
      <w:r>
        <w:t>Affected MA Residents. To affected residents when covered entity knows</w:t>
      </w:r>
    </w:p>
    <w:p>
      <w:pPr>
        <w:spacing w:after="80"/>
      </w:pPr>
      <w:r>
        <w:t>or has reason to know of breach, or when entity knows or has reason to</w:t>
      </w:r>
    </w:p>
    <w:p>
      <w:pPr>
        <w:spacing w:after="80"/>
      </w:pPr>
      <w:r>
        <w:t>know that PI of such resident was acquired or used by unauthorized person</w:t>
      </w:r>
    </w:p>
    <w:p>
      <w:pPr>
        <w:spacing w:after="80"/>
      </w:pPr>
      <w:r>
        <w:t>or used for unauthorized purpose.</w:t>
      </w:r>
    </w:p>
    <w:p>
      <w:pPr>
        <w:spacing w:after="80"/>
      </w:pPr>
      <w:r>
        <w:t>Note: MA may take the position that any unauthorized acquisition or use</w:t>
      </w:r>
    </w:p>
    <w:p>
      <w:pPr>
        <w:spacing w:after="80"/>
      </w:pPr>
      <w:r>
        <w:t>by third party triggers notification obligation, regardless of materiality or</w:t>
      </w:r>
    </w:p>
    <w:p>
      <w:pPr>
        <w:spacing w:after="80"/>
      </w:pPr>
      <w:r>
        <w:t>ownership of data.</w:t>
      </w:r>
    </w:p>
    <w:p>
      <w:pPr>
        <w:spacing w:after="80"/>
      </w:pPr>
      <w:r>
        <w:t>Attorney General/State Agency. Notice must be provided to state AG and</w:t>
      </w:r>
    </w:p>
    <w:p>
      <w:pPr>
        <w:spacing w:after="80"/>
      </w:pPr>
      <w:r>
        <w:t>director of consumer affairs and business regulation. Upon receipt of</w:t>
      </w:r>
    </w:p>
    <w:p>
      <w:pPr>
        <w:spacing w:after="80"/>
      </w:pPr>
      <w:r>
        <w:t>notice, director of consumer affairs and business regulation shall identify</w:t>
      </w:r>
    </w:p>
    <w:p>
      <w:pPr>
        <w:spacing w:after="80"/>
      </w:pPr>
      <w:r>
        <w:t>any relevant consumer reporting agency or state agency and forward names</w:t>
      </w:r>
    </w:p>
    <w:p>
      <w:pPr>
        <w:spacing w:after="80"/>
      </w:pPr>
      <w:r>
        <w:t>of the identified consumer reporting agencies and state agencies to</w:t>
      </w:r>
    </w:p>
    <w:p>
      <w:pPr>
        <w:spacing w:after="80"/>
      </w:pPr>
      <w:r>
        <w:t>notifying entity. Entity shall, as soon as practicable and without</w:t>
      </w:r>
    </w:p>
    <w:p>
      <w:pPr>
        <w:spacing w:after="80"/>
      </w:pPr>
      <w:r>
        <w:t>unreasonable delay, also provide notice to consumer reporting agencies and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state agencies identified by director of consumer affairs and business</w:t>
      </w:r>
    </w:p>
    <w:p>
      <w:pPr>
        <w:spacing w:after="80"/>
      </w:pPr>
      <w:r>
        <w:t>regulation.</w:t>
      </w:r>
    </w:p>
    <w:p>
      <w:pPr>
        <w:spacing w:after="80"/>
      </w:pPr>
      <w:r>
        <w:t>Third-Party Data Notification. Covered entity that maintains or stores,</w:t>
      </w:r>
    </w:p>
    <w:p>
      <w:pPr>
        <w:spacing w:after="80"/>
      </w:pPr>
      <w:r>
        <w:t>but does not own or license data that includes PI about a MA resident, shall</w:t>
      </w:r>
    </w:p>
    <w:p>
      <w:pPr>
        <w:spacing w:after="80"/>
      </w:pPr>
      <w:r>
        <w:t>provide notice, as soon as practicable and without unreasonable delay,</w:t>
      </w:r>
    </w:p>
    <w:p>
      <w:pPr>
        <w:spacing w:after="80"/>
      </w:pPr>
      <w:r>
        <w:t>when such entity (i) knows or has reason to know of a breach or (ii) when</w:t>
      </w:r>
    </w:p>
    <w:p>
      <w:pPr>
        <w:spacing w:after="80"/>
      </w:pPr>
      <w:r>
        <w:t>entity knows or has reason to know that resident’s PI was acquired or used</w:t>
      </w:r>
    </w:p>
    <w:p>
      <w:pPr>
        <w:spacing w:after="80"/>
      </w:pPr>
      <w:r>
        <w:t>by unauthorized person or used for an unauthorized purpose, to owner or</w:t>
      </w:r>
    </w:p>
    <w:p>
      <w:pPr>
        <w:spacing w:after="80"/>
      </w:pPr>
      <w:r>
        <w:t>licensor.</w:t>
      </w:r>
    </w:p>
    <w:p>
      <w:pPr>
        <w:spacing w:after="80"/>
      </w:pPr>
      <w:r>
        <w:t>Entity shall cooperate with the owner or licensor of such PI, to include, but</w:t>
      </w:r>
    </w:p>
    <w:p>
      <w:pPr>
        <w:spacing w:after="80"/>
      </w:pPr>
      <w:r>
        <w:t>not be limited to: (i) informing owner or licensor of breach or unauthorized</w:t>
      </w:r>
    </w:p>
    <w:p>
      <w:pPr>
        <w:spacing w:after="80"/>
      </w:pPr>
      <w:r>
        <w:t>acquisition or use, (ii) date or approximate date of such incident and nature</w:t>
      </w:r>
    </w:p>
    <w:p>
      <w:pPr>
        <w:spacing w:after="80"/>
      </w:pPr>
      <w:r>
        <w:t>thereof, and (iii) any steps entity has taken or plans to take relating to</w:t>
      </w:r>
    </w:p>
    <w:p>
      <w:pPr>
        <w:spacing w:after="80"/>
      </w:pPr>
      <w:r>
        <w:t>incident, except that such cooperation shall not be deemed to require</w:t>
      </w:r>
    </w:p>
    <w:p>
      <w:pPr>
        <w:spacing w:after="80"/>
      </w:pPr>
      <w:r>
        <w:t>disclosure of confidential business information or trade secrets, or to</w:t>
      </w:r>
    </w:p>
    <w:p>
      <w:pPr>
        <w:spacing w:after="80"/>
      </w:pPr>
      <w:r>
        <w:t>provide notice to resident that may not have been affected by breach or</w:t>
      </w:r>
    </w:p>
    <w:p>
      <w:pPr>
        <w:spacing w:after="80"/>
      </w:pPr>
      <w:r>
        <w:t>unauthorized acquisition or use.</w:t>
      </w:r>
    </w:p>
    <w:p>
      <w:pPr>
        <w:spacing w:after="80"/>
      </w:pPr>
      <w:r>
        <w:t>Timing. As soon as practicable and without unreasonable delay following</w:t>
      </w:r>
    </w:p>
    <w:p>
      <w:pPr>
        <w:spacing w:after="80"/>
      </w:pPr>
      <w:r>
        <w:t>discovery of breach.</w:t>
      </w:r>
    </w:p>
    <w:p>
      <w:pPr>
        <w:spacing w:after="80"/>
      </w:pPr>
      <w:r>
        <w:t>Form. Written or electronic, if consistent with provisions regarding</w:t>
      </w:r>
    </w:p>
    <w:p>
      <w:pPr>
        <w:spacing w:after="80"/>
      </w:pPr>
      <w:r>
        <w:t>electronic records and signatures in 15 U.S.C. § 7001(E-SIGN Act).</w:t>
      </w:r>
    </w:p>
    <w:p>
      <w:pPr>
        <w:spacing w:after="80"/>
      </w:pPr>
      <w:r>
        <w:t>Content—to AG/State Agencies. Notice to be provided to AG, director</w:t>
      </w:r>
    </w:p>
    <w:p>
      <w:pPr>
        <w:spacing w:after="80"/>
      </w:pPr>
      <w:r>
        <w:t>of consumer affairs, and consumer reporting agencies or state agencies, if</w:t>
      </w:r>
    </w:p>
    <w:p>
      <w:pPr>
        <w:spacing w:after="80"/>
      </w:pPr>
      <w:r>
        <w:t>any, shall include, but not be limited to: (i) nature of breach or</w:t>
      </w:r>
    </w:p>
    <w:p>
      <w:pPr>
        <w:spacing w:after="80"/>
      </w:pPr>
      <w:r>
        <w:t>unauthorized acquisition or use, (ii) number of MA residents affected by</w:t>
      </w:r>
    </w:p>
    <w:p>
      <w:pPr>
        <w:spacing w:after="80"/>
      </w:pPr>
      <w:r>
        <w:t>incident at time of notification, and (iii) any steps entity has taken or plans</w:t>
      </w:r>
    </w:p>
    <w:p>
      <w:pPr>
        <w:spacing w:after="80"/>
      </w:pPr>
      <w:r>
        <w:t>to take relating to incident.</w:t>
      </w:r>
    </w:p>
    <w:p>
      <w:pPr>
        <w:spacing w:after="80"/>
      </w:pPr>
      <w:r>
        <w:t>Content—to Resident. To include, but limited to: (i) consumer’s rights</w:t>
      </w:r>
    </w:p>
    <w:p>
      <w:pPr>
        <w:spacing w:after="80"/>
      </w:pPr>
      <w:r>
        <w:t>to obtain police report, (ii) how to request security freeze and necessary</w:t>
      </w:r>
    </w:p>
    <w:p>
      <w:pPr>
        <w:spacing w:after="80"/>
      </w:pPr>
      <w:r>
        <w:t>information to be provided when requesting security freeze, and (iii) any</w:t>
      </w:r>
    </w:p>
    <w:p>
      <w:pPr>
        <w:spacing w:after="80"/>
      </w:pPr>
      <w:r>
        <w:t>fees required to be paid to any consumer reporting agencies. Notification</w:t>
      </w:r>
    </w:p>
    <w:p>
      <w:pPr>
        <w:spacing w:after="80"/>
      </w:pPr>
      <w:r>
        <w:t>shall not include nature of breach or unauthorized acquisition or use or</w:t>
      </w:r>
    </w:p>
    <w:p>
      <w:pPr>
        <w:spacing w:after="80"/>
      </w:pPr>
      <w:r>
        <w:t>number of MA residents affected by said breach or unauthorized access or</w:t>
      </w:r>
    </w:p>
    <w:p>
      <w:pPr>
        <w:spacing w:after="80"/>
      </w:pPr>
      <w:r>
        <w:t>use.</w:t>
      </w:r>
    </w:p>
    <w:p>
      <w:pPr>
        <w:spacing w:after="80"/>
      </w:pPr>
      <w:r>
        <w:t>Substitute Notice Available. If cost of providing written notice will</w:t>
      </w:r>
    </w:p>
    <w:p>
      <w:pPr>
        <w:spacing w:after="80"/>
      </w:pPr>
      <w:r>
        <w:t>exceed $250,000, or affected class of MA residents to be notified exceeds</w:t>
      </w:r>
    </w:p>
    <w:p>
      <w:pPr>
        <w:spacing w:after="80"/>
      </w:pPr>
      <w:r>
        <w:t>500,000, or entity does not have sufficient contact information to provide</w:t>
      </w:r>
    </w:p>
    <w:p>
      <w:pPr>
        <w:spacing w:after="80"/>
      </w:pPr>
      <w:r>
        <w:t>notice, substitute notice available:</w:t>
      </w:r>
    </w:p>
    <w:p>
      <w:pPr>
        <w:pStyle w:val="ListBullet"/>
      </w:pPr>
      <w:r>
        <w:t>Email notice, if entity has email addresses for members of affected</w:t>
      </w:r>
    </w:p>
    <w:p>
      <w:pPr>
        <w:spacing w:after="80"/>
      </w:pPr>
      <w:r>
        <w:t>class of MA residents;</w:t>
      </w:r>
    </w:p>
    <w:p>
      <w:pPr>
        <w:pStyle w:val="ListBullet"/>
      </w:pPr>
      <w:r>
        <w:t>Clear and conspicuous posting of notice on home page of entity’s</w:t>
      </w:r>
    </w:p>
    <w:p>
      <w:pPr>
        <w:spacing w:after="80"/>
      </w:pPr>
      <w:r>
        <w:t>web site if maintained; and</w:t>
      </w:r>
    </w:p>
    <w:p>
      <w:pPr>
        <w:pStyle w:val="ListBullet"/>
      </w:pPr>
      <w:r>
        <w:t>Publication in or broadcast through media or medium that</w:t>
      </w:r>
    </w:p>
    <w:p>
      <w:pPr>
        <w:spacing w:after="80"/>
      </w:pPr>
      <w:r>
        <w:t>provides notice throughout MA.</w:t>
      </w:r>
    </w:p>
    <w:p>
      <w:pPr>
        <w:spacing w:after="80"/>
      </w:pPr>
      <w:r>
        <w:t>Exception—Compliance with other Laws. Notification pursuant to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laws, rules, regulations, guidance, or guidelines established by entity’s</w:t>
      </w:r>
    </w:p>
    <w:p>
      <w:pPr>
        <w:spacing w:after="80"/>
      </w:pPr>
      <w:r>
        <w:t>primary or functional state or federal regulator is sufficient for compliance.</w:t>
      </w:r>
    </w:p>
    <w:p>
      <w:pPr>
        <w:spacing w:after="80"/>
      </w:pPr>
      <w:r>
        <w:t>Penalties</w:t>
      </w:r>
    </w:p>
    <w:p>
      <w:pPr>
        <w:spacing w:after="80"/>
      </w:pPr>
      <w:r>
        <w:t>AG Enforcement. Penalties include civil penalties, damages, and</w:t>
      </w:r>
    </w:p>
    <w:p>
      <w:pPr>
        <w:spacing w:after="80"/>
      </w:pPr>
      <w:r>
        <w:t>injunctive relief.</w:t>
      </w:r>
    </w:p>
    <w:p>
      <w:pPr>
        <w:spacing w:after="80"/>
      </w:pPr>
      <w:r>
        <w:t>Private Cause of Action. If AG finds violations of consumer protection</w:t>
      </w:r>
    </w:p>
    <w:p>
      <w:pPr>
        <w:spacing w:after="80"/>
      </w:pPr>
      <w:r>
        <w:t>law for unfair or deceptive acts or practices, MA consumers may seek</w:t>
      </w:r>
    </w:p>
    <w:p>
      <w:pPr>
        <w:spacing w:after="80"/>
      </w:pPr>
      <w:r>
        <w:t>damages under Ch. 93A, which in some cases, may be trebled.</w:t>
      </w:r>
    </w:p>
    <w:p>
      <w:pPr>
        <w:spacing w:after="80"/>
      </w:pPr>
      <w:r>
        <w:t>Other Key Provisions</w:t>
      </w:r>
    </w:p>
    <w:p>
      <w:pPr>
        <w:spacing w:after="80"/>
      </w:pPr>
      <w:r>
        <w:t>Delay for Law Enforcement. Notice may be delayed if law enforcement</w:t>
      </w:r>
    </w:p>
    <w:p>
      <w:pPr>
        <w:spacing w:after="80"/>
      </w:pPr>
      <w:r>
        <w:t>determines that notice will impede criminal investigation and has notified</w:t>
      </w:r>
    </w:p>
    <w:p>
      <w:pPr>
        <w:spacing w:after="80"/>
      </w:pPr>
      <w:r>
        <w:t>AG, in writing, thereof and informs entity of such determination. Notice</w:t>
      </w:r>
    </w:p>
    <w:p>
      <w:pPr>
        <w:spacing w:after="80"/>
      </w:pPr>
      <w:r>
        <w:t>must be made without unreasonable delay and as soon as possible after law</w:t>
      </w:r>
    </w:p>
    <w:p>
      <w:pPr>
        <w:spacing w:after="80"/>
      </w:pPr>
      <w:r>
        <w:t>enforcement agency determines that notification will no longer impede</w:t>
      </w:r>
    </w:p>
    <w:p>
      <w:pPr>
        <w:spacing w:after="80"/>
      </w:pPr>
      <w:r>
        <w:t>investigation. Entity shall cooperate with law enforcement in its</w:t>
      </w:r>
    </w:p>
    <w:p>
      <w:pPr>
        <w:spacing w:after="80"/>
      </w:pPr>
      <w:r>
        <w:t>investigation of any breach or unauthorized acquisition or use, which shall</w:t>
      </w:r>
    </w:p>
    <w:p>
      <w:pPr>
        <w:spacing w:after="80"/>
      </w:pPr>
      <w:r>
        <w:t>include sharing of information relevant to incident; provided, however, that</w:t>
      </w:r>
    </w:p>
    <w:p>
      <w:pPr>
        <w:spacing w:after="80"/>
      </w:pPr>
      <w:r>
        <w:t>such disclosure shall not require disclosure of confidential business</w:t>
      </w:r>
    </w:p>
    <w:p>
      <w:pPr>
        <w:spacing w:after="80"/>
      </w:pPr>
      <w:r>
        <w:t>information or trade secrets.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Michigan                  Covered Entities</w:t>
      </w:r>
    </w:p>
    <w:p>
      <w:pPr>
        <w:spacing w:after="80"/>
      </w:pPr>
      <w:r>
        <w:t>Any individual, partnership, corporation, LLC, association, or other legal</w:t>
      </w:r>
    </w:p>
    <w:p>
      <w:pPr>
        <w:spacing w:after="80"/>
      </w:pPr>
      <w:r>
        <w:t>entity that owns or licenses data including PI of MI resident.</w:t>
      </w:r>
    </w:p>
    <w:p>
      <w:pPr>
        <w:spacing w:after="80"/>
      </w:pPr>
      <w:r>
        <w:t>Mich. Comp. Laws §</w:t>
      </w:r>
    </w:p>
    <w:p>
      <w:pPr>
        <w:pStyle w:val="ListNumber"/>
      </w:pPr>
      <w:r>
        <w:t>445.63, 72 et seq.        Note: Provisions governing maintenance of PI are applicable to any entity</w:t>
      </w:r>
    </w:p>
    <w:p>
      <w:pPr>
        <w:spacing w:after="80"/>
      </w:pPr>
      <w:r>
        <w:t>maintaining information on MI residents, whether or not organized or</w:t>
      </w:r>
    </w:p>
    <w:p>
      <w:pPr>
        <w:spacing w:after="80"/>
      </w:pPr>
      <w:r>
        <w:t>S.B. 309                  licensed under laws of MI.</w:t>
      </w:r>
    </w:p>
    <w:p>
      <w:pPr>
        <w:spacing w:after="80"/>
      </w:pPr>
      <w:r>
        <w:t>Effective July 2, 2007</w:t>
      </w:r>
    </w:p>
    <w:p>
      <w:pPr>
        <w:spacing w:after="80"/>
      </w:pPr>
      <w:r>
        <w:t>Security Breach</w:t>
      </w:r>
    </w:p>
    <w:p>
      <w:pPr>
        <w:spacing w:after="80"/>
      </w:pPr>
      <w:r>
        <w:t>S.B. No. 223              Unauthorized access and acquisition of data that compromises security or</w:t>
      </w:r>
    </w:p>
    <w:p>
      <w:pPr>
        <w:spacing w:after="80"/>
      </w:pPr>
      <w:r>
        <w:t>Effective April 1, 2010   confidentiality of PI maintained by entity as part of database of PI</w:t>
      </w:r>
    </w:p>
    <w:p>
      <w:pPr>
        <w:spacing w:after="80"/>
      </w:pPr>
      <w:r>
        <w:t>regarding multiple individuals.</w:t>
      </w:r>
    </w:p>
    <w:p>
      <w:pPr>
        <w:spacing w:after="80"/>
      </w:pPr>
      <w:r>
        <w:t>Acme Company Grand</w:t>
      </w:r>
    </w:p>
    <w:p>
      <w:pPr>
        <w:spacing w:after="80"/>
      </w:pPr>
      <w:r>
        <w:t>A good-faith but unauthorized acquisition of PI by employee or other</w:t>
      </w:r>
    </w:p>
    <w:p>
      <w:pPr>
        <w:spacing w:after="80"/>
      </w:pPr>
      <w:r>
        <w:t>individual, where access was related to activities of entity, is not a breach</w:t>
      </w:r>
    </w:p>
    <w:p>
      <w:pPr>
        <w:spacing w:after="80"/>
      </w:pPr>
      <w:r>
        <w:t>unless PI is misused or disclosed to unauthorized person. In making this</w:t>
      </w:r>
    </w:p>
    <w:p>
      <w:pPr>
        <w:spacing w:after="80"/>
      </w:pPr>
      <w:r>
        <w:t>determination entity shall act with care an ordinarily prudent entity in a like</w:t>
      </w:r>
    </w:p>
    <w:p>
      <w:pPr>
        <w:spacing w:after="80"/>
      </w:pPr>
      <w:r>
        <w:t>position would exercise under similar circumstances.</w:t>
      </w:r>
    </w:p>
    <w:p>
      <w:pPr>
        <w:spacing w:after="80"/>
      </w:pPr>
      <w:r>
        <w:t>1777 Third Street      Personal Information</w:t>
      </w:r>
    </w:p>
    <w:p>
      <w:pPr>
        <w:spacing w:after="80"/>
      </w:pPr>
      <w:r>
        <w:t>Detroit, MI 48226      First name or first initial and last name linked to one or more of the</w:t>
      </w:r>
    </w:p>
    <w:p>
      <w:pPr>
        <w:spacing w:after="80"/>
      </w:pPr>
      <w:r>
        <w:t>following data elements of MI resident:</w:t>
      </w:r>
    </w:p>
    <w:p>
      <w:pPr>
        <w:pStyle w:val="ListBullet"/>
      </w:pPr>
      <w:r>
        <w:t>Social Security Number;</w:t>
      </w:r>
    </w:p>
    <w:p>
      <w:pPr>
        <w:pStyle w:val="ListBullet"/>
      </w:pPr>
      <w:r>
        <w:t>Driver license number or state identification card number; or</w:t>
      </w:r>
    </w:p>
    <w:p>
      <w:pPr>
        <w:pStyle w:val="ListBullet"/>
      </w:pPr>
      <w:r>
        <w:t>Demand deposit or other financial account, credit card or debit</w:t>
      </w:r>
    </w:p>
    <w:p>
      <w:pPr>
        <w:spacing w:after="80"/>
      </w:pPr>
      <w:r>
        <w:t>card number, in combination with any required security code,</w:t>
      </w:r>
    </w:p>
    <w:p>
      <w:pPr>
        <w:spacing w:after="80"/>
      </w:pPr>
      <w:r>
        <w:t>access code, or password that would permit access to any of</w:t>
      </w:r>
    </w:p>
    <w:p>
      <w:pPr>
        <w:spacing w:after="80"/>
      </w:pPr>
      <w:r>
        <w:t>resident’s financial accounts.</w:t>
      </w:r>
    </w:p>
    <w:p>
      <w:pPr>
        <w:spacing w:after="80"/>
      </w:pPr>
      <w:r>
        <w:t>Notification</w:t>
      </w:r>
    </w:p>
    <w:p>
      <w:pPr>
        <w:spacing w:after="80"/>
      </w:pPr>
      <w:r>
        <w:t>Affected MI resident. To each MI resident if (i) resident’s unencrypted</w:t>
      </w:r>
    </w:p>
    <w:p>
      <w:pPr>
        <w:spacing w:after="80"/>
      </w:pPr>
      <w:r>
        <w:t>and un-redacted PI was accessed and acquired by unauthorized person, or</w:t>
      </w:r>
    </w:p>
    <w:p>
      <w:pPr>
        <w:spacing w:after="80"/>
      </w:pPr>
      <w:r>
        <w:t>(ii) resident’s PI was accessed and acquired in encrypted form by person</w:t>
      </w:r>
    </w:p>
    <w:p>
      <w:pPr>
        <w:spacing w:after="80"/>
      </w:pPr>
      <w:r>
        <w:t>with unauthorized access to encryption key.</w:t>
      </w:r>
    </w:p>
    <w:p>
      <w:pPr>
        <w:spacing w:after="80"/>
      </w:pPr>
      <w:r>
        <w:t>Notification is not required if entity determines that breach has not or is not</w:t>
      </w:r>
    </w:p>
    <w:p>
      <w:pPr>
        <w:spacing w:after="80"/>
      </w:pPr>
      <w:r>
        <w:t>likely to cause substantial loss or injury to, or result in identity theft with</w:t>
      </w:r>
    </w:p>
    <w:p>
      <w:pPr>
        <w:spacing w:after="80"/>
      </w:pPr>
      <w:r>
        <w:t>respect to, one or more MI residents.</w:t>
      </w:r>
    </w:p>
    <w:p>
      <w:pPr>
        <w:spacing w:after="80"/>
      </w:pPr>
      <w:r>
        <w:t>Consumer Reporting Agencies. If covered entity notifies 1,000 or more</w:t>
      </w:r>
    </w:p>
    <w:p>
      <w:pPr>
        <w:spacing w:after="80"/>
      </w:pPr>
      <w:r>
        <w:t>MI residents, entity shall, after notifying those residents, notify each</w:t>
      </w:r>
    </w:p>
    <w:p>
      <w:pPr>
        <w:spacing w:after="80"/>
      </w:pPr>
      <w:r>
        <w:t>consumer reporting agency that compiles and maintains files on consumers</w:t>
      </w:r>
    </w:p>
    <w:p>
      <w:pPr>
        <w:spacing w:after="80"/>
      </w:pPr>
      <w:r>
        <w:t>on a nationwide basis of the breach without unreasonable delay.</w:t>
      </w:r>
    </w:p>
    <w:p>
      <w:pPr>
        <w:spacing w:after="80"/>
      </w:pPr>
      <w:r>
        <w:t>Notification shall include number and timing of notices that person or</w:t>
      </w:r>
    </w:p>
    <w:p>
      <w:pPr>
        <w:spacing w:after="80"/>
      </w:pPr>
      <w:r>
        <w:t>agency provided to residents of MI. Does not apply if the person or agency</w:t>
      </w:r>
    </w:p>
    <w:p>
      <w:pPr>
        <w:spacing w:after="80"/>
      </w:pPr>
      <w:r>
        <w:t>is subject to Title V of the Gramm-Leach-Bliley Act.</w:t>
      </w:r>
    </w:p>
    <w:p>
      <w:pPr>
        <w:spacing w:after="80"/>
      </w:pPr>
      <w:r>
        <w:t>Third-Party Data Notification. Covered entity that maintains database</w:t>
      </w:r>
    </w:p>
    <w:p>
      <w:pPr>
        <w:spacing w:after="80"/>
      </w:pPr>
      <w:r>
        <w:t>that includes data that entity does not own or license that discovers breach</w:t>
      </w:r>
    </w:p>
    <w:p>
      <w:pPr>
        <w:spacing w:after="80"/>
      </w:pPr>
      <w:r>
        <w:t>shall provide notice to owner or licensor of information of the breach,</w:t>
      </w:r>
    </w:p>
    <w:p>
      <w:pPr>
        <w:spacing w:after="80"/>
      </w:pPr>
      <w:r>
        <w:t>unless entity determines that breach has not or is not likely to cause</w:t>
      </w:r>
    </w:p>
    <w:p>
      <w:pPr>
        <w:spacing w:after="80"/>
      </w:pPr>
      <w:r>
        <w:t>substantial loss or injury to, or result in identity theft with respect to one or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more MI residents.</w:t>
      </w:r>
    </w:p>
    <w:p>
      <w:pPr>
        <w:spacing w:after="80"/>
      </w:pPr>
      <w:r>
        <w:t>Timing. Without unreasonable delay following discovery of breach,</w:t>
      </w:r>
    </w:p>
    <w:p>
      <w:pPr>
        <w:spacing w:after="80"/>
      </w:pPr>
      <w:r>
        <w:t>consistent with measures necessary to determine scope of breach or restore</w:t>
      </w:r>
    </w:p>
    <w:p>
      <w:pPr>
        <w:spacing w:after="80"/>
      </w:pPr>
      <w:r>
        <w:t>system integrity.</w:t>
      </w:r>
    </w:p>
    <w:p>
      <w:pPr>
        <w:spacing w:after="80"/>
      </w:pPr>
      <w:r>
        <w:t>Form. One or more of the following:</w:t>
      </w:r>
    </w:p>
    <w:p>
      <w:pPr>
        <w:pStyle w:val="ListBullet"/>
      </w:pPr>
      <w:r>
        <w:t>Mail. Written notice sent to recipient at recipient’s postal address</w:t>
      </w:r>
    </w:p>
    <w:p>
      <w:pPr>
        <w:spacing w:after="80"/>
      </w:pPr>
      <w:r>
        <w:t>in entity’s records;</w:t>
      </w:r>
    </w:p>
    <w:p>
      <w:pPr>
        <w:pStyle w:val="ListBullet"/>
      </w:pPr>
      <w:r>
        <w:t>Telephone. Telephonic notice if (i) notice is not given in whole or</w:t>
      </w:r>
    </w:p>
    <w:p>
      <w:pPr>
        <w:spacing w:after="80"/>
      </w:pPr>
      <w:r>
        <w:t>in part by use of a recorded message, (ii) recipient has expressly</w:t>
      </w:r>
    </w:p>
    <w:p>
      <w:pPr>
        <w:spacing w:after="80"/>
      </w:pPr>
      <w:r>
        <w:t>consented to receive notice by telephone, or if the recipient has not</w:t>
      </w:r>
    </w:p>
    <w:p>
      <w:pPr>
        <w:spacing w:after="80"/>
      </w:pPr>
      <w:r>
        <w:t>expressly consented to receive notice by telephone, entity also</w:t>
      </w:r>
    </w:p>
    <w:p>
      <w:pPr>
        <w:spacing w:after="80"/>
      </w:pPr>
      <w:r>
        <w:t>provides notice pursuant to above methods if notice by telephone</w:t>
      </w:r>
    </w:p>
    <w:p>
      <w:pPr>
        <w:spacing w:after="80"/>
      </w:pPr>
      <w:r>
        <w:t>does not result in a live conversation between entity representative</w:t>
      </w:r>
    </w:p>
    <w:p>
      <w:pPr>
        <w:spacing w:after="80"/>
      </w:pPr>
      <w:r>
        <w:t>and recipient within three business days after initial attempt to</w:t>
      </w:r>
    </w:p>
    <w:p>
      <w:pPr>
        <w:spacing w:after="80"/>
      </w:pPr>
      <w:r>
        <w:t>provide telephonic notice; or</w:t>
      </w:r>
    </w:p>
    <w:p>
      <w:pPr>
        <w:pStyle w:val="ListBullet"/>
      </w:pPr>
      <w:r>
        <w:t>Email. Written notice sent electronically to recipient if (i)</w:t>
      </w:r>
    </w:p>
    <w:p>
      <w:pPr>
        <w:spacing w:after="80"/>
      </w:pPr>
      <w:r>
        <w:t>recipient has expressly consented to receive electronic notice, (ii)</w:t>
      </w:r>
    </w:p>
    <w:p>
      <w:pPr>
        <w:spacing w:after="80"/>
      </w:pPr>
      <w:r>
        <w:t>entity has existing business relationship with recipient that</w:t>
      </w:r>
    </w:p>
    <w:p>
      <w:pPr>
        <w:spacing w:after="80"/>
      </w:pPr>
      <w:r>
        <w:t>includes periodic email communications and based on those</w:t>
      </w:r>
    </w:p>
    <w:p>
      <w:pPr>
        <w:spacing w:after="80"/>
      </w:pPr>
      <w:r>
        <w:t>communications entity reasonably believes that it has recipient’s</w:t>
      </w:r>
    </w:p>
    <w:p>
      <w:pPr>
        <w:spacing w:after="80"/>
      </w:pPr>
      <w:r>
        <w:t>current email address, or (iii) entity conducts its business primarily</w:t>
      </w:r>
    </w:p>
    <w:p>
      <w:pPr>
        <w:spacing w:after="80"/>
      </w:pPr>
      <w:r>
        <w:t>through Internet account transactions or on the Internet.</w:t>
      </w:r>
    </w:p>
    <w:p>
      <w:pPr>
        <w:spacing w:after="80"/>
      </w:pPr>
      <w:r>
        <w:t>Content. Notice to be:</w:t>
      </w:r>
    </w:p>
    <w:p>
      <w:pPr>
        <w:pStyle w:val="ListBullet"/>
      </w:pPr>
      <w:r>
        <w:t>Be written in a clear and conspicuous manner, and shall clearly</w:t>
      </w:r>
    </w:p>
    <w:p>
      <w:pPr>
        <w:spacing w:after="80"/>
      </w:pPr>
      <w:r>
        <w:t>communicate the content required;</w:t>
      </w:r>
    </w:p>
    <w:p>
      <w:pPr>
        <w:pStyle w:val="ListBullet"/>
      </w:pPr>
      <w:r>
        <w:t>Describe breach in general terms;</w:t>
      </w:r>
    </w:p>
    <w:p>
      <w:pPr>
        <w:pStyle w:val="ListBullet"/>
      </w:pPr>
      <w:r>
        <w:t>Describe type of PI that is the subject of unauthorized access or</w:t>
      </w:r>
    </w:p>
    <w:p>
      <w:pPr>
        <w:spacing w:after="80"/>
      </w:pPr>
      <w:r>
        <w:t>use;</w:t>
      </w:r>
    </w:p>
    <w:p>
      <w:pPr>
        <w:pStyle w:val="ListBullet"/>
      </w:pPr>
      <w:r>
        <w:t>If applicable, generally describe what person providing notice has</w:t>
      </w:r>
    </w:p>
    <w:p>
      <w:pPr>
        <w:spacing w:after="80"/>
      </w:pPr>
      <w:r>
        <w:t>done to protect data from further breaches;</w:t>
      </w:r>
    </w:p>
    <w:p>
      <w:pPr>
        <w:pStyle w:val="ListBullet"/>
      </w:pPr>
      <w:r>
        <w:t>Include telephone number where notice recipient may obtain</w:t>
      </w:r>
    </w:p>
    <w:p>
      <w:pPr>
        <w:spacing w:after="80"/>
      </w:pPr>
      <w:r>
        <w:t>assistance or additional information; and</w:t>
      </w:r>
    </w:p>
    <w:p>
      <w:pPr>
        <w:pStyle w:val="ListBullet"/>
      </w:pPr>
      <w:r>
        <w:t>Remind notice recipients of need to remain vigilant for incidents</w:t>
      </w:r>
    </w:p>
    <w:p>
      <w:pPr>
        <w:spacing w:after="80"/>
      </w:pPr>
      <w:r>
        <w:t>of fraud and identity theft.</w:t>
      </w:r>
    </w:p>
    <w:p>
      <w:pPr>
        <w:spacing w:after="80"/>
      </w:pPr>
      <w:r>
        <w:t>Substitute Notice Available. If the covered entity demonstrates that cost</w:t>
      </w:r>
    </w:p>
    <w:p>
      <w:pPr>
        <w:spacing w:after="80"/>
      </w:pPr>
      <w:r>
        <w:t>of providing notice would exceed $250,000 or entity has to provide notice</w:t>
      </w:r>
    </w:p>
    <w:p>
      <w:pPr>
        <w:spacing w:after="80"/>
      </w:pPr>
      <w:r>
        <w:t>to more than 500,000 residents of MI, substitute notice available:</w:t>
      </w:r>
    </w:p>
    <w:p>
      <w:pPr>
        <w:pStyle w:val="ListBullet"/>
      </w:pPr>
      <w:r>
        <w:t>Email notice if entity has email addresses for any of MI residents</w:t>
      </w:r>
    </w:p>
    <w:p>
      <w:pPr>
        <w:spacing w:after="80"/>
      </w:pPr>
      <w:r>
        <w:t>entitled to receive notice;</w:t>
      </w:r>
    </w:p>
    <w:p>
      <w:pPr>
        <w:pStyle w:val="ListBullet"/>
      </w:pPr>
      <w:r>
        <w:t>Conspicuous posting on entity’s web site if maintained; and</w:t>
      </w:r>
    </w:p>
    <w:p>
      <w:pPr>
        <w:pStyle w:val="ListBullet"/>
      </w:pPr>
      <w:r>
        <w:t>Notification to major statewide media, which notice shall include</w:t>
      </w:r>
    </w:p>
    <w:p>
      <w:pPr>
        <w:spacing w:after="80"/>
      </w:pPr>
      <w:r>
        <w:t>telephone number or web site address that person may use to</w:t>
      </w:r>
    </w:p>
    <w:p>
      <w:pPr>
        <w:spacing w:after="80"/>
      </w:pPr>
      <w:r>
        <w:t>obtain additional assistance and information.</w:t>
      </w:r>
    </w:p>
    <w:p>
      <w:pPr>
        <w:spacing w:after="80"/>
      </w:pPr>
      <w:r>
        <w:t>Penalties</w:t>
      </w:r>
    </w:p>
    <w:p>
      <w:pPr>
        <w:spacing w:after="80"/>
      </w:pPr>
      <w:r>
        <w:t>False notice. Criminal penalties for notice of breach that has not occurred,</w:t>
      </w:r>
    </w:p>
    <w:p>
      <w:pPr>
        <w:spacing w:after="80"/>
      </w:pPr>
      <w:r>
        <w:t>where such notice is given with intent to defraud. Misdemeanor offense,</w:t>
      </w:r>
    </w:p>
    <w:p>
      <w:pPr>
        <w:spacing w:after="80"/>
      </w:pPr>
      <w:r>
        <w:t>punishable by imprisonment for not more than 30 days or fine of not more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than $250 per violation (or both). (The penalty is the same for second and</w:t>
      </w:r>
    </w:p>
    <w:p>
      <w:pPr>
        <w:spacing w:after="80"/>
      </w:pPr>
      <w:r>
        <w:t>third violations, except that the fine increases to $500 per violation and</w:t>
      </w:r>
    </w:p>
    <w:p>
      <w:pPr>
        <w:spacing w:after="80"/>
      </w:pPr>
      <w:r>
        <w:t>$750 per violation, respectively.) Entities that distribute advertisement or</w:t>
      </w:r>
    </w:p>
    <w:p>
      <w:pPr>
        <w:spacing w:after="80"/>
      </w:pPr>
      <w:r>
        <w:t>make any other solicitation that misrepresents to recipient that breach has</w:t>
      </w:r>
    </w:p>
    <w:p>
      <w:pPr>
        <w:spacing w:after="80"/>
      </w:pPr>
      <w:r>
        <w:t>occurred that may affect the recipient are punishable by imprisonment for</w:t>
      </w:r>
    </w:p>
    <w:p>
      <w:pPr>
        <w:spacing w:after="80"/>
      </w:pPr>
      <w:r>
        <w:t>not more than 93 days or fine of not more than $1,000 per violation (or</w:t>
      </w:r>
    </w:p>
    <w:p>
      <w:pPr>
        <w:spacing w:after="80"/>
      </w:pPr>
      <w:r>
        <w:t>both). (The penalty is the same for second and third violations, except that</w:t>
      </w:r>
    </w:p>
    <w:p>
      <w:pPr>
        <w:spacing w:after="80"/>
      </w:pPr>
      <w:r>
        <w:t>the fine increases to $2,000 per violation and $3,000 per violation,</w:t>
      </w:r>
    </w:p>
    <w:p>
      <w:pPr>
        <w:spacing w:after="80"/>
      </w:pPr>
      <w:r>
        <w:t>respectively.)</w:t>
      </w:r>
    </w:p>
    <w:p>
      <w:pPr>
        <w:spacing w:after="80"/>
      </w:pPr>
      <w:r>
        <w:t>Failure to provide notice. May be ordered to pay civil fine of not more</w:t>
      </w:r>
    </w:p>
    <w:p>
      <w:pPr>
        <w:spacing w:after="80"/>
      </w:pPr>
      <w:r>
        <w:t>than $250 for each failure to provide notice, capped at $750,000 per breach.</w:t>
      </w:r>
    </w:p>
    <w:p>
      <w:pPr>
        <w:spacing w:after="80"/>
      </w:pPr>
      <w:r>
        <w:t>These penalties do not affect the availability of civil remedies under state or</w:t>
      </w:r>
    </w:p>
    <w:p>
      <w:pPr>
        <w:spacing w:after="80"/>
      </w:pPr>
      <w:r>
        <w:t>federal law.</w:t>
      </w:r>
    </w:p>
    <w:p>
      <w:pPr>
        <w:spacing w:after="80"/>
      </w:pPr>
      <w:r>
        <w:t>Other Key Provisions</w:t>
      </w:r>
    </w:p>
    <w:p>
      <w:pPr>
        <w:spacing w:after="80"/>
      </w:pPr>
      <w:r>
        <w:t>Delay for Law Enforcement. Notice may be delayed if law enforcement</w:t>
      </w:r>
    </w:p>
    <w:p>
      <w:pPr>
        <w:spacing w:after="80"/>
      </w:pPr>
      <w:r>
        <w:t>determines that notice will impede criminal investigation or jeopardize</w:t>
      </w:r>
    </w:p>
    <w:p>
      <w:pPr>
        <w:spacing w:after="80"/>
      </w:pPr>
      <w:r>
        <w:t>homeland or national security. Notification to be given as soon as</w:t>
      </w:r>
    </w:p>
    <w:p>
      <w:pPr>
        <w:spacing w:after="80"/>
      </w:pPr>
      <w:r>
        <w:t>reasonably practicable after the law enforcement determines that it will not</w:t>
      </w:r>
    </w:p>
    <w:p>
      <w:pPr>
        <w:spacing w:after="80"/>
      </w:pPr>
      <w:r>
        <w:t>impede criminal investigation and will not jeopardize homeland or national</w:t>
      </w:r>
    </w:p>
    <w:p>
      <w:pPr>
        <w:spacing w:after="80"/>
      </w:pPr>
      <w:r>
        <w:t>security.</w:t>
      </w:r>
    </w:p>
    <w:p>
      <w:pPr>
        <w:spacing w:after="80"/>
      </w:pPr>
      <w:r>
        <w:t>Notice by Proxy. Covered entity may deliver notice pursuant to agreement</w:t>
      </w:r>
    </w:p>
    <w:p>
      <w:pPr>
        <w:spacing w:after="80"/>
      </w:pPr>
      <w:r>
        <w:t>with another entity, if agreement does not conflict with MI law.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Mississippi              Covered Entities</w:t>
      </w:r>
    </w:p>
    <w:p>
      <w:pPr>
        <w:spacing w:after="80"/>
      </w:pPr>
      <w:r>
        <w:t>Person who conducts business in MS and who, in the ordinary course of the</w:t>
      </w:r>
    </w:p>
    <w:p>
      <w:pPr>
        <w:spacing w:after="80"/>
      </w:pPr>
      <w:r>
        <w:t>person’s business functions, owns, licenses, or maintains the PI of any MS</w:t>
      </w:r>
    </w:p>
    <w:p>
      <w:pPr>
        <w:spacing w:after="80"/>
      </w:pPr>
      <w:r>
        <w:t>Miss. Code § 75-24-      resident.</w:t>
      </w:r>
    </w:p>
    <w:p>
      <w:pPr>
        <w:spacing w:after="80"/>
      </w:pPr>
      <w:r>
        <w:t>29</w:t>
      </w:r>
    </w:p>
    <w:p>
      <w:pPr>
        <w:spacing w:after="80"/>
      </w:pPr>
      <w:r>
        <w:t>Security Breach</w:t>
      </w:r>
    </w:p>
    <w:p>
      <w:pPr>
        <w:spacing w:after="80"/>
      </w:pPr>
      <w:r>
        <w:t>H.B. 582                 Unauthorized acquisition of electronic files, media, databases or</w:t>
      </w:r>
    </w:p>
    <w:p>
      <w:pPr>
        <w:spacing w:after="80"/>
      </w:pPr>
      <w:r>
        <w:t>Effective July 1, 2011   computerized data containing PI of any MS resident when access to the PI</w:t>
      </w:r>
    </w:p>
    <w:p>
      <w:pPr>
        <w:spacing w:after="80"/>
      </w:pPr>
      <w:r>
        <w:t>has not been secured by encryption or by other method of technology that</w:t>
      </w:r>
    </w:p>
    <w:p>
      <w:pPr>
        <w:spacing w:after="80"/>
      </w:pPr>
      <w:r>
        <w:t>Beau Rivage          renders the PI unreadable or unusable.</w:t>
      </w:r>
    </w:p>
    <w:p>
      <w:pPr>
        <w:spacing w:after="80"/>
      </w:pPr>
      <w:r>
        <w:t>Personal Information</w:t>
      </w:r>
    </w:p>
    <w:p>
      <w:pPr>
        <w:spacing w:after="80"/>
      </w:pPr>
      <w:r>
        <w:t>Individual’s first name (or first initial) and last name in combination with</w:t>
      </w:r>
    </w:p>
    <w:p>
      <w:pPr>
        <w:spacing w:after="80"/>
      </w:pPr>
      <w:r>
        <w:t>any one or more of the following data elements, when the data element is not</w:t>
      </w:r>
    </w:p>
    <w:p>
      <w:pPr>
        <w:spacing w:after="80"/>
      </w:pPr>
      <w:r>
        <w:t>secured by encryption or another method of technology that makes electronic</w:t>
      </w:r>
    </w:p>
    <w:p>
      <w:pPr>
        <w:spacing w:after="80"/>
      </w:pPr>
      <w:r>
        <w:t>875 Beach Blvd.       data unreadable or unusable:</w:t>
      </w:r>
    </w:p>
    <w:p>
      <w:pPr>
        <w:spacing w:after="80"/>
      </w:pPr>
      <w:r>
        <w:t>Biloxi, MS 39530</w:t>
      </w:r>
    </w:p>
    <w:p>
      <w:pPr>
        <w:pStyle w:val="ListBullet"/>
      </w:pPr>
      <w:r>
        <w:t>Social Security Number;</w:t>
      </w:r>
    </w:p>
    <w:p>
      <w:pPr>
        <w:pStyle w:val="ListBullet"/>
      </w:pPr>
      <w:r>
        <w:t>Driver license number or state identification card number; or</w:t>
      </w:r>
    </w:p>
    <w:p>
      <w:pPr>
        <w:spacing w:after="80"/>
      </w:pPr>
      <w:r>
        <w:t>Gold Strike</w:t>
      </w:r>
    </w:p>
    <w:p>
      <w:pPr>
        <w:pStyle w:val="ListBullet"/>
      </w:pPr>
      <w:r>
        <w:t>Account number or credit card number or debit card number in</w:t>
      </w:r>
    </w:p>
    <w:p>
      <w:pPr>
        <w:spacing w:after="80"/>
      </w:pPr>
      <w:r>
        <w:t>combination with any required security code, access code, or</w:t>
      </w:r>
    </w:p>
    <w:p>
      <w:pPr>
        <w:spacing w:after="80"/>
      </w:pPr>
      <w:r>
        <w:t>password that would permit access to an individual’s financial</w:t>
      </w:r>
    </w:p>
    <w:p>
      <w:pPr>
        <w:spacing w:after="80"/>
      </w:pPr>
      <w:r>
        <w:t>account.</w:t>
      </w:r>
    </w:p>
    <w:p>
      <w:pPr>
        <w:spacing w:after="80"/>
      </w:pPr>
      <w:r>
        <w:t>Does not include publicly available information lawfully made available to</w:t>
      </w:r>
    </w:p>
    <w:p>
      <w:pPr>
        <w:spacing w:after="80"/>
      </w:pPr>
      <w:r>
        <w:t>1010 Casino Center Dr.   the general public from government records.</w:t>
      </w:r>
    </w:p>
    <w:p>
      <w:pPr>
        <w:spacing w:after="80"/>
      </w:pPr>
      <w:r>
        <w:t>Tunica Resorts, MS</w:t>
      </w:r>
    </w:p>
    <w:p>
      <w:pPr>
        <w:spacing w:after="80"/>
      </w:pPr>
      <w:r>
        <w:t>38664</w:t>
      </w:r>
    </w:p>
    <w:p>
      <w:pPr>
        <w:spacing w:after="80"/>
      </w:pPr>
      <w:r>
        <w:t>Notification</w:t>
      </w:r>
    </w:p>
    <w:p>
      <w:pPr>
        <w:spacing w:after="80"/>
      </w:pPr>
      <w:r>
        <w:t>Affected Individuals. A person who conducts business in MS shall disclose</w:t>
      </w:r>
    </w:p>
    <w:p>
      <w:pPr>
        <w:spacing w:after="80"/>
      </w:pPr>
      <w:r>
        <w:t>any breach of security to all affected individuals.</w:t>
      </w:r>
    </w:p>
    <w:p>
      <w:pPr>
        <w:spacing w:after="80"/>
      </w:pPr>
      <w:r>
        <w:t>Third-Party Data. If data includes PI not owned or licensed by covered</w:t>
      </w:r>
    </w:p>
    <w:p>
      <w:pPr>
        <w:spacing w:after="80"/>
      </w:pPr>
      <w:r>
        <w:t>entity, must notify the owner or licensee as soon as practical following its</w:t>
      </w:r>
    </w:p>
    <w:p>
      <w:pPr>
        <w:spacing w:after="80"/>
      </w:pPr>
      <w:r>
        <w:t>discovery, if PI was, or is reasonably believed to have been, acquired by</w:t>
      </w:r>
    </w:p>
    <w:p>
      <w:pPr>
        <w:spacing w:after="80"/>
      </w:pPr>
      <w:r>
        <w:t>unauthorized person for fraudulent purposes.</w:t>
      </w:r>
    </w:p>
    <w:p>
      <w:pPr>
        <w:spacing w:after="80"/>
      </w:pPr>
      <w:r>
        <w:t>Timing. Without unreasonable delay, subject to the completion of</w:t>
      </w:r>
    </w:p>
    <w:p>
      <w:pPr>
        <w:spacing w:after="80"/>
      </w:pPr>
      <w:r>
        <w:t>investigation by the person to determine the nature and scope of incident, to</w:t>
      </w:r>
    </w:p>
    <w:p>
      <w:pPr>
        <w:spacing w:after="80"/>
      </w:pPr>
      <w:r>
        <w:t>identify the affected individuals, or to restore reasonable integrity of system.</w:t>
      </w:r>
    </w:p>
    <w:p>
      <w:pPr>
        <w:spacing w:after="80"/>
      </w:pPr>
      <w:r>
        <w:t>Form. Written, telephonic, or electronic, if primary method of</w:t>
      </w:r>
    </w:p>
    <w:p>
      <w:pPr>
        <w:spacing w:after="80"/>
      </w:pPr>
      <w:r>
        <w:t>communication with individual by electronic means, or if notice consistent</w:t>
      </w:r>
    </w:p>
    <w:p>
      <w:pPr>
        <w:spacing w:after="80"/>
      </w:pPr>
      <w:r>
        <w:t>with electronic records and signatures set forth in 15 U.S.C. § 7001 (E-SIGN</w:t>
      </w:r>
    </w:p>
    <w:p>
      <w:pPr>
        <w:spacing w:after="80"/>
      </w:pPr>
      <w:r>
        <w:t>Act).</w:t>
      </w:r>
    </w:p>
    <w:p>
      <w:pPr>
        <w:spacing w:after="80"/>
      </w:pPr>
      <w:r>
        <w:t>Substitute Notice Available. If cost will exceed $5,000, or more than 5,000</w:t>
      </w:r>
    </w:p>
    <w:p>
      <w:pPr>
        <w:spacing w:after="80"/>
      </w:pPr>
      <w:r>
        <w:t>affected residents, or covered entity lacks sufficient contact information,</w:t>
      </w:r>
    </w:p>
    <w:p>
      <w:pPr>
        <w:spacing w:after="80"/>
      </w:pPr>
      <w:r>
        <w:t>substitute notice available:</w:t>
      </w:r>
    </w:p>
    <w:p>
      <w:pPr>
        <w:pStyle w:val="ListBullet"/>
      </w:pPr>
      <w:r>
        <w:t>Email notice, if email addresses for subject persons available;</w:t>
      </w:r>
    </w:p>
    <w:p>
      <w:pPr>
        <w:pStyle w:val="ListBullet"/>
      </w:pPr>
      <w:r>
        <w:t>Conspicuous posting on covered entity’s website; and</w:t>
      </w:r>
    </w:p>
    <w:p>
      <w:pPr>
        <w:pStyle w:val="ListBullet"/>
      </w:pPr>
      <w:r>
        <w:t>Notification to major statewide media.</w:t>
      </w:r>
    </w:p>
    <w:p>
      <w:pPr>
        <w:spacing w:after="80"/>
      </w:pPr>
      <w:r>
        <w:t>Exception--No Harm. Notification is not required if, after an appropriate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investigation, person reasonably determines that breach will not likely result</w:t>
      </w:r>
    </w:p>
    <w:p>
      <w:pPr>
        <w:spacing w:after="80"/>
      </w:pPr>
      <w:r>
        <w:t>in harm to affected individuals.</w:t>
      </w:r>
    </w:p>
    <w:p>
      <w:pPr>
        <w:spacing w:after="80"/>
      </w:pPr>
      <w:r>
        <w:t>Exception--Own Notification Policy. Covered entity that maintains own</w:t>
      </w:r>
    </w:p>
    <w:p>
      <w:pPr>
        <w:spacing w:after="80"/>
      </w:pPr>
      <w:r>
        <w:t>notification procedures, consistent with the timing requirements, deemed in</w:t>
      </w:r>
    </w:p>
    <w:p>
      <w:pPr>
        <w:spacing w:after="80"/>
      </w:pPr>
      <w:r>
        <w:t>compliance with notification requirements, if it notifies subject persons in</w:t>
      </w:r>
    </w:p>
    <w:p>
      <w:pPr>
        <w:spacing w:after="80"/>
      </w:pPr>
      <w:r>
        <w:t>accordance with its policies.</w:t>
      </w:r>
    </w:p>
    <w:p>
      <w:pPr>
        <w:spacing w:after="80"/>
      </w:pPr>
      <w:r>
        <w:t>Exception--Compliance with Federal Regulations. Any person that</w:t>
      </w:r>
    </w:p>
    <w:p>
      <w:pPr>
        <w:spacing w:after="80"/>
      </w:pPr>
      <w:r>
        <w:t>maintains a security breach procedure pursuant to the rules, regulations, or</w:t>
      </w:r>
    </w:p>
    <w:p>
      <w:pPr>
        <w:spacing w:after="80"/>
      </w:pPr>
      <w:r>
        <w:t>guidelines established by the primary federal functional regulator shall be</w:t>
      </w:r>
    </w:p>
    <w:p>
      <w:pPr>
        <w:spacing w:after="80"/>
      </w:pPr>
      <w:r>
        <w:t>deemed to be in compliance, provided person notifies affected individuals in</w:t>
      </w:r>
    </w:p>
    <w:p>
      <w:pPr>
        <w:spacing w:after="80"/>
      </w:pPr>
      <w:r>
        <w:t>accordance with policies or rules, regulations, procedures, or guidelines.</w:t>
      </w:r>
    </w:p>
    <w:p>
      <w:pPr>
        <w:spacing w:after="80"/>
      </w:pPr>
      <w:r>
        <w:t>Penalties</w:t>
      </w:r>
    </w:p>
    <w:p>
      <w:pPr>
        <w:spacing w:after="80"/>
      </w:pPr>
      <w:r>
        <w:t>AG Enforcement. Failure to comply constitutes unfair trade practice to be</w:t>
      </w:r>
    </w:p>
    <w:p>
      <w:pPr>
        <w:spacing w:after="80"/>
      </w:pPr>
      <w:r>
        <w:t>enforced by the Attorney General. No private cause of action.</w:t>
      </w:r>
    </w:p>
    <w:p>
      <w:pPr>
        <w:spacing w:after="80"/>
      </w:pPr>
      <w:r>
        <w:t>Other Key Provisions</w:t>
      </w:r>
    </w:p>
    <w:p>
      <w:pPr>
        <w:spacing w:after="80"/>
      </w:pPr>
      <w:r>
        <w:t>Delay for Law Enforcement. Notice may be delayed for a reasonable</w:t>
      </w:r>
    </w:p>
    <w:p>
      <w:pPr>
        <w:spacing w:after="80"/>
      </w:pPr>
      <w:r>
        <w:t>period of time if a law enforcement agency determines that it will impede a</w:t>
      </w:r>
    </w:p>
    <w:p>
      <w:pPr>
        <w:spacing w:after="80"/>
      </w:pPr>
      <w:r>
        <w:t>criminal investigation or national security and law enforcement has made a</w:t>
      </w:r>
    </w:p>
    <w:p>
      <w:pPr>
        <w:spacing w:after="80"/>
      </w:pPr>
      <w:r>
        <w:t>request to delay notification. Such delayed notification shall be made after</w:t>
      </w:r>
    </w:p>
    <w:p>
      <w:pPr>
        <w:spacing w:after="80"/>
      </w:pPr>
      <w:r>
        <w:t>law enforcement determines that notification will not compromise criminal</w:t>
      </w:r>
    </w:p>
    <w:p>
      <w:pPr>
        <w:spacing w:after="80"/>
      </w:pPr>
      <w:r>
        <w:t>investigation or national security and so notifies person of that</w:t>
      </w:r>
    </w:p>
    <w:p>
      <w:pPr>
        <w:spacing w:after="80"/>
      </w:pPr>
      <w:r>
        <w:t>determination.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Nevada                    Covered Entities</w:t>
      </w:r>
    </w:p>
    <w:p>
      <w:pPr>
        <w:spacing w:after="80"/>
      </w:pPr>
      <w:r>
        <w:t>Governmental agency, institution of higher education, corporation, financial</w:t>
      </w:r>
    </w:p>
    <w:p>
      <w:pPr>
        <w:spacing w:after="80"/>
      </w:pPr>
      <w:r>
        <w:t>Nev. Rev. Stat. §         institution or retail operator, or other type of business entity or association that</w:t>
      </w:r>
    </w:p>
    <w:p>
      <w:pPr>
        <w:spacing w:after="80"/>
      </w:pPr>
      <w:r>
        <w:t>603A.010                  owns or licenses computerized data that includes PI.</w:t>
      </w:r>
    </w:p>
    <w:p>
      <w:pPr>
        <w:spacing w:after="80"/>
      </w:pPr>
      <w:r>
        <w:t>et seq.                   Security Breach</w:t>
      </w:r>
    </w:p>
    <w:p>
      <w:pPr>
        <w:spacing w:after="80"/>
      </w:pPr>
      <w:r>
        <w:t>Unauthorized acquisition of computerized data that materially compromises</w:t>
      </w:r>
    </w:p>
    <w:p>
      <w:pPr>
        <w:spacing w:after="80"/>
      </w:pPr>
      <w:r>
        <w:t>S.B. 347                  the security, confidentiality, or integrity of PI maintained by covered entity.</w:t>
      </w:r>
    </w:p>
    <w:p>
      <w:pPr>
        <w:spacing w:after="80"/>
      </w:pPr>
      <w:r>
        <w:t>Effective October 1,      Good-faith acquisition of PI by employee or agent of covered entity for</w:t>
      </w:r>
    </w:p>
    <w:p>
      <w:pPr>
        <w:spacing w:after="80"/>
      </w:pPr>
      <w:r>
        <w:t>2005:                     legitimate purposes not a breach if PI is not otherwise used or subject to</w:t>
      </w:r>
    </w:p>
    <w:p>
      <w:pPr>
        <w:spacing w:after="80"/>
      </w:pPr>
      <w:r>
        <w:t>Forgery laboratories,     further unauthorized disclosure.</w:t>
      </w:r>
    </w:p>
    <w:p>
      <w:pPr>
        <w:spacing w:after="80"/>
      </w:pPr>
      <w:r>
        <w:t>crimes against older</w:t>
      </w:r>
    </w:p>
    <w:p>
      <w:pPr>
        <w:spacing w:after="80"/>
      </w:pPr>
      <w:r>
        <w:t>and vulnerable persons,   Personal Information</w:t>
      </w:r>
    </w:p>
    <w:p>
      <w:pPr>
        <w:spacing w:after="80"/>
      </w:pPr>
      <w:r>
        <w:t>requirements for state    Individual’s first name (or first initial) and last name in combination with any</w:t>
      </w:r>
    </w:p>
    <w:p>
      <w:pPr>
        <w:spacing w:after="80"/>
      </w:pPr>
      <w:r>
        <w:t>actors, credit card       one or more of the following data elements, when the name and data elements</w:t>
      </w:r>
    </w:p>
    <w:p>
      <w:pPr>
        <w:spacing w:after="80"/>
      </w:pPr>
      <w:r>
        <w:t>issuer requirements       are not encrypted:</w:t>
      </w:r>
    </w:p>
    <w:p>
      <w:pPr>
        <w:spacing w:after="80"/>
      </w:pPr>
      <w:r>
        <w:t>provisions</w:t>
      </w:r>
    </w:p>
    <w:p>
      <w:pPr>
        <w:pStyle w:val="ListBullet"/>
      </w:pPr>
      <w:r>
        <w:t>Social Security Number;</w:t>
      </w:r>
    </w:p>
    <w:p>
      <w:pPr>
        <w:spacing w:after="80"/>
      </w:pPr>
      <w:r>
        <w:t>Effective January 1,          § Driver license number, driver authorization card number or</w:t>
      </w:r>
    </w:p>
    <w:p>
      <w:pPr>
        <w:spacing w:after="80"/>
      </w:pPr>
      <w:r>
        <w:t>2006:                           identification card number; or</w:t>
      </w:r>
    </w:p>
    <w:p>
      <w:pPr>
        <w:spacing w:after="80"/>
      </w:pPr>
      <w:r>
        <w:t>Credit card issuer            § Account number or credit card number or debit card number in</w:t>
      </w:r>
    </w:p>
    <w:p>
      <w:pPr>
        <w:spacing w:after="80"/>
      </w:pPr>
      <w:r>
        <w:t>requirements, data              combination with any required security code, access code, or password</w:t>
      </w:r>
    </w:p>
    <w:p>
      <w:pPr>
        <w:spacing w:after="80"/>
      </w:pPr>
      <w:r>
        <w:t>destruction                     that would permit access to an individual’s financial account.</w:t>
      </w:r>
    </w:p>
    <w:p>
      <w:pPr>
        <w:spacing w:after="80"/>
      </w:pPr>
      <w:r>
        <w:t>requirements,             [Legislation effective July 1, 2015, but businesses exempted from</w:t>
      </w:r>
    </w:p>
    <w:p>
      <w:pPr>
        <w:spacing w:after="80"/>
      </w:pPr>
      <w:r>
        <w:t>“reasonable               compliance until July 1, 2016:]</w:t>
      </w:r>
    </w:p>
    <w:p>
      <w:pPr>
        <w:spacing w:after="80"/>
      </w:pPr>
      <w:r>
        <w:t>protections”</w:t>
      </w:r>
    </w:p>
    <w:p>
      <w:pPr>
        <w:spacing w:after="80"/>
      </w:pPr>
      <w:r>
        <w:t>requirements, security        § [Medical identification number or a health insurance]</w:t>
      </w:r>
    </w:p>
    <w:p>
      <w:pPr>
        <w:spacing w:after="80"/>
      </w:pPr>
      <w:r>
        <w:t>breach notification           § [User name, unique identifier or electronic mail address in</w:t>
      </w:r>
    </w:p>
    <w:p>
      <w:pPr>
        <w:spacing w:after="80"/>
      </w:pPr>
      <w:r>
        <w:t>provisions                      combination with a password, access code or security question and</w:t>
      </w:r>
    </w:p>
    <w:p>
      <w:pPr>
        <w:spacing w:after="80"/>
      </w:pPr>
      <w:r>
        <w:t>answer that would permit access to an online account.]</w:t>
      </w:r>
    </w:p>
    <w:p>
      <w:pPr>
        <w:spacing w:after="80"/>
      </w:pPr>
      <w:r>
        <w:t>Effective January 1,      PI does not include last four digits of a Social Security Number, last four</w:t>
      </w:r>
    </w:p>
    <w:p>
      <w:pPr>
        <w:spacing w:after="80"/>
      </w:pPr>
      <w:r>
        <w:t>2008:                     digits of a driver authorization card number, or last four digits of</w:t>
      </w:r>
    </w:p>
    <w:p>
      <w:pPr>
        <w:spacing w:after="80"/>
      </w:pPr>
      <w:r>
        <w:t>Encryption provisions     identification card number or publicly available information that is lawfully</w:t>
      </w:r>
    </w:p>
    <w:p>
      <w:pPr>
        <w:spacing w:after="80"/>
      </w:pPr>
      <w:r>
        <w:t>made available to general public from governmental records.</w:t>
      </w:r>
    </w:p>
    <w:p>
      <w:pPr>
        <w:spacing w:after="80"/>
      </w:pPr>
      <w:r>
        <w:t>S.B. No. 186</w:t>
      </w:r>
    </w:p>
    <w:p>
      <w:pPr>
        <w:spacing w:after="80"/>
      </w:pPr>
      <w:r>
        <w:t>Effective Oct. 1, 2011    Notification</w:t>
      </w:r>
    </w:p>
    <w:p>
      <w:pPr>
        <w:spacing w:after="80"/>
      </w:pPr>
      <w:r>
        <w:t>Affected NV Resident. Affected NV resident of NV who’s unencrypted PI</w:t>
      </w:r>
    </w:p>
    <w:p>
      <w:pPr>
        <w:spacing w:after="80"/>
      </w:pPr>
      <w:r>
        <w:t>A.B. 179                  was, or is reasonably believed to have been, acquired by an unauthorized</w:t>
      </w:r>
    </w:p>
    <w:p>
      <w:pPr>
        <w:spacing w:after="80"/>
      </w:pPr>
      <w:r>
        <w:t>Effective July 1, 2015    person following discovery of breach.</w:t>
      </w:r>
    </w:p>
    <w:p>
      <w:pPr>
        <w:spacing w:after="80"/>
      </w:pPr>
      <w:r>
        <w:t>Consumer Reporting Agencies. Where more than 1,000 persons to be</w:t>
      </w:r>
    </w:p>
    <w:p>
      <w:pPr>
        <w:spacing w:after="80"/>
      </w:pPr>
      <w:r>
        <w:t>Bellagio           notified at any one time, covered entity shall also notify, without unreasonable</w:t>
      </w:r>
    </w:p>
    <w:p>
      <w:pPr>
        <w:spacing w:after="80"/>
      </w:pPr>
      <w:r>
        <w:t>delay, all nationwide consumer reporting agencies on timing, distribution and</w:t>
      </w:r>
    </w:p>
    <w:p>
      <w:pPr>
        <w:spacing w:after="80"/>
      </w:pPr>
      <w:r>
        <w:t>content of notification.</w:t>
      </w:r>
    </w:p>
    <w:p>
      <w:pPr>
        <w:spacing w:after="80"/>
      </w:pPr>
      <w:r>
        <w:t>Third-Party Data. If data includes PI not owned by covered entity, notify</w:t>
      </w:r>
    </w:p>
    <w:p>
      <w:pPr>
        <w:spacing w:after="80"/>
      </w:pPr>
      <w:r>
        <w:t>owner or licensee following discovery of breach.</w:t>
      </w:r>
    </w:p>
    <w:p>
      <w:pPr>
        <w:spacing w:after="80"/>
      </w:pPr>
      <w:r>
        <w:t>Corporate Headquarters    Timing. Most expedient time possible, without unreasonable delay, consistent</w:t>
      </w:r>
    </w:p>
    <w:p>
      <w:pPr>
        <w:spacing w:after="80"/>
      </w:pPr>
      <w:r>
        <w:t>3600 Las Vegas Blvd      with measures necessary to determine scope of breach and restore reasonable</w:t>
      </w:r>
    </w:p>
    <w:p>
      <w:pPr>
        <w:spacing w:after="80"/>
      </w:pPr>
      <w:r>
        <w:t>South, Las Vegas NV      integrity of system data.</w:t>
      </w:r>
    </w:p>
    <w:p>
      <w:pPr>
        <w:spacing w:after="80"/>
      </w:pPr>
      <w:r>
        <w:t>89109             Form. Written or electronic, if consistent with electronic records and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signatures provisions in 15 U.S.C. § 7001 (E-SIGN Act).</w:t>
      </w:r>
    </w:p>
    <w:p>
      <w:pPr>
        <w:spacing w:after="80"/>
      </w:pPr>
      <w:r>
        <w:t>Substitute Notice Available. If cost will exceed $250,000, or affected class</w:t>
      </w:r>
    </w:p>
    <w:p>
      <w:pPr>
        <w:spacing w:after="80"/>
      </w:pPr>
      <w:r>
        <w:t>of subject persons exceeds 500,000, or covered entity lacks sufficient contact</w:t>
      </w:r>
    </w:p>
    <w:p>
      <w:pPr>
        <w:spacing w:after="80"/>
      </w:pPr>
      <w:r>
        <w:t>information, substitute notice available:</w:t>
      </w:r>
    </w:p>
    <w:p>
      <w:pPr>
        <w:pStyle w:val="ListBullet"/>
      </w:pPr>
      <w:r>
        <w:t>Email notice, if subject person email addresses available;</w:t>
      </w:r>
    </w:p>
    <w:p>
      <w:pPr>
        <w:pStyle w:val="ListBullet"/>
      </w:pPr>
      <w:r>
        <w:t>Conspicuous posting of notice on covered entity’s Web site, if</w:t>
      </w:r>
    </w:p>
    <w:p>
      <w:pPr>
        <w:spacing w:after="80"/>
      </w:pPr>
      <w:r>
        <w:t>maintained; and</w:t>
      </w:r>
    </w:p>
    <w:p>
      <w:pPr>
        <w:pStyle w:val="ListBullet"/>
      </w:pPr>
      <w:r>
        <w:t>Notification to major statewide media.</w:t>
      </w:r>
    </w:p>
    <w:p>
      <w:pPr>
        <w:spacing w:after="80"/>
      </w:pPr>
      <w:r>
        <w:t>Exception--Own Notification Policy. Covered entity that maintains its own</w:t>
      </w:r>
    </w:p>
    <w:p>
      <w:pPr>
        <w:spacing w:after="80"/>
      </w:pPr>
      <w:r>
        <w:t>notification policies and procedures, consistent with timing requirements,</w:t>
      </w:r>
    </w:p>
    <w:p>
      <w:pPr>
        <w:spacing w:after="80"/>
      </w:pPr>
      <w:r>
        <w:t>deemed in compliance with notification requirements if it notifies subject</w:t>
      </w:r>
    </w:p>
    <w:p>
      <w:pPr>
        <w:spacing w:after="80"/>
      </w:pPr>
      <w:r>
        <w:t>persons in accordance with its policies and procedures.</w:t>
      </w:r>
    </w:p>
    <w:p>
      <w:pPr>
        <w:spacing w:after="80"/>
      </w:pPr>
      <w:r>
        <w:t>Exception--Compliance Gramm-Leach-Bliley Act. Covered entity subject</w:t>
      </w:r>
    </w:p>
    <w:p>
      <w:pPr>
        <w:spacing w:after="80"/>
      </w:pPr>
      <w:r>
        <w:t>to, and in compliance with, privacy and security provisions of Gramm-Leach-</w:t>
      </w:r>
    </w:p>
    <w:p>
      <w:pPr>
        <w:spacing w:after="80"/>
      </w:pPr>
      <w:r>
        <w:t>Bliley Act deemed in compliance with notification requirements.</w:t>
      </w:r>
    </w:p>
    <w:p>
      <w:pPr>
        <w:spacing w:after="80"/>
      </w:pPr>
      <w:r>
        <w:t>Penalties</w:t>
      </w:r>
    </w:p>
    <w:p>
      <w:pPr>
        <w:spacing w:after="80"/>
      </w:pPr>
      <w:r>
        <w:t>AG Enforcement. State AG or county district attorney may bring action to</w:t>
      </w:r>
    </w:p>
    <w:p>
      <w:pPr>
        <w:spacing w:after="80"/>
      </w:pPr>
      <w:r>
        <w:t>obtain a temporary or permanent injunction. No private cause of action.</w:t>
      </w:r>
    </w:p>
    <w:p>
      <w:pPr>
        <w:spacing w:after="80"/>
      </w:pPr>
      <w:r>
        <w:t>Right of Action for Data Collector. Data collector that provides requisite</w:t>
      </w:r>
    </w:p>
    <w:p>
      <w:pPr>
        <w:spacing w:after="80"/>
      </w:pPr>
      <w:r>
        <w:t>notice may commence action for damages against person that unlawfully</w:t>
      </w:r>
    </w:p>
    <w:p>
      <w:pPr>
        <w:spacing w:after="80"/>
      </w:pPr>
      <w:r>
        <w:t>obtained or benefited from PI obtained from records maintained by data</w:t>
      </w:r>
    </w:p>
    <w:p>
      <w:pPr>
        <w:spacing w:after="80"/>
      </w:pPr>
      <w:r>
        <w:t>collector.</w:t>
      </w:r>
    </w:p>
    <w:p>
      <w:pPr>
        <w:spacing w:after="80"/>
      </w:pPr>
      <w:r>
        <w:t>Other Key Provisions</w:t>
      </w:r>
    </w:p>
    <w:p>
      <w:pPr>
        <w:spacing w:after="80"/>
      </w:pPr>
      <w:r>
        <w:t>Delay for Law Enforcement. Notice may be delayed if law enforcement</w:t>
      </w:r>
    </w:p>
    <w:p>
      <w:pPr>
        <w:spacing w:after="80"/>
      </w:pPr>
      <w:r>
        <w:t>determines that it will impede a criminal investigation; thereafter, when law</w:t>
      </w:r>
    </w:p>
    <w:p>
      <w:pPr>
        <w:spacing w:after="80"/>
      </w:pPr>
      <w:r>
        <w:t>enforcement determines that notification will not compromise investigation.</w:t>
      </w:r>
    </w:p>
    <w:p>
      <w:pPr>
        <w:spacing w:after="80"/>
      </w:pPr>
      <w:r>
        <w:t>Electronic Health Records. Special rules applicable to electronic health</w:t>
      </w:r>
    </w:p>
    <w:p>
      <w:pPr>
        <w:spacing w:after="80"/>
      </w:pPr>
      <w:r>
        <w:t>records. See Nev. Rev. Stat. §§ 439, 603A.100.</w:t>
      </w:r>
    </w:p>
    <w:p>
      <w:pPr>
        <w:spacing w:after="80"/>
      </w:pPr>
      <w:r>
        <w:t>Waiver Not Permitted.</w:t>
      </w:r>
    </w:p>
    <w:p>
      <w:pPr>
        <w:spacing w:after="80"/>
      </w:pPr>
      <w:r>
        <w:t>Data Destruction. Entities responsible for personal data must tale reasonable</w:t>
      </w:r>
    </w:p>
    <w:p>
      <w:pPr>
        <w:spacing w:after="80"/>
      </w:pPr>
      <w:r>
        <w:t>measures to destroy data that is no longer necessary.</w:t>
      </w:r>
    </w:p>
    <w:p>
      <w:pPr>
        <w:spacing w:after="80"/>
      </w:pPr>
      <w:r>
        <w:t>Encryption to Transmit. Entities responsible for personal data are required</w:t>
      </w:r>
    </w:p>
    <w:p>
      <w:pPr>
        <w:spacing w:after="80"/>
      </w:pPr>
      <w:r>
        <w:t>to encrypt data that is being transmitted using encryption consistent with PCI</w:t>
      </w:r>
    </w:p>
    <w:p>
      <w:pPr>
        <w:spacing w:after="80"/>
      </w:pPr>
      <w:r>
        <w:t>DSS standards.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New Jersey                Covered Entities</w:t>
      </w:r>
    </w:p>
    <w:p>
      <w:pPr>
        <w:spacing w:after="80"/>
      </w:pPr>
      <w:r>
        <w:t>NJ, and any county, municipality, district, public authority, public agency,</w:t>
      </w:r>
    </w:p>
    <w:p>
      <w:pPr>
        <w:spacing w:after="80"/>
      </w:pPr>
      <w:r>
        <w:t>and any other political subdivision or public body in NJ, any sole</w:t>
      </w:r>
    </w:p>
    <w:p>
      <w:pPr>
        <w:spacing w:after="80"/>
      </w:pPr>
      <w:r>
        <w:t>N.J. Stat. § 56:8-163     proprietorship, partnership, corporation, association, or other entity, however</w:t>
      </w:r>
    </w:p>
    <w:p>
      <w:pPr>
        <w:spacing w:after="80"/>
      </w:pPr>
      <w:r>
        <w:t>organized and whether or not organized to operate at a profit, including a</w:t>
      </w:r>
    </w:p>
    <w:p>
      <w:r>
        <w:rPr>
          <w:b/>
        </w:rPr>
        <w:t>A. 4001                   financial institution organized, chartered, or holding a license or authorization</w:t>
      </w:r>
    </w:p>
    <w:p>
      <w:pPr>
        <w:spacing w:after="80"/>
      </w:pPr>
      <w:r>
        <w:t>Effective Jan. 1, 2006    certificate under the law of NJ, any other state, the United States, or of any</w:t>
      </w:r>
    </w:p>
    <w:p>
      <w:pPr>
        <w:spacing w:after="80"/>
      </w:pPr>
      <w:r>
        <w:t>(all provisions except    other country, or the parent or the subsidiary of a financial institution, that</w:t>
      </w:r>
    </w:p>
    <w:p>
      <w:pPr>
        <w:spacing w:after="80"/>
      </w:pPr>
      <w:r>
        <w:t>those governing police    conducts business in NJ that compiles or maintains computerized records that</w:t>
      </w:r>
    </w:p>
    <w:p>
      <w:pPr>
        <w:spacing w:after="80"/>
      </w:pPr>
      <w:r>
        <w:t>reports, which are        include PI.</w:t>
      </w:r>
    </w:p>
    <w:p>
      <w:pPr>
        <w:spacing w:after="80"/>
      </w:pPr>
      <w:r>
        <w:t>effective on Sept. 22,</w:t>
      </w:r>
    </w:p>
    <w:p>
      <w:pPr>
        <w:spacing w:after="80"/>
      </w:pPr>
      <w:r>
        <w:t>2005)                     The provisions governing maintenance of PI that the covered entity does not</w:t>
      </w:r>
    </w:p>
    <w:p>
      <w:pPr>
        <w:spacing w:after="80"/>
      </w:pPr>
      <w:r>
        <w:t>own appear applicable to any entity maintaining PI, whether or not it</w:t>
      </w:r>
    </w:p>
    <w:p>
      <w:pPr>
        <w:spacing w:after="80"/>
      </w:pPr>
      <w:r>
        <w:t>Borgata Atlantic City     conducts business in NJ.</w:t>
      </w:r>
    </w:p>
    <w:p>
      <w:pPr>
        <w:spacing w:after="80"/>
      </w:pPr>
      <w:r>
        <w:t>Security Breach</w:t>
      </w:r>
    </w:p>
    <w:p>
      <w:pPr>
        <w:spacing w:after="80"/>
      </w:pPr>
      <w:r>
        <w:t>Unauthorized access to electronic files, media or data containing PI that</w:t>
      </w:r>
    </w:p>
    <w:p>
      <w:pPr>
        <w:spacing w:after="80"/>
      </w:pPr>
      <w:r>
        <w:t>compromises the security, confidentiality or integrity of PI when access to the</w:t>
      </w:r>
    </w:p>
    <w:p>
      <w:pPr>
        <w:spacing w:after="80"/>
      </w:pPr>
      <w:r>
        <w:t>PI has not been secured by encryption or by any other method or technology</w:t>
      </w:r>
    </w:p>
    <w:p>
      <w:pPr>
        <w:spacing w:after="80"/>
      </w:pPr>
      <w:r>
        <w:t>1 Borgata Way,        that renders PI unreadable or unusable.</w:t>
      </w:r>
    </w:p>
    <w:p>
      <w:pPr>
        <w:spacing w:after="80"/>
      </w:pPr>
      <w:r>
        <w:t>Atlantic City, NJ 08401   Good-faith acquisition of PI by an employee or agent of the covered entity for</w:t>
      </w:r>
    </w:p>
    <w:p>
      <w:pPr>
        <w:spacing w:after="80"/>
      </w:pPr>
      <w:r>
        <w:t>a legitimate business purpose not a breach of security, provided that PI is not</w:t>
      </w:r>
    </w:p>
    <w:p>
      <w:pPr>
        <w:spacing w:after="80"/>
      </w:pPr>
      <w:r>
        <w:t>used for a purpose unrelated to the business or subject to further unauthorized</w:t>
      </w:r>
    </w:p>
    <w:p>
      <w:pPr>
        <w:spacing w:after="80"/>
      </w:pPr>
      <w:r>
        <w:t>disclosure.</w:t>
      </w:r>
    </w:p>
    <w:p>
      <w:pPr>
        <w:spacing w:after="80"/>
      </w:pPr>
      <w:r>
        <w:t>Personal Information</w:t>
      </w:r>
    </w:p>
    <w:p>
      <w:pPr>
        <w:spacing w:after="80"/>
      </w:pPr>
      <w:r>
        <w:t>Individual’s first name (or first initial) and last name linked with any one or</w:t>
      </w:r>
    </w:p>
    <w:p>
      <w:pPr>
        <w:spacing w:after="80"/>
      </w:pPr>
      <w:r>
        <w:t>more of the following data elements:</w:t>
      </w:r>
    </w:p>
    <w:p>
      <w:pPr>
        <w:pStyle w:val="ListBullet"/>
      </w:pPr>
      <w:r>
        <w:t>Social Security Number;</w:t>
      </w:r>
    </w:p>
    <w:p>
      <w:pPr>
        <w:pStyle w:val="ListBullet"/>
      </w:pPr>
      <w:r>
        <w:t>Driver license number or state identification card number; or</w:t>
      </w:r>
    </w:p>
    <w:p>
      <w:pPr>
        <w:pStyle w:val="ListBullet"/>
      </w:pPr>
      <w:r>
        <w:t>Account number or credit card number or debit card number in</w:t>
      </w:r>
    </w:p>
    <w:p>
      <w:pPr>
        <w:spacing w:after="80"/>
      </w:pPr>
      <w:r>
        <w:t>combination with any required security code, access code, or password</w:t>
      </w:r>
    </w:p>
    <w:p>
      <w:pPr>
        <w:spacing w:after="80"/>
      </w:pPr>
      <w:r>
        <w:t>that would permit access to an individual’s financial account.</w:t>
      </w:r>
    </w:p>
    <w:p>
      <w:pPr>
        <w:spacing w:after="80"/>
      </w:pPr>
      <w:r>
        <w:t>Dissociated data that, if linked, would constitute PI is PI if the means to link</w:t>
      </w:r>
    </w:p>
    <w:p>
      <w:pPr>
        <w:spacing w:after="80"/>
      </w:pPr>
      <w:r>
        <w:t>the dissociated data were accessed in connection with access to the</w:t>
      </w:r>
    </w:p>
    <w:p>
      <w:pPr>
        <w:spacing w:after="80"/>
      </w:pPr>
      <w:r>
        <w:t>dissociated data. PI shall not include publicly available information that is</w:t>
      </w:r>
    </w:p>
    <w:p>
      <w:pPr>
        <w:spacing w:after="80"/>
      </w:pPr>
      <w:r>
        <w:t>lawfully made available to the general public from federal, state or local</w:t>
      </w:r>
    </w:p>
    <w:p>
      <w:pPr>
        <w:spacing w:after="80"/>
      </w:pPr>
      <w:r>
        <w:t>government records, or widely distributed media.</w:t>
      </w:r>
    </w:p>
    <w:p>
      <w:pPr>
        <w:spacing w:after="80"/>
      </w:pPr>
      <w:r>
        <w:t>Notification</w:t>
      </w:r>
    </w:p>
    <w:p>
      <w:pPr>
        <w:spacing w:after="80"/>
      </w:pPr>
      <w:r>
        <w:t>Affected NJ Resident. To customer who is a resident of NJ who’s PI was, or</w:t>
      </w:r>
    </w:p>
    <w:p>
      <w:pPr>
        <w:spacing w:after="80"/>
      </w:pPr>
      <w:r>
        <w:t>is reasonably believed to have been, accessed by an unauthorized person.</w:t>
      </w:r>
    </w:p>
    <w:p>
      <w:pPr>
        <w:spacing w:after="80"/>
      </w:pPr>
      <w:r>
        <w:t>Consumer Reporting Agencies. Where more than 1,000 persons at one time,</w:t>
      </w:r>
    </w:p>
    <w:p>
      <w:pPr>
        <w:spacing w:after="80"/>
      </w:pPr>
      <w:r>
        <w:t>covered entity shall also notify, without unreasonable delay, all nationwide</w:t>
      </w:r>
    </w:p>
    <w:p>
      <w:pPr>
        <w:spacing w:after="80"/>
      </w:pPr>
      <w:r>
        <w:t>consumer reporting agencies of the timing, distribution and content of</w:t>
      </w:r>
    </w:p>
    <w:p>
      <w:pPr>
        <w:spacing w:after="80"/>
      </w:pPr>
      <w:r>
        <w:t>notices.</w:t>
      </w:r>
    </w:p>
    <w:p>
      <w:pPr>
        <w:spacing w:after="80"/>
      </w:pPr>
      <w:r>
        <w:t>State Police. Prior to disclosure to customer, covered entity must report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breach and any information pertaining to breach to Division of State Police in</w:t>
      </w:r>
    </w:p>
    <w:p>
      <w:pPr>
        <w:spacing w:after="80"/>
      </w:pPr>
      <w:r>
        <w:t>the Department of Law and Public Safety for investigation or handling, which</w:t>
      </w:r>
    </w:p>
    <w:p>
      <w:pPr>
        <w:spacing w:after="80"/>
      </w:pPr>
      <w:r>
        <w:t>may include dissemination or referral to other appropriate law enforcement</w:t>
      </w:r>
    </w:p>
    <w:p>
      <w:pPr>
        <w:spacing w:after="80"/>
      </w:pPr>
      <w:r>
        <w:t>entities.</w:t>
      </w:r>
    </w:p>
    <w:p>
      <w:pPr>
        <w:spacing w:after="80"/>
      </w:pPr>
      <w:r>
        <w:t>Third-Party Data. If data includes PI that covered entity compiles or</w:t>
      </w:r>
    </w:p>
    <w:p>
      <w:pPr>
        <w:spacing w:after="80"/>
      </w:pPr>
      <w:r>
        <w:t>maintains on behalf of another entity, covered entity to notify that entity of</w:t>
      </w:r>
    </w:p>
    <w:p>
      <w:pPr>
        <w:spacing w:after="80"/>
      </w:pPr>
      <w:r>
        <w:t>breach immediately upon discovery, if the PI was, or is reasonably believed</w:t>
      </w:r>
    </w:p>
    <w:p>
      <w:pPr>
        <w:spacing w:after="80"/>
      </w:pPr>
      <w:r>
        <w:t>to have been, accessed by unauthorized person.</w:t>
      </w:r>
    </w:p>
    <w:p>
      <w:pPr>
        <w:spacing w:after="80"/>
      </w:pPr>
      <w:r>
        <w:t>Timing. To customer, most expedient time possible and without unreasonable</w:t>
      </w:r>
    </w:p>
    <w:p>
      <w:pPr>
        <w:spacing w:after="80"/>
      </w:pPr>
      <w:r>
        <w:t>delay, consistent with measures necessary to determine scope of breach and</w:t>
      </w:r>
    </w:p>
    <w:p>
      <w:pPr>
        <w:spacing w:after="80"/>
      </w:pPr>
      <w:r>
        <w:t>restore reasonable integrity of data system.</w:t>
      </w:r>
    </w:p>
    <w:p>
      <w:pPr>
        <w:spacing w:after="80"/>
      </w:pPr>
      <w:r>
        <w:t>Form. Written or electronic, if notice is consistent with electronic records</w:t>
      </w:r>
    </w:p>
    <w:p>
      <w:pPr>
        <w:spacing w:after="80"/>
      </w:pPr>
      <w:r>
        <w:t>and signatures provisions in 15 U.S.C. § 7001 (E-SIGN Act).</w:t>
      </w:r>
    </w:p>
    <w:p>
      <w:pPr>
        <w:spacing w:after="80"/>
      </w:pPr>
      <w:r>
        <w:t>Substitute Notice Available. If cost will exceed $250,000, or affected class</w:t>
      </w:r>
    </w:p>
    <w:p>
      <w:pPr>
        <w:spacing w:after="80"/>
      </w:pPr>
      <w:r>
        <w:t>of subject individuals exceeds 500,000, or covered entity lacks sufficient</w:t>
      </w:r>
    </w:p>
    <w:p>
      <w:pPr>
        <w:spacing w:after="80"/>
      </w:pPr>
      <w:r>
        <w:t>contact information, substitute notice available:</w:t>
      </w:r>
    </w:p>
    <w:p>
      <w:pPr>
        <w:pStyle w:val="ListBullet"/>
      </w:pPr>
      <w:r>
        <w:t>Email notice, if covered entity has email addresses;</w:t>
      </w:r>
    </w:p>
    <w:p>
      <w:pPr>
        <w:pStyle w:val="ListBullet"/>
      </w:pPr>
      <w:r>
        <w:t>Conspicuous posting on covered entity’s Web site, if maintained; and</w:t>
      </w:r>
    </w:p>
    <w:p>
      <w:pPr>
        <w:pStyle w:val="ListBullet"/>
      </w:pPr>
      <w:r>
        <w:t>Notification to major statewide media.</w:t>
      </w:r>
    </w:p>
    <w:p>
      <w:pPr>
        <w:spacing w:after="80"/>
      </w:pPr>
      <w:r>
        <w:t>Exception—No Misuse. Disclosure of breach to customer not required if</w:t>
      </w:r>
    </w:p>
    <w:p>
      <w:pPr>
        <w:spacing w:after="80"/>
      </w:pPr>
      <w:r>
        <w:t>covered entity establishes that misuse of information not reasonably possible.</w:t>
      </w:r>
    </w:p>
    <w:p>
      <w:pPr>
        <w:spacing w:after="80"/>
      </w:pPr>
      <w:r>
        <w:t>Any determination must be documented in writing and retained for five years.</w:t>
      </w:r>
    </w:p>
    <w:p>
      <w:pPr>
        <w:spacing w:after="80"/>
      </w:pPr>
      <w:r>
        <w:t>Exception--Own Notification Policy. Covered entity that maintains own</w:t>
      </w:r>
    </w:p>
    <w:p>
      <w:pPr>
        <w:spacing w:after="80"/>
      </w:pPr>
      <w:r>
        <w:t>notification procedures, consistent with requirements of statute, deemed in</w:t>
      </w:r>
    </w:p>
    <w:p>
      <w:pPr>
        <w:spacing w:after="80"/>
      </w:pPr>
      <w:r>
        <w:t>compliance with notification requirements if it notifies subject customers in</w:t>
      </w:r>
    </w:p>
    <w:p>
      <w:pPr>
        <w:spacing w:after="80"/>
      </w:pPr>
      <w:r>
        <w:t>accordance with its policies.</w:t>
      </w:r>
    </w:p>
    <w:p>
      <w:pPr>
        <w:spacing w:after="80"/>
      </w:pPr>
      <w:r>
        <w:t>Other Key Provisions</w:t>
      </w:r>
    </w:p>
    <w:p>
      <w:pPr>
        <w:spacing w:after="80"/>
      </w:pPr>
      <w:r>
        <w:t>Delay for Law Enforcement. Notice shall be delayed if law enforcement</w:t>
      </w:r>
    </w:p>
    <w:p>
      <w:pPr>
        <w:spacing w:after="80"/>
      </w:pPr>
      <w:r>
        <w:t>determines that notification will impede a criminal or civil investigation and</w:t>
      </w:r>
    </w:p>
    <w:p>
      <w:pPr>
        <w:spacing w:after="80"/>
      </w:pPr>
      <w:r>
        <w:t>agency has made a request that notification be delayed.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Texas                      Covered Entities</w:t>
      </w:r>
    </w:p>
    <w:p>
      <w:pPr>
        <w:spacing w:after="80"/>
      </w:pPr>
      <w:r>
        <w:t>Person that conducts business in TX and owns or licenses computerized</w:t>
      </w:r>
    </w:p>
    <w:p>
      <w:pPr>
        <w:spacing w:after="80"/>
      </w:pPr>
      <w:r>
        <w:t>data that includes sensitive PI.</w:t>
      </w:r>
    </w:p>
    <w:p>
      <w:pPr>
        <w:spacing w:after="80"/>
      </w:pPr>
      <w:r>
        <w:t>Tex. Bus. &amp; Com.</w:t>
      </w:r>
    </w:p>
    <w:p>
      <w:pPr>
        <w:spacing w:after="80"/>
      </w:pPr>
      <w:r>
        <w:t>Note: Provisions governing maintenance of sensitive PI are applicable to</w:t>
      </w:r>
    </w:p>
    <w:p>
      <w:pPr>
        <w:spacing w:after="80"/>
      </w:pPr>
      <w:r>
        <w:t>Code §§ 521.002,</w:t>
      </w:r>
    </w:p>
    <w:p>
      <w:pPr>
        <w:spacing w:after="80"/>
      </w:pPr>
      <w:r>
        <w:t>any entity maintaining PI, whether or not the covered entity conducts</w:t>
      </w:r>
    </w:p>
    <w:p>
      <w:pPr>
        <w:pStyle w:val="ListNumber"/>
      </w:pPr>
      <w:r>
        <w:t>521.053</w:t>
      </w:r>
    </w:p>
    <w:p>
      <w:pPr>
        <w:spacing w:after="80"/>
      </w:pPr>
      <w:r>
        <w:t>business in TX.</w:t>
      </w:r>
    </w:p>
    <w:p>
      <w:pPr>
        <w:spacing w:after="80"/>
      </w:pPr>
      <w:r>
        <w:t>Acts 2007, 80th Leg.,      Security Breach</w:t>
      </w:r>
    </w:p>
    <w:p>
      <w:pPr>
        <w:spacing w:after="80"/>
      </w:pPr>
      <w:r>
        <w:t>ch. 885, § 2.01            Unauthorized acquisition of computerized data that compromises the</w:t>
      </w:r>
    </w:p>
    <w:p>
      <w:pPr>
        <w:spacing w:after="80"/>
      </w:pPr>
      <w:r>
        <w:t>security, confidentiality, or integrity of sensitive PI maintained by covered</w:t>
      </w:r>
    </w:p>
    <w:p>
      <w:pPr>
        <w:spacing w:after="80"/>
      </w:pPr>
      <w:r>
        <w:t>Amended by Acts            entity, including data that is encrypted if person accessing the date has the</w:t>
      </w:r>
    </w:p>
    <w:p>
      <w:pPr>
        <w:spacing w:after="80"/>
      </w:pPr>
      <w:r>
        <w:t>2009, 81st Leg., ch.       key required to decrypt the data.</w:t>
      </w:r>
    </w:p>
    <w:p>
      <w:pPr>
        <w:spacing w:after="80"/>
      </w:pPr>
      <w:r>
        <w:t>419, § 3</w:t>
      </w:r>
    </w:p>
    <w:p>
      <w:pPr>
        <w:spacing w:after="80"/>
      </w:pPr>
      <w:r>
        <w:t>Effective April 1, 2009    Good-faith acquisition of sensitive PI by an employee or agent of covered</w:t>
      </w:r>
    </w:p>
    <w:p>
      <w:pPr>
        <w:spacing w:after="80"/>
      </w:pPr>
      <w:r>
        <w:t>entity for the purposes of entity is not a breach unless sensitive PI is used</w:t>
      </w:r>
    </w:p>
    <w:p>
      <w:pPr>
        <w:spacing w:after="80"/>
      </w:pPr>
      <w:r>
        <w:t>Acts 2011, 82nd Leg.,      or disclosed by person in an unauthorized manner.</w:t>
      </w:r>
    </w:p>
    <w:p>
      <w:pPr>
        <w:spacing w:after="80"/>
      </w:pPr>
      <w:r>
        <w:t>ch. 1126, § 14 (H.B.</w:t>
      </w:r>
    </w:p>
    <w:p>
      <w:pPr>
        <w:spacing w:after="80"/>
      </w:pPr>
      <w:r>
        <w:t>Sensitive Personal Information</w:t>
      </w:r>
    </w:p>
    <w:p>
      <w:pPr>
        <w:spacing w:after="80"/>
      </w:pPr>
      <w:r>
        <w:t>No. 300)</w:t>
      </w:r>
    </w:p>
    <w:p>
      <w:pPr>
        <w:spacing w:after="80"/>
      </w:pPr>
      <w:r>
        <w:t>Individual’s first name or first initial and last name in combination with</w:t>
      </w:r>
    </w:p>
    <w:p>
      <w:pPr>
        <w:spacing w:after="80"/>
      </w:pPr>
      <w:r>
        <w:t>Effective Sept. 1, 2012</w:t>
      </w:r>
    </w:p>
    <w:p>
      <w:pPr>
        <w:spacing w:after="80"/>
      </w:pPr>
      <w:r>
        <w:t>any one or more of the following items, if the name and the items are not</w:t>
      </w:r>
    </w:p>
    <w:p>
      <w:pPr>
        <w:spacing w:after="80"/>
      </w:pPr>
      <w:r>
        <w:t>encrypted:</w:t>
      </w:r>
    </w:p>
    <w:p>
      <w:pPr>
        <w:spacing w:after="80"/>
      </w:pPr>
      <w:r>
        <w:t>S.B. 1610</w:t>
      </w:r>
    </w:p>
    <w:p>
      <w:pPr>
        <w:spacing w:after="80"/>
      </w:pPr>
      <w:r>
        <w:t>Effective June 14, 2013        §    Social Security Number;</w:t>
      </w:r>
    </w:p>
    <w:p>
      <w:pPr>
        <w:pStyle w:val="ListBullet"/>
      </w:pPr>
      <w:r>
        <w:t xml:space="preserve">   Driver license number or government-issued ID number; or</w:t>
      </w:r>
    </w:p>
    <w:p>
      <w:pPr>
        <w:spacing w:after="80"/>
      </w:pPr>
      <w:r>
        <w:t>Basis for Inclusion:           §    Account number or credit card number or debit card number in</w:t>
      </w:r>
    </w:p>
    <w:p>
      <w:pPr>
        <w:spacing w:after="80"/>
      </w:pPr>
      <w:r>
        <w:t>TX is the #2 state for              combination with any required security code, access code, or</w:t>
      </w:r>
    </w:p>
    <w:p>
      <w:pPr>
        <w:spacing w:after="80"/>
      </w:pPr>
      <w:r>
        <w:t>the most patron visitors            password that would permit access to an individual’s financial</w:t>
      </w:r>
    </w:p>
    <w:p>
      <w:pPr>
        <w:spacing w:after="80"/>
      </w:pPr>
      <w:r>
        <w:t>to Acme Company properties.                  account.</w:t>
      </w:r>
    </w:p>
    <w:p>
      <w:pPr>
        <w:spacing w:after="80"/>
      </w:pPr>
      <w:r>
        <w:t>Sensitive PI also includes information that identifies an individual and</w:t>
      </w:r>
    </w:p>
    <w:p>
      <w:pPr>
        <w:spacing w:after="80"/>
      </w:pPr>
      <w:r>
        <w:t>relates to:</w:t>
      </w:r>
    </w:p>
    <w:p>
      <w:pPr>
        <w:pStyle w:val="ListBullet"/>
      </w:pPr>
      <w:r>
        <w:t xml:space="preserve">   Physical or mental health or condition of individual;</w:t>
      </w:r>
    </w:p>
    <w:p>
      <w:pPr>
        <w:pStyle w:val="ListBullet"/>
      </w:pPr>
      <w:r>
        <w:t xml:space="preserve">   Provision of health care to individual; or</w:t>
      </w:r>
    </w:p>
    <w:p>
      <w:pPr>
        <w:pStyle w:val="ListBullet"/>
      </w:pPr>
      <w:r>
        <w:t xml:space="preserve">   Payment for provision of health care to individual.</w:t>
      </w:r>
    </w:p>
    <w:p>
      <w:pPr>
        <w:spacing w:after="80"/>
      </w:pPr>
      <w:r>
        <w:t>Sensitive PI does not include publicly available information that is</w:t>
      </w:r>
    </w:p>
    <w:p>
      <w:pPr>
        <w:spacing w:after="80"/>
      </w:pPr>
      <w:r>
        <w:t>lawfully made available to the general public from the federal government</w:t>
      </w:r>
    </w:p>
    <w:p>
      <w:pPr>
        <w:spacing w:after="80"/>
      </w:pPr>
      <w:r>
        <w:t>or a state or local government.</w:t>
      </w:r>
    </w:p>
    <w:p>
      <w:pPr>
        <w:spacing w:after="80"/>
      </w:pPr>
      <w:r>
        <w:t>Notification</w:t>
      </w:r>
    </w:p>
    <w:p>
      <w:pPr>
        <w:spacing w:after="80"/>
      </w:pPr>
      <w:r>
        <w:t>Affected Persons. Affected persons, including nonresidents, who’s</w:t>
      </w:r>
    </w:p>
    <w:p>
      <w:pPr>
        <w:spacing w:after="80"/>
      </w:pPr>
      <w:r>
        <w:t>sensitive PI was, or is reasonably believed to have been, acquired by</w:t>
      </w:r>
    </w:p>
    <w:p>
      <w:pPr>
        <w:spacing w:after="80"/>
      </w:pPr>
      <w:r>
        <w:t>unauthorized person.</w:t>
      </w:r>
    </w:p>
    <w:p>
      <w:pPr>
        <w:spacing w:after="80"/>
      </w:pPr>
      <w:r>
        <w:t>Consumer Reporting Agencies. If covered entity required to notify more</w:t>
      </w:r>
    </w:p>
    <w:p>
      <w:pPr>
        <w:spacing w:after="80"/>
      </w:pPr>
      <w:r>
        <w:t>than 10,000 persons, then entity to notify, without unreasonable delay, all</w:t>
      </w:r>
    </w:p>
    <w:p>
      <w:pPr>
        <w:spacing w:after="80"/>
      </w:pPr>
      <w:r>
        <w:t>consumer reporting agencies that maintain files on consumers on a</w:t>
      </w:r>
    </w:p>
    <w:p>
      <w:pPr>
        <w:spacing w:after="80"/>
      </w:pPr>
      <w:r>
        <w:t>nationwide basis of the timing, distribution and content of the notices.</w:t>
      </w:r>
    </w:p>
    <w:p>
      <w:pPr>
        <w:spacing w:after="80"/>
      </w:pPr>
      <w:r>
        <w:t>Third-Party Data. If covered entity maintains computerized data that</w:t>
      </w:r>
    </w:p>
    <w:p>
      <w:pPr>
        <w:spacing w:after="80"/>
      </w:pPr>
      <w:r>
        <w:t>includes sensitive PI that the covered entity does not own, the entity to</w:t>
      </w:r>
    </w:p>
    <w:p>
      <w:pPr>
        <w:spacing w:after="80"/>
      </w:pPr>
      <w:r>
        <w:t>notify the owner or license holder of information of breach immediately</w:t>
      </w:r>
    </w:p>
    <w:p>
      <w:pPr>
        <w:spacing w:after="80"/>
      </w:pPr>
      <w:r>
        <w:t>after discovering breach if sensitive PI was, or is reasonable believed to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STATE DATA BREACH AND PRIVACY NOTIFICATION LAWS</w:t>
      </w:r>
    </w:p>
    <w:p>
      <w:pPr>
        <w:spacing w:after="80"/>
      </w:pPr>
      <w:r>
        <w:t>CONCERNING CUSTOMER AND EMPLOYEE PRIVACY INFORMATION</w:t>
      </w:r>
    </w:p>
    <w:p>
      <w:pPr>
        <w:spacing w:after="80"/>
      </w:pPr>
      <w:r>
        <w:t>Research as of January 1, 2016</w:t>
      </w:r>
    </w:p>
    <w:p>
      <w:pPr>
        <w:spacing w:after="80"/>
      </w:pPr>
      <w:r>
        <w:t>have been, acquired by unauthorized person.</w:t>
      </w:r>
    </w:p>
    <w:p>
      <w:pPr>
        <w:spacing w:after="80"/>
      </w:pPr>
      <w:r>
        <w:t>Timing. As quickly as possible, consistent with legitimate needs of law</w:t>
      </w:r>
    </w:p>
    <w:p>
      <w:pPr>
        <w:spacing w:after="80"/>
      </w:pPr>
      <w:r>
        <w:t>enforcement or as necessary to determine the scope of breach and restore</w:t>
      </w:r>
    </w:p>
    <w:p>
      <w:pPr>
        <w:spacing w:after="80"/>
      </w:pPr>
      <w:r>
        <w:t>reasonable integrity of data system.</w:t>
      </w:r>
    </w:p>
    <w:p>
      <w:pPr>
        <w:spacing w:after="80"/>
      </w:pPr>
      <w:r>
        <w:t>Form. Written (at last known address) or electronic, if consistent with</w:t>
      </w:r>
    </w:p>
    <w:p>
      <w:pPr>
        <w:spacing w:after="80"/>
      </w:pPr>
      <w:r>
        <w:t>electronic records and signatures provisions in 15 U.S.C. § 7001 (E-SIGN</w:t>
      </w:r>
    </w:p>
    <w:p>
      <w:pPr>
        <w:spacing w:after="80"/>
      </w:pPr>
      <w:r>
        <w:t>Act). If affected person a resident of a state with its own breach</w:t>
      </w:r>
    </w:p>
    <w:p>
      <w:pPr>
        <w:spacing w:after="80"/>
      </w:pPr>
      <w:r>
        <w:t>notification requirement, covered entity may provide notice under that</w:t>
      </w:r>
    </w:p>
    <w:p>
      <w:pPr>
        <w:spacing w:after="80"/>
      </w:pPr>
      <w:r>
        <w:t>state’s law or TX law.</w:t>
      </w:r>
    </w:p>
    <w:p>
      <w:pPr>
        <w:spacing w:after="80"/>
      </w:pPr>
      <w:r>
        <w:t>Substitute Notice Available. If cost exceeds $250,000, or number of</w:t>
      </w:r>
    </w:p>
    <w:p>
      <w:pPr>
        <w:spacing w:after="80"/>
      </w:pPr>
      <w:r>
        <w:t>affected persons exceeds 500,000, or covered entity lacks sufficient</w:t>
      </w:r>
    </w:p>
    <w:p>
      <w:pPr>
        <w:spacing w:after="80"/>
      </w:pPr>
      <w:r>
        <w:t>contact information, substitute notice available:</w:t>
      </w:r>
    </w:p>
    <w:p>
      <w:pPr>
        <w:pStyle w:val="ListBullet"/>
      </w:pPr>
      <w:r>
        <w:t>Email notice, if covered entity has an email address for affected</w:t>
      </w:r>
    </w:p>
    <w:p>
      <w:pPr>
        <w:spacing w:after="80"/>
      </w:pPr>
      <w:r>
        <w:t>persons;</w:t>
      </w:r>
    </w:p>
    <w:p>
      <w:pPr>
        <w:pStyle w:val="ListBullet"/>
      </w:pPr>
      <w:r>
        <w:t>Conspicuous posting of the notice on covered entity’s Web site; or</w:t>
      </w:r>
    </w:p>
    <w:p>
      <w:pPr>
        <w:pStyle w:val="ListBullet"/>
      </w:pPr>
      <w:r>
        <w:t>Notice published in, or broadcast on, major statewide media.</w:t>
      </w:r>
    </w:p>
    <w:p>
      <w:pPr>
        <w:spacing w:after="80"/>
      </w:pPr>
      <w:r>
        <w:t>Exception—Own Notification Policy. Covered entity that maintains its</w:t>
      </w:r>
    </w:p>
    <w:p>
      <w:pPr>
        <w:spacing w:after="80"/>
      </w:pPr>
      <w:r>
        <w:t>own notification procedures, consistent with timing requirements, deemed</w:t>
      </w:r>
    </w:p>
    <w:p>
      <w:pPr>
        <w:spacing w:after="80"/>
      </w:pPr>
      <w:r>
        <w:t>in compliance with notification requirements if it notifies affected persons</w:t>
      </w:r>
    </w:p>
    <w:p>
      <w:pPr>
        <w:spacing w:after="80"/>
      </w:pPr>
      <w:r>
        <w:t>in accordance with its policies.</w:t>
      </w:r>
    </w:p>
    <w:p>
      <w:pPr>
        <w:spacing w:after="80"/>
      </w:pPr>
      <w:r>
        <w:t>Penalties</w:t>
      </w:r>
    </w:p>
    <w:p>
      <w:pPr>
        <w:spacing w:after="80"/>
      </w:pPr>
      <w:r>
        <w:t>AG Enforcement. Remedies include injunctive relief and civil penalties</w:t>
      </w:r>
    </w:p>
    <w:p>
      <w:pPr>
        <w:spacing w:after="80"/>
      </w:pPr>
      <w:r>
        <w:t>of at least $2,000 but not more than $50,000 for each violation.</w:t>
      </w:r>
    </w:p>
    <w:p>
      <w:pPr>
        <w:spacing w:after="80"/>
      </w:pPr>
      <w:r>
        <w:t>Other Key Provisions</w:t>
      </w:r>
    </w:p>
    <w:p>
      <w:pPr>
        <w:spacing w:after="80"/>
      </w:pPr>
      <w:r>
        <w:t>Delay for Law Enforcement. Notification may be delayed if law</w:t>
      </w:r>
    </w:p>
    <w:p>
      <w:pPr>
        <w:spacing w:after="80"/>
      </w:pPr>
      <w:r>
        <w:t>enforcement determines that notification will impede a criminal</w:t>
      </w:r>
    </w:p>
    <w:p>
      <w:pPr>
        <w:spacing w:after="80"/>
      </w:pPr>
      <w:r>
        <w:t>investigation. Notification to be made as soon law enforcement determines</w:t>
      </w:r>
    </w:p>
    <w:p>
      <w:pPr>
        <w:spacing w:after="80"/>
      </w:pPr>
      <w:r>
        <w:t>that notice will not compromise investigation.</w:t>
      </w:r>
    </w:p>
    <w:p>
      <w:pPr>
        <w:spacing w:after="80"/>
      </w:pPr>
      <w:r>
        <w:t>Confidential Attorney Client Privileged Communication and Attorney Work Product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Appendix F – Summary of Requirements to Notify State Regulators</w:t>
      </w:r>
    </w:p>
    <w:p>
      <w:pPr>
        <w:spacing w:after="80"/>
      </w:pPr>
      <w:r>
        <w:t>NOTICE REQUIRED IN THE EVENT OF NOTIFICATION TO INDIVIDUALS</w:t>
      </w:r>
    </w:p>
    <w:p>
      <w:pPr>
        <w:spacing w:after="80"/>
      </w:pPr>
      <w:r>
        <w:t>STATE                          NOTICE TO REGULATORS                               CONTACT INFORMATION</w:t>
      </w:r>
    </w:p>
    <w:p>
      <w:pPr>
        <w:spacing w:after="80"/>
      </w:pPr>
      <w:r>
        <w:t>Kamala D. Harris</w:t>
      </w:r>
    </w:p>
    <w:p>
      <w:pPr>
        <w:spacing w:after="80"/>
      </w:pPr>
      <w:r>
        <w:t>California              If a business is required to provide notice to more</w:t>
      </w:r>
    </w:p>
    <w:p>
      <w:pPr>
        <w:spacing w:after="80"/>
      </w:pPr>
      <w:r>
        <w:t>(916) 445-9555</w:t>
      </w:r>
    </w:p>
    <w:p>
      <w:pPr>
        <w:spacing w:after="80"/>
      </w:pPr>
      <w:r>
        <w:t>than 500 California residents, the business also must</w:t>
      </w:r>
    </w:p>
    <w:p>
      <w:pPr>
        <w:spacing w:after="80"/>
      </w:pPr>
      <w:r>
        <w:t>Effective: Jan. 1,                                                                1300 I St., Ste. 1740, Sacramento, CA</w:t>
      </w:r>
    </w:p>
    <w:p>
      <w:pPr>
        <w:spacing w:after="80"/>
      </w:pPr>
      <w:r>
        <w:t>electronically submit a sample copy of the consumer</w:t>
      </w:r>
    </w:p>
    <w:p>
      <w:pPr>
        <w:spacing w:after="80"/>
      </w:pPr>
      <w:r>
        <w:t>2016                                                                              95814</w:t>
      </w:r>
    </w:p>
    <w:p>
      <w:pPr>
        <w:spacing w:after="80"/>
      </w:pPr>
      <w:r>
        <w:t>notice (excluding personally identifiable information)</w:t>
      </w:r>
    </w:p>
    <w:p>
      <w:pPr>
        <w:spacing w:after="80"/>
      </w:pPr>
      <w:r>
        <w:t>to the California AG                                      The California AG has prepared a</w:t>
      </w:r>
    </w:p>
    <w:p>
      <w:pPr>
        <w:spacing w:after="80"/>
      </w:pPr>
      <w:r>
        <w:t>form for submitting notice that is</w:t>
      </w:r>
    </w:p>
    <w:p>
      <w:pPr>
        <w:spacing w:after="80"/>
      </w:pPr>
      <w:r>
        <w:t>available at:</w:t>
      </w:r>
    </w:p>
    <w:p>
      <w:pPr>
        <w:spacing w:after="80"/>
      </w:pPr>
      <w:r>
        <w:t>https://oag.ca.gov/ecrime/databreac</w:t>
      </w:r>
    </w:p>
    <w:p>
      <w:pPr>
        <w:spacing w:after="80"/>
      </w:pPr>
      <w:r>
        <w:t>h/report-a-breach</w:t>
      </w:r>
    </w:p>
    <w:p>
      <w:pPr>
        <w:spacing w:after="80"/>
      </w:pPr>
      <w:r>
        <w:t>Karl A. Racine</w:t>
      </w:r>
    </w:p>
    <w:p>
      <w:pPr>
        <w:spacing w:after="80"/>
      </w:pPr>
      <w:r>
        <w:t>District of</w:t>
      </w:r>
    </w:p>
    <w:p>
      <w:pPr>
        <w:spacing w:after="80"/>
      </w:pPr>
      <w:r>
        <w:t>(202) 727-3400</w:t>
      </w:r>
    </w:p>
    <w:p>
      <w:pPr>
        <w:spacing w:after="80"/>
      </w:pPr>
      <w:r>
        <w:t>Columbia</w:t>
      </w:r>
    </w:p>
    <w:p>
      <w:pPr>
        <w:spacing w:after="80"/>
      </w:pPr>
      <w:r>
        <w:t>441 4th Street, NW, Suite 1100S,</w:t>
      </w:r>
    </w:p>
    <w:p>
      <w:pPr>
        <w:spacing w:after="80"/>
      </w:pPr>
      <w:r>
        <w:t>Washington, DC 20001</w:t>
      </w:r>
    </w:p>
    <w:p>
      <w:pPr>
        <w:spacing w:after="80"/>
      </w:pPr>
      <w:r>
        <w:t>Delaware                                                                          Matthew Denn</w:t>
      </w:r>
    </w:p>
    <w:p>
      <w:pPr>
        <w:spacing w:after="80"/>
      </w:pPr>
      <w:r>
        <w:t>(302) 577-8338</w:t>
      </w:r>
    </w:p>
    <w:p>
      <w:pPr>
        <w:spacing w:after="80"/>
      </w:pPr>
      <w:r>
        <w:t>Del. Code Ann.                                                                    Carvel State Office Bldg., 820 N.</w:t>
      </w:r>
    </w:p>
    <w:p>
      <w:pPr>
        <w:spacing w:after="80"/>
      </w:pPr>
      <w:r>
        <w:t>Title 6 § 12B-101 et                                                              French St., Wilmington, DE 19801</w:t>
      </w:r>
    </w:p>
    <w:p>
      <w:pPr>
        <w:spacing w:after="80"/>
      </w:pPr>
      <w:r>
        <w:t>seq.</w:t>
      </w:r>
    </w:p>
    <w:p>
      <w:pPr>
        <w:spacing w:after="80"/>
      </w:pPr>
      <w:r>
        <w:t>H.B. 116</w:t>
      </w:r>
    </w:p>
    <w:p>
      <w:pPr>
        <w:spacing w:after="80"/>
      </w:pPr>
      <w:r>
        <w:t>Effective June 28,</w:t>
      </w:r>
    </w:p>
    <w:p>
      <w:pPr>
        <w:spacing w:after="80"/>
      </w:pPr>
      <w:r>
        <w:t>2005</w:t>
      </w:r>
    </w:p>
    <w:p>
      <w:pPr>
        <w:spacing w:after="80"/>
      </w:pPr>
      <w:r>
        <w:t>H.B. 247</w:t>
      </w:r>
    </w:p>
    <w:p>
      <w:pPr>
        <w:spacing w:after="80"/>
      </w:pPr>
      <w:r>
        <w:t>Effective June 10,</w:t>
      </w:r>
    </w:p>
    <w:p>
      <w:pPr>
        <w:spacing w:after="80"/>
      </w:pPr>
      <w:r>
        <w:t>2010</w:t>
      </w:r>
    </w:p>
    <w:p>
      <w:pPr>
        <w:spacing w:after="80"/>
      </w:pPr>
      <w:r>
        <w:t>Illinois                                                                          Lisa Madigan</w:t>
      </w:r>
    </w:p>
    <w:p>
      <w:pPr>
        <w:spacing w:after="80"/>
      </w:pPr>
      <w:r>
        <w:t>(312) 814-3000</w:t>
      </w:r>
    </w:p>
    <w:p>
      <w:pPr>
        <w:spacing w:after="80"/>
      </w:pPr>
      <w:r>
        <w:t>H.B. 3025                                                                         James R. Thompson Ctr., 100 W.</w:t>
      </w:r>
    </w:p>
    <w:p>
      <w:pPr>
        <w:spacing w:after="80"/>
      </w:pPr>
      <w:r>
        <w:t>Effective Jan. 1,</w:t>
      </w:r>
    </w:p>
    <w:p>
      <w:pPr>
        <w:spacing w:after="80"/>
      </w:pPr>
      <w:r>
        <w:t>2012                                                                              Randolph St., Chicago, IL 60601</w:t>
      </w:r>
    </w:p>
    <w:p>
      <w:pPr>
        <w:spacing w:after="80"/>
      </w:pPr>
      <w:r>
        <w:t>S.B. 1833</w:t>
      </w:r>
    </w:p>
    <w:p>
      <w:pPr>
        <w:spacing w:after="80"/>
      </w:pPr>
      <w:r>
        <w:t>Amendatory veto</w:t>
      </w:r>
    </w:p>
    <w:p>
      <w:pPr>
        <w:spacing w:after="80"/>
      </w:pPr>
      <w:r>
        <w:t>9/9/15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Brian Frosh</w:t>
      </w:r>
    </w:p>
    <w:p>
      <w:pPr>
        <w:spacing w:after="80"/>
      </w:pPr>
      <w:r>
        <w:t>Maryland            Prior to notifying individuals of a security breach</w:t>
      </w:r>
    </w:p>
    <w:p>
      <w:pPr>
        <w:spacing w:after="80"/>
      </w:pPr>
      <w:r>
        <w:t>Attorney General</w:t>
      </w:r>
    </w:p>
    <w:p>
      <w:pPr>
        <w:spacing w:after="80"/>
      </w:pPr>
      <w:r>
        <w:t>and subject to permissible delay ((i) if law</w:t>
      </w:r>
    </w:p>
    <w:p>
      <w:pPr>
        <w:spacing w:after="80"/>
      </w:pPr>
      <w:r>
        <w:t>Effective:                                                                      Office of the Attorney General</w:t>
      </w:r>
    </w:p>
    <w:p>
      <w:pPr>
        <w:spacing w:after="80"/>
      </w:pPr>
      <w:r>
        <w:t>enforcement determines that notification will impede</w:t>
      </w:r>
    </w:p>
    <w:p>
      <w:pPr>
        <w:spacing w:after="80"/>
      </w:pPr>
      <w:r>
        <w:t>Jan. 1 2008                                                                     Attn. Security Breach Notification</w:t>
      </w:r>
    </w:p>
    <w:p>
      <w:pPr>
        <w:spacing w:after="80"/>
      </w:pPr>
      <w:r>
        <w:t>a criminal investigation or jeopardize homeland or</w:t>
      </w:r>
    </w:p>
    <w:p>
      <w:pPr>
        <w:spacing w:after="80"/>
      </w:pPr>
      <w:r>
        <w:t>200 St. Paul Pl.</w:t>
      </w:r>
    </w:p>
    <w:p>
      <w:pPr>
        <w:spacing w:after="80"/>
      </w:pPr>
      <w:r>
        <w:t>national security; or (ii) to determine the scope of the</w:t>
      </w:r>
    </w:p>
    <w:p>
      <w:pPr>
        <w:spacing w:after="80"/>
      </w:pPr>
      <w:r>
        <w:t>Baltimore, MD 21202</w:t>
      </w:r>
    </w:p>
    <w:p>
      <w:pPr>
        <w:spacing w:after="80"/>
      </w:pPr>
      <w:r>
        <w:t>breach, identify the individuals affected, or restore</w:t>
      </w:r>
    </w:p>
    <w:p>
      <w:pPr>
        <w:spacing w:after="80"/>
      </w:pPr>
      <w:r>
        <w:t>(410) 576-6300</w:t>
      </w:r>
    </w:p>
    <w:p>
      <w:pPr>
        <w:spacing w:after="80"/>
      </w:pPr>
      <w:r>
        <w:t>the integrity of the system), a business must notify</w:t>
      </w:r>
    </w:p>
    <w:p>
      <w:pPr>
        <w:spacing w:after="80"/>
      </w:pPr>
      <w:r>
        <w:t>the Office of the Attorney General of the breach.</w:t>
      </w:r>
    </w:p>
    <w:p>
      <w:pPr>
        <w:spacing w:after="80"/>
      </w:pPr>
      <w:r>
        <w:t>For questions, contact:</w:t>
      </w:r>
    </w:p>
    <w:p>
      <w:pPr>
        <w:spacing w:after="80"/>
      </w:pPr>
      <w:r>
        <w:t>Mr. Hugh Williams,</w:t>
      </w:r>
    </w:p>
    <w:p>
      <w:pPr>
        <w:spacing w:after="80"/>
      </w:pPr>
      <w:r>
        <w:t>Administrator of the Identity Theft</w:t>
      </w:r>
    </w:p>
    <w:p>
      <w:pPr>
        <w:spacing w:after="80"/>
      </w:pPr>
      <w:r>
        <w:t>Program</w:t>
      </w:r>
    </w:p>
    <w:p>
      <w:pPr>
        <w:spacing w:after="80"/>
      </w:pPr>
      <w:r>
        <w:t>(410) 576-6574</w:t>
      </w:r>
    </w:p>
    <w:p>
      <w:pPr>
        <w:spacing w:after="80"/>
      </w:pPr>
      <w:r>
        <w:t>See http://www.oag.state.md.us/</w:t>
      </w:r>
    </w:p>
    <w:p>
      <w:pPr>
        <w:spacing w:after="80"/>
      </w:pPr>
      <w:r>
        <w:t>idtheft/businessGL.htm</w:t>
      </w:r>
    </w:p>
    <w:p>
      <w:pPr>
        <w:spacing w:after="80"/>
      </w:pPr>
      <w:r>
        <w:t>Maura Healey</w:t>
      </w:r>
    </w:p>
    <w:p>
      <w:pPr>
        <w:spacing w:after="80"/>
      </w:pPr>
      <w:r>
        <w:t>Massachusetts       A business that owns or licenses data that includes</w:t>
      </w:r>
    </w:p>
    <w:p>
      <w:pPr>
        <w:spacing w:after="80"/>
      </w:pPr>
      <w:r>
        <w:t>Attorney General</w:t>
      </w:r>
    </w:p>
    <w:p>
      <w:pPr>
        <w:spacing w:after="80"/>
      </w:pPr>
      <w:r>
        <w:t>personal information about a Massachusetts resident</w:t>
      </w:r>
    </w:p>
    <w:p>
      <w:pPr>
        <w:spacing w:after="80"/>
      </w:pPr>
      <w:r>
        <w:t>Effective:                                                                      Office of the Attorney General</w:t>
      </w:r>
    </w:p>
    <w:p>
      <w:pPr>
        <w:spacing w:after="80"/>
      </w:pPr>
      <w:r>
        <w:t>must provide notice, as soon as practicable and</w:t>
      </w:r>
    </w:p>
    <w:p>
      <w:pPr>
        <w:spacing w:after="80"/>
      </w:pPr>
      <w:r>
        <w:t>Oct. 31, 2007                                                                   McCormack Building</w:t>
      </w:r>
    </w:p>
    <w:p>
      <w:pPr>
        <w:spacing w:after="80"/>
      </w:pPr>
      <w:r>
        <w:t>without unreasonable delay, to the Attorney General</w:t>
      </w:r>
    </w:p>
    <w:p>
      <w:pPr>
        <w:spacing w:after="80"/>
      </w:pPr>
      <w:r>
        <w:t>One Ashburton Place</w:t>
      </w:r>
    </w:p>
    <w:p>
      <w:pPr>
        <w:spacing w:after="80"/>
      </w:pPr>
      <w:r>
        <w:t>and to the Director of Consumer Affairs and Business</w:t>
      </w:r>
    </w:p>
    <w:p>
      <w:pPr>
        <w:spacing w:after="80"/>
      </w:pPr>
      <w:r>
        <w:t>Boston, MA 02108</w:t>
      </w:r>
    </w:p>
    <w:p>
      <w:pPr>
        <w:spacing w:after="80"/>
      </w:pPr>
      <w:r>
        <w:t>Regulation when the business knows or has reason to</w:t>
      </w:r>
    </w:p>
    <w:p>
      <w:pPr>
        <w:spacing w:after="80"/>
      </w:pPr>
      <w:r>
        <w:t>(617) 727-2200</w:t>
      </w:r>
    </w:p>
    <w:p>
      <w:pPr>
        <w:spacing w:after="80"/>
      </w:pPr>
      <w:r>
        <w:t>know: (1) of a security breach; or (2) that the</w:t>
      </w:r>
    </w:p>
    <w:p>
      <w:pPr>
        <w:spacing w:after="80"/>
      </w:pPr>
      <w:r>
        <w:t>personal information of such resident was acquired or</w:t>
      </w:r>
    </w:p>
    <w:p>
      <w:pPr>
        <w:spacing w:after="80"/>
      </w:pPr>
      <w:r>
        <w:t>used by an unauthorized person or used for an</w:t>
      </w:r>
    </w:p>
    <w:p>
      <w:pPr>
        <w:spacing w:after="80"/>
      </w:pPr>
      <w:r>
        <w:t>Barbara Anthony, Undersecretary</w:t>
      </w:r>
    </w:p>
    <w:p>
      <w:pPr>
        <w:spacing w:after="80"/>
      </w:pPr>
      <w:r>
        <w:t>unauthorized purpose.</w:t>
      </w:r>
    </w:p>
    <w:p>
      <w:pPr>
        <w:spacing w:after="80"/>
      </w:pPr>
      <w:r>
        <w:t>Massachusetts Office of Consumer</w:t>
      </w:r>
    </w:p>
    <w:p>
      <w:pPr>
        <w:spacing w:after="80"/>
      </w:pPr>
      <w:r>
        <w:t>The notice to regulators must include, but not be           Affairs and Business Regulation</w:t>
      </w:r>
    </w:p>
    <w:p>
      <w:pPr>
        <w:spacing w:after="80"/>
      </w:pPr>
      <w:r>
        <w:t>limited to: (1) the nature of the breach or                 Ten Park Plaza, Suite 5170</w:t>
      </w:r>
    </w:p>
    <w:p>
      <w:pPr>
        <w:spacing w:after="80"/>
      </w:pPr>
      <w:r>
        <w:t>unauthorized acquisition or use; (2) the number of          Boston, MA 02116</w:t>
      </w:r>
    </w:p>
    <w:p>
      <w:pPr>
        <w:spacing w:after="80"/>
      </w:pPr>
      <w:r>
        <w:t>residents affected at the time of notification; and         (617) 973-8700</w:t>
      </w:r>
    </w:p>
    <w:p>
      <w:pPr>
        <w:spacing w:after="80"/>
      </w:pPr>
      <w:r>
        <w:t>(3) any steps the business has taken or plans to</w:t>
      </w:r>
    </w:p>
    <w:p>
      <w:pPr>
        <w:spacing w:after="80"/>
      </w:pPr>
      <w:r>
        <w:t>take relating to the incident.</w:t>
      </w:r>
    </w:p>
    <w:p>
      <w:pPr>
        <w:spacing w:after="80"/>
      </w:pPr>
      <w:r>
        <w:t>Jim Hood</w:t>
      </w:r>
    </w:p>
    <w:p>
      <w:pPr>
        <w:spacing w:after="80"/>
      </w:pPr>
      <w:r>
        <w:t>Mississippi</w:t>
      </w:r>
    </w:p>
    <w:p>
      <w:pPr>
        <w:spacing w:after="80"/>
      </w:pPr>
      <w:r>
        <w:t>(601) 359-3680</w:t>
      </w:r>
    </w:p>
    <w:p>
      <w:pPr>
        <w:spacing w:after="80"/>
      </w:pPr>
      <w:r>
        <w:t>Miss. Code § 75-                                                                Department of Justice, P.O. Box 220,</w:t>
      </w:r>
    </w:p>
    <w:p>
      <w:pPr>
        <w:spacing w:after="80"/>
      </w:pPr>
      <w:r>
        <w:t>24-29                                                                           Jackson, MS 39205</w:t>
      </w:r>
    </w:p>
    <w:p>
      <w:pPr>
        <w:spacing w:after="80"/>
      </w:pPr>
      <w:r>
        <w:t>H.B. 582</w:t>
      </w:r>
    </w:p>
    <w:p>
      <w:pPr>
        <w:spacing w:after="80"/>
      </w:pPr>
      <w:r>
        <w:t>Effective July 1,</w:t>
      </w:r>
    </w:p>
    <w:p>
      <w:pPr>
        <w:spacing w:after="80"/>
      </w:pPr>
      <w:r>
        <w:t>2011</w:t>
      </w:r>
    </w:p>
    <w:p>
      <w:pPr>
        <w:spacing w:after="80"/>
      </w:pPr>
      <w:r>
        <w:t>Adam Paul Laxalt</w:t>
      </w:r>
    </w:p>
    <w:p>
      <w:pPr>
        <w:spacing w:after="80"/>
      </w:pPr>
      <w:r>
        <w:t>Nevada</w:t>
      </w:r>
    </w:p>
    <w:p>
      <w:pPr>
        <w:spacing w:after="80"/>
      </w:pPr>
      <w:r>
        <w:t>Attorney General</w:t>
      </w:r>
    </w:p>
    <w:p>
      <w:pPr>
        <w:spacing w:after="80"/>
      </w:pPr>
      <w:r>
        <w:t>(775) 684-1100</w:t>
      </w:r>
    </w:p>
    <w:p>
      <w:pPr>
        <w:spacing w:after="80"/>
      </w:pPr>
      <w:r>
        <w:t>Old Supreme Ct. Bldg., 100 N.</w:t>
      </w:r>
    </w:p>
    <w:p>
      <w:pPr>
        <w:spacing w:after="80"/>
      </w:pPr>
      <w:r>
        <w:t>Carson St., Carson City, NV 89701</w:t>
      </w:r>
    </w:p>
    <w:p>
      <w:pPr>
        <w:spacing w:after="80"/>
      </w:pPr>
      <w:r>
        <w:t>New Jersey State Police</w:t>
      </w:r>
    </w:p>
    <w:p>
      <w:pPr>
        <w:spacing w:after="80"/>
      </w:pPr>
      <w:r>
        <w:t>New Jersey          Prior to notifying a customer of a security breach, a</w:t>
      </w:r>
    </w:p>
    <w:p>
      <w:pPr>
        <w:spacing w:after="80"/>
      </w:pPr>
      <w:r>
        <w:t>Regional Operations and Intelligence</w:t>
      </w:r>
    </w:p>
    <w:p>
      <w:pPr>
        <w:spacing w:after="80"/>
      </w:pPr>
      <w:r>
        <w:t>business must report the breach and any information</w:t>
      </w:r>
    </w:p>
    <w:p>
      <w:pPr>
        <w:spacing w:after="80"/>
      </w:pPr>
      <w:r>
        <w:t>Effective:                                                                      Center</w:t>
      </w:r>
    </w:p>
    <w:p>
      <w:pPr>
        <w:spacing w:after="80"/>
      </w:pPr>
      <w:r>
        <w:t>pertaining to the breach to the Division of</w:t>
      </w:r>
    </w:p>
    <w:p>
      <w:pPr>
        <w:spacing w:after="80"/>
      </w:pPr>
      <w:r>
        <w:t>Jan. 1, 2006                                                                    ROIC Watch Operations</w:t>
      </w:r>
    </w:p>
    <w:p>
      <w:pPr>
        <w:spacing w:after="80"/>
      </w:pPr>
      <w:r>
        <w:t>State Police.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2 Schwartzkopf Drive</w:t>
      </w:r>
    </w:p>
    <w:p>
      <w:pPr>
        <w:spacing w:after="80"/>
      </w:pPr>
      <w:r>
        <w:t>West Trenton, NJ 08628</w:t>
      </w:r>
    </w:p>
    <w:p>
      <w:pPr>
        <w:spacing w:after="80"/>
      </w:pPr>
      <w:r>
        <w:t>Tel: (609) 963-6900</w:t>
      </w:r>
    </w:p>
    <w:p>
      <w:pPr>
        <w:spacing w:after="80"/>
      </w:pPr>
      <w:r>
        <w:t>Fax: (609) 530-3650</w:t>
      </w:r>
    </w:p>
    <w:p>
      <w:pPr>
        <w:spacing w:after="80"/>
      </w:pPr>
      <w:r>
        <w:t>Attn: Kate Ingram</w:t>
      </w:r>
    </w:p>
    <w:p>
      <w:pPr>
        <w:spacing w:after="80"/>
      </w:pPr>
      <w:r>
        <w:t>Email: lppingrk@gw.njsp.org</w:t>
      </w:r>
    </w:p>
    <w:p>
      <w:pPr>
        <w:spacing w:after="80"/>
      </w:pPr>
      <w:r>
        <w:t>Robert Lougy</w:t>
      </w:r>
    </w:p>
    <w:p>
      <w:pPr>
        <w:spacing w:after="80"/>
      </w:pPr>
      <w:r>
        <w:t>Attorney General</w:t>
      </w:r>
    </w:p>
    <w:p>
      <w:pPr>
        <w:spacing w:after="80"/>
      </w:pPr>
      <w:r>
        <w:t>(609) 292-8740</w:t>
      </w:r>
    </w:p>
    <w:p>
      <w:pPr>
        <w:spacing w:after="80"/>
      </w:pPr>
      <w:r>
        <w:t>Richard J. Hughes Justice Complex,</w:t>
      </w:r>
    </w:p>
    <w:p>
      <w:pPr>
        <w:spacing w:after="80"/>
      </w:pPr>
      <w:r>
        <w:t>25 Market Street P.O. Box 080</w:t>
      </w:r>
    </w:p>
    <w:p>
      <w:pPr>
        <w:spacing w:after="80"/>
      </w:pPr>
      <w:r>
        <w:t>Trenton, NJ 08625</w:t>
      </w:r>
    </w:p>
    <w:p>
      <w:pPr>
        <w:spacing w:after="80"/>
      </w:pPr>
      <w:r>
        <w:t>Affected Persons. Affected persons, including             Ken Paxton</w:t>
      </w:r>
    </w:p>
    <w:p>
      <w:pPr>
        <w:spacing w:after="80"/>
      </w:pPr>
      <w:r>
        <w:t>Texas</w:t>
      </w:r>
    </w:p>
    <w:p>
      <w:pPr>
        <w:spacing w:after="80"/>
      </w:pPr>
      <w:r>
        <w:t>nonresidents, who’s sensitive PI was, or is               (512) 463-2100</w:t>
      </w:r>
    </w:p>
    <w:p>
      <w:pPr>
        <w:spacing w:after="80"/>
      </w:pPr>
      <w:r>
        <w:t>reasonably believed to have been, acquired by             Capitol Station, P.O. Box 12548</w:t>
      </w:r>
    </w:p>
    <w:p>
      <w:pPr>
        <w:spacing w:after="80"/>
      </w:pPr>
      <w:r>
        <w:t>unauthorized person.                                      Austin, TX 78711-2548</w:t>
      </w:r>
    </w:p>
    <w:p>
      <w:pPr>
        <w:spacing w:after="80"/>
      </w:pPr>
      <w:r>
        <w:t>Written (at last known address) or electronic, if</w:t>
      </w:r>
    </w:p>
    <w:p>
      <w:pPr>
        <w:spacing w:after="80"/>
      </w:pPr>
      <w:r>
        <w:t>consistent with electronic records and signatures</w:t>
      </w:r>
    </w:p>
    <w:p>
      <w:pPr>
        <w:spacing w:after="80"/>
      </w:pPr>
      <w:r>
        <w:t>provisions in 15 U.S.C. § 7001 (E-SIGN Act). If</w:t>
      </w:r>
    </w:p>
    <w:p>
      <w:pPr>
        <w:spacing w:after="80"/>
      </w:pPr>
      <w:r>
        <w:t>affected person a resident of a state with its own</w:t>
      </w:r>
    </w:p>
    <w:p>
      <w:pPr>
        <w:spacing w:after="80"/>
      </w:pPr>
      <w:r>
        <w:t>breach notification requirement, covered entity may</w:t>
      </w:r>
    </w:p>
    <w:p>
      <w:pPr>
        <w:spacing w:after="80"/>
      </w:pPr>
      <w:r>
        <w:t>provide notice under that state’s law or TX law.</w:t>
      </w:r>
    </w:p>
    <w:p>
      <w:pPr>
        <w:spacing w:after="80"/>
      </w:pPr>
      <w:r>
        <w:t>Substitute Notice Available. If cost exceeds</w:t>
      </w:r>
    </w:p>
    <w:p>
      <w:pPr>
        <w:spacing w:after="80"/>
      </w:pPr>
      <w:r>
        <w:t>$250,000, or number of affected persons exceeds</w:t>
      </w:r>
    </w:p>
    <w:p>
      <w:pPr>
        <w:spacing w:after="80"/>
      </w:pPr>
      <w:r>
        <w:t>500,000, or covered entity lacks sufficient contact</w:t>
      </w:r>
    </w:p>
    <w:p>
      <w:pPr>
        <w:spacing w:after="80"/>
      </w:pPr>
      <w:r>
        <w:t>information, substitute notice available:</w:t>
      </w:r>
    </w:p>
    <w:p>
      <w:pPr>
        <w:pStyle w:val="ListBullet"/>
      </w:pPr>
      <w:r>
        <w:t>Email notice, if covered entity has an email</w:t>
      </w:r>
    </w:p>
    <w:p>
      <w:pPr>
        <w:spacing w:after="80"/>
      </w:pPr>
      <w:r>
        <w:t>address for affected persons;</w:t>
      </w:r>
    </w:p>
    <w:p>
      <w:pPr>
        <w:pStyle w:val="ListBullet"/>
      </w:pPr>
      <w:r>
        <w:t>Conspicuous posting of the notice on covered</w:t>
      </w:r>
    </w:p>
    <w:p>
      <w:pPr>
        <w:spacing w:after="80"/>
      </w:pPr>
      <w:r>
        <w:t>entity’s Web site; or</w:t>
      </w:r>
    </w:p>
    <w:p>
      <w:pPr>
        <w:pStyle w:val="ListBullet"/>
      </w:pPr>
      <w:r>
        <w:t>Notice published in, or broadcast on, major</w:t>
      </w:r>
    </w:p>
    <w:p>
      <w:pPr>
        <w:spacing w:after="80"/>
      </w:pPr>
      <w:r>
        <w:t>statewide media.</w:t>
      </w:r>
    </w:p>
    <w:p>
      <w:pPr>
        <w:spacing w:after="80"/>
      </w:pPr>
      <w:r>
        <w:t>Exception—Own Notification Policy. Covered</w:t>
      </w:r>
    </w:p>
    <w:p>
      <w:pPr>
        <w:spacing w:after="80"/>
      </w:pPr>
      <w:r>
        <w:t>entity that maintains its own notification procedures,</w:t>
      </w:r>
    </w:p>
    <w:p>
      <w:pPr>
        <w:spacing w:after="80"/>
      </w:pPr>
      <w:r>
        <w:t>consistent with timing requirements, deemed in</w:t>
      </w:r>
    </w:p>
    <w:p>
      <w:pPr>
        <w:spacing w:after="80"/>
      </w:pPr>
      <w:r>
        <w:t>compliance with notification requirements if it</w:t>
      </w:r>
    </w:p>
    <w:p>
      <w:pPr>
        <w:spacing w:after="80"/>
      </w:pPr>
      <w:r>
        <w:t>notifies affected persons in accordance with its</w:t>
      </w:r>
    </w:p>
    <w:p>
      <w:pPr>
        <w:spacing w:after="80"/>
      </w:pPr>
      <w:r>
        <w:t>policies.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Appendix G - Cardholder Requirements</w:t>
      </w:r>
    </w:p>
    <w:p>
      <w:pPr>
        <w:spacing w:after="80"/>
      </w:pPr>
      <w:r>
        <w:t>Specific requirements for reporting suspected or confirmed Incidents involving Cardholder Data.</w:t>
      </w:r>
    </w:p>
    <w:p>
      <w:pPr>
        <w:pStyle w:val="ListBullet"/>
      </w:pPr>
      <w:r>
        <w:t xml:space="preserve">  MasterCard Specific Steps:</w:t>
      </w:r>
    </w:p>
    <w:p>
      <w:pPr>
        <w:spacing w:after="80"/>
      </w:pPr>
      <w:r>
        <w:t>Report everything to the bank (Bank of America) and they will inform MasterCard. See section</w:t>
      </w:r>
    </w:p>
    <w:p>
      <w:pPr>
        <w:pStyle w:val="ListNumber"/>
      </w:pPr>
      <w:r>
        <w:t>10.2 in Chapter 10 (pages 10 – 1 to 10 – 11) of the referenced document link below.</w:t>
      </w:r>
    </w:p>
    <w:p>
      <w:pPr>
        <w:spacing w:after="80"/>
      </w:pPr>
      <w:r>
        <w:t>Reference: http://www.mastercard.com/us/merchant/pdf/SPME-Entire_Manual_public.pdf</w:t>
      </w:r>
    </w:p>
    <w:p>
      <w:pPr>
        <w:spacing w:after="80"/>
      </w:pPr>
      <w:r>
        <w:t>(a) Visa U.S.A. Specific Steps</w:t>
      </w:r>
    </w:p>
    <w:p>
      <w:pPr>
        <w:pStyle w:val="ListNumber"/>
      </w:pPr>
      <w:r>
        <w:t>1. Immediately contain and limit the exposure.</w:t>
      </w:r>
    </w:p>
    <w:p>
      <w:pPr>
        <w:spacing w:after="80"/>
      </w:pPr>
      <w:r>
        <w:t>To prevent further loss of data, conduct a thorough investigation of the suspected or</w:t>
      </w:r>
    </w:p>
    <w:p>
      <w:pPr>
        <w:spacing w:after="80"/>
      </w:pPr>
      <w:r>
        <w:t>confirmed loss or theft of account information within 24 hours of the compromise. To</w:t>
      </w:r>
    </w:p>
    <w:p>
      <w:pPr>
        <w:spacing w:after="80"/>
      </w:pPr>
      <w:r>
        <w:t>facilitate the investigation:</w:t>
      </w:r>
    </w:p>
    <w:p>
      <w:pPr>
        <w:pStyle w:val="ListBullet"/>
      </w:pPr>
      <w:r>
        <w:t xml:space="preserve"> Do not access or alter compromised systems (i.e., don’t log on at all to the machine and</w:t>
      </w:r>
    </w:p>
    <w:p>
      <w:pPr>
        <w:spacing w:after="80"/>
      </w:pPr>
      <w:r>
        <w:t>change passwords, do not log in as ROOT).</w:t>
      </w:r>
    </w:p>
    <w:p>
      <w:pPr>
        <w:pStyle w:val="ListBullet"/>
      </w:pPr>
      <w:r>
        <w:t xml:space="preserve"> Do not turn the compromised machine off. Instead, isolate compromised systems from</w:t>
      </w:r>
    </w:p>
    <w:p>
      <w:pPr>
        <w:spacing w:after="80"/>
      </w:pPr>
      <w:r>
        <w:t>the network (i.e., unplug cable).</w:t>
      </w:r>
    </w:p>
    <w:p>
      <w:pPr>
        <w:pStyle w:val="ListBullet"/>
      </w:pPr>
      <w:r>
        <w:t xml:space="preserve"> Preserve logs and electronic evidence.</w:t>
      </w:r>
    </w:p>
    <w:p>
      <w:pPr>
        <w:pStyle w:val="ListBullet"/>
      </w:pPr>
      <w:r>
        <w:t xml:space="preserve"> Log all actions taken.</w:t>
      </w:r>
    </w:p>
    <w:p>
      <w:pPr>
        <w:pStyle w:val="ListBullet"/>
      </w:pPr>
      <w:r>
        <w:t xml:space="preserve"> If using a wireless network, change Service Set Identifier (SSID) on the access point</w:t>
      </w:r>
    </w:p>
    <w:p>
      <w:pPr>
        <w:spacing w:after="80"/>
      </w:pPr>
      <w:r>
        <w:t>and other machines that may be using this connection (with the exception of any</w:t>
      </w:r>
    </w:p>
    <w:p>
      <w:pPr>
        <w:spacing w:after="80"/>
      </w:pPr>
      <w:r>
        <w:t>systems believed to be compromised).</w:t>
      </w:r>
    </w:p>
    <w:p>
      <w:pPr>
        <w:pStyle w:val="ListBullet"/>
      </w:pPr>
      <w:r>
        <w:t xml:space="preserve"> Be on HIGH alert and monitor all Credit Card Systems.</w:t>
      </w:r>
    </w:p>
    <w:p>
      <w:pPr>
        <w:pStyle w:val="ListNumber"/>
      </w:pPr>
      <w:r>
        <w:t>2. Alert all necessary parties, including:</w:t>
      </w:r>
    </w:p>
    <w:p>
      <w:pPr>
        <w:pStyle w:val="ListBullet"/>
      </w:pPr>
      <w:r>
        <w:t xml:space="preserve"> Internal information security group and Incident Response Team, if applicable</w:t>
      </w:r>
    </w:p>
    <w:p>
      <w:pPr>
        <w:pStyle w:val="ListBullet"/>
      </w:pPr>
      <w:r>
        <w:t xml:space="preserve"> Legal department</w:t>
      </w:r>
    </w:p>
    <w:p>
      <w:pPr>
        <w:pStyle w:val="ListBullet"/>
      </w:pPr>
      <w:r>
        <w:t xml:space="preserve"> Merchant bank</w:t>
      </w:r>
    </w:p>
    <w:p>
      <w:pPr>
        <w:pStyle w:val="ListBullet"/>
      </w:pPr>
      <w:r>
        <w:t xml:space="preserve"> Visa Fraud Control Group at (650) 432-2978</w:t>
      </w:r>
    </w:p>
    <w:p>
      <w:pPr>
        <w:pStyle w:val="ListBullet"/>
      </w:pPr>
      <w:r>
        <w:t xml:space="preserve"> Local FBI Office, U.S. Secret Service, or local law enforcement, if Visa payment data is</w:t>
      </w:r>
    </w:p>
    <w:p>
      <w:pPr>
        <w:spacing w:after="80"/>
      </w:pPr>
      <w:r>
        <w:t>compromised.</w:t>
      </w:r>
    </w:p>
    <w:p>
      <w:pPr>
        <w:pStyle w:val="ListNumber"/>
      </w:pPr>
      <w:r>
        <w:t>3. Provide the compromised Visa account to Visa Fraud Control Group at (650) 432-2978 within</w:t>
      </w:r>
    </w:p>
    <w:p>
      <w:pPr>
        <w:spacing w:after="80"/>
      </w:pPr>
      <w:r>
        <w:t>24 hours.</w:t>
      </w:r>
    </w:p>
    <w:p>
      <w:pPr>
        <w:pStyle w:val="ListBullet"/>
      </w:pPr>
      <w:r>
        <w:t xml:space="preserve"> Account numbers must be securely sent to Visa as instructed by Visa. It is critical that</w:t>
      </w:r>
    </w:p>
    <w:p>
      <w:pPr>
        <w:spacing w:after="80"/>
      </w:pPr>
      <w:r>
        <w:t>all potentially compromised accounts are provided. Visa will distribute the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compromised Visa account numbers to Issuers and ensure the confidentiality of entity</w:t>
      </w:r>
    </w:p>
    <w:p>
      <w:pPr>
        <w:spacing w:after="80"/>
      </w:pPr>
      <w:r>
        <w:t>and non-public information.</w:t>
      </w:r>
    </w:p>
    <w:p>
      <w:pPr>
        <w:spacing w:after="80"/>
      </w:pPr>
      <w:r>
        <w:t>Reference: http://usa.visa.com/merchants/risk_management/cisp_if_compromised.html</w:t>
      </w:r>
    </w:p>
    <w:p>
      <w:pPr>
        <w:spacing w:after="80"/>
      </w:pPr>
      <w:r>
        <w:t>(b) Discover Card Specific Steps:</w:t>
      </w:r>
    </w:p>
    <w:p>
      <w:pPr>
        <w:pStyle w:val="ListNumber"/>
      </w:pPr>
      <w:r>
        <w:t>1. Within 24 hours of an account compromise event, notify Discover Network Incident</w:t>
      </w:r>
    </w:p>
    <w:p>
      <w:pPr>
        <w:spacing w:after="80"/>
      </w:pPr>
      <w:r>
        <w:t>Response Team</w:t>
      </w:r>
    </w:p>
    <w:p>
      <w:pPr>
        <w:spacing w:after="80"/>
      </w:pPr>
      <w:r>
        <w:t>Merchants:       (800) 347-3083</w:t>
      </w:r>
    </w:p>
    <w:p>
      <w:pPr>
        <w:spacing w:after="80"/>
      </w:pPr>
      <w:r>
        <w:t>Acquirers        (800) 347-7052</w:t>
      </w:r>
    </w:p>
    <w:p>
      <w:pPr>
        <w:pStyle w:val="ListNumber"/>
      </w:pPr>
      <w:r>
        <w:t>2. Prepare a detailed written statement of fact about the account compromise including the</w:t>
      </w:r>
    </w:p>
    <w:p>
      <w:pPr>
        <w:spacing w:after="80"/>
      </w:pPr>
      <w:r>
        <w:t>contributing circumstances.</w:t>
      </w:r>
    </w:p>
    <w:p>
      <w:pPr>
        <w:pStyle w:val="ListNumber"/>
      </w:pPr>
      <w:r>
        <w:t>3. Prepare a list of all known compromised account numbers.</w:t>
      </w:r>
    </w:p>
    <w:p>
      <w:pPr>
        <w:pStyle w:val="ListNumber"/>
      </w:pPr>
      <w:r>
        <w:t>4. Obtain additional specific requirements from Discover Card.</w:t>
      </w:r>
    </w:p>
    <w:p>
      <w:pPr>
        <w:spacing w:after="80"/>
      </w:pPr>
      <w:r>
        <w:t>Reference: http://www.discovernetwork.com/fraudsecurity/databreach.html</w:t>
      </w:r>
    </w:p>
    <w:p>
      <w:pPr>
        <w:spacing w:after="80"/>
      </w:pPr>
      <w:r>
        <w:t>(c) American Express Specific Steps:</w:t>
      </w:r>
    </w:p>
    <w:p>
      <w:pPr>
        <w:pStyle w:val="ListNumber"/>
      </w:pPr>
      <w:r>
        <w:t>1. 1. Within 24 hours of an account compromise event, notify American Express Merchant</w:t>
      </w:r>
    </w:p>
    <w:p>
      <w:pPr>
        <w:spacing w:after="80"/>
      </w:pPr>
      <w:r>
        <w:t>Services at (800) 528-5200</w:t>
      </w:r>
    </w:p>
    <w:p>
      <w:pPr>
        <w:pStyle w:val="ListNumber"/>
      </w:pPr>
      <w:r>
        <w:t>2. Prepare a detailed written statement of fact about the account compromise including the</w:t>
      </w:r>
    </w:p>
    <w:p>
      <w:pPr>
        <w:spacing w:after="80"/>
      </w:pPr>
      <w:r>
        <w:t>contributing circumstances.</w:t>
      </w:r>
    </w:p>
    <w:p>
      <w:pPr>
        <w:pStyle w:val="ListNumber"/>
      </w:pPr>
      <w:r>
        <w:t>3. Prepare a list of all known compromised account numbers.</w:t>
      </w:r>
    </w:p>
    <w:p>
      <w:pPr>
        <w:pStyle w:val="ListNumber"/>
      </w:pPr>
      <w:r>
        <w:t>4. Obtain additional specific requirements from American Express.</w:t>
      </w:r>
    </w:p>
    <w:p>
      <w:pPr>
        <w:spacing w:after="80"/>
      </w:pPr>
      <w:r>
        <w:t>Reference:</w:t>
      </w:r>
    </w:p>
    <w:p>
      <w:pPr>
        <w:spacing w:after="80"/>
      </w:pPr>
      <w:r>
        <w:t>https://www209.americanexpress.com/merchant/singlevoice/dsw/FrontServlet?request_type=</w:t>
      </w:r>
    </w:p>
    <w:p>
      <w:pPr>
        <w:spacing w:after="80"/>
      </w:pPr>
      <w:r>
        <w:t>dsw&amp;pg_nm=merchinfo&amp;ln=en&amp;frm=US&amp;tabbed=breach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Appendix H – Yarbrough Law Incident Response Checklist</w:t>
      </w:r>
    </w:p>
    <w:p>
      <w:pPr>
        <w:spacing w:after="80"/>
      </w:pPr>
      <w:r>
        <w:t>Owner   Status   Comments/Notes</w:t>
      </w:r>
    </w:p>
    <w:p>
      <w:pPr>
        <w:pStyle w:val="ListNumber"/>
      </w:pPr>
      <w:r>
        <w:t>1. Incident Response Team Assembled</w:t>
      </w:r>
    </w:p>
    <w:p>
      <w:pPr>
        <w:spacing w:after="80"/>
      </w:pPr>
      <w:r>
        <w:t>Contact all members of</w:t>
      </w:r>
    </w:p>
    <w:p>
      <w:pPr>
        <w:spacing w:after="80"/>
      </w:pPr>
      <w:r>
        <w:t>Incident Response Team.</w:t>
      </w:r>
    </w:p>
    <w:p>
      <w:pPr>
        <w:spacing w:after="80"/>
      </w:pPr>
      <w:r>
        <w:t>Determine whether any</w:t>
      </w:r>
    </w:p>
    <w:p>
      <w:pPr>
        <w:spacing w:after="80"/>
      </w:pPr>
      <w:r>
        <w:t>additional members be</w:t>
      </w:r>
    </w:p>
    <w:p>
      <w:pPr>
        <w:spacing w:after="80"/>
      </w:pPr>
      <w:r>
        <w:t>added based on the</w:t>
      </w:r>
    </w:p>
    <w:p>
      <w:pPr>
        <w:spacing w:after="80"/>
      </w:pPr>
      <w:r>
        <w:t>business area impacted or</w:t>
      </w:r>
    </w:p>
    <w:p>
      <w:pPr>
        <w:spacing w:after="80"/>
      </w:pPr>
      <w:r>
        <w:t>other facts of the Incident.</w:t>
      </w:r>
    </w:p>
    <w:p>
      <w:pPr>
        <w:pStyle w:val="ListNumber"/>
      </w:pPr>
      <w:r>
        <w:t>2. Investigation</w:t>
      </w:r>
    </w:p>
    <w:p>
      <w:pPr>
        <w:spacing w:after="80"/>
      </w:pPr>
      <w:r>
        <w:t>Determine the source and</w:t>
      </w:r>
    </w:p>
    <w:p>
      <w:pPr>
        <w:spacing w:after="80"/>
      </w:pPr>
      <w:r>
        <w:t>extent of Incident.</w:t>
      </w:r>
    </w:p>
    <w:p>
      <w:pPr>
        <w:spacing w:after="80"/>
      </w:pPr>
      <w:r>
        <w:t>Verify that the Incident has</w:t>
      </w:r>
    </w:p>
    <w:p>
      <w:pPr>
        <w:spacing w:after="80"/>
      </w:pPr>
      <w:r>
        <w:t>been contained.</w:t>
      </w:r>
    </w:p>
    <w:p>
      <w:pPr>
        <w:spacing w:after="80"/>
      </w:pPr>
      <w:r>
        <w:t>Determine categories,</w:t>
      </w:r>
    </w:p>
    <w:p>
      <w:pPr>
        <w:spacing w:after="80"/>
      </w:pPr>
      <w:r>
        <w:t>number and location of</w:t>
      </w:r>
    </w:p>
    <w:p>
      <w:pPr>
        <w:spacing w:after="80"/>
      </w:pPr>
      <w:r>
        <w:t>impacted individuals.</w:t>
      </w:r>
    </w:p>
    <w:p>
      <w:pPr>
        <w:spacing w:after="80"/>
      </w:pPr>
      <w:r>
        <w:t>Determine categories of</w:t>
      </w:r>
    </w:p>
    <w:p>
      <w:pPr>
        <w:spacing w:after="80"/>
      </w:pPr>
      <w:r>
        <w:t>information involved.</w:t>
      </w:r>
    </w:p>
    <w:p>
      <w:pPr>
        <w:spacing w:after="80"/>
      </w:pPr>
      <w:r>
        <w:t>Determine which laws may</w:t>
      </w:r>
    </w:p>
    <w:p>
      <w:pPr>
        <w:spacing w:after="80"/>
      </w:pPr>
      <w:r>
        <w:t>be implicated.</w:t>
      </w:r>
    </w:p>
    <w:p>
      <w:pPr>
        <w:spacing w:after="80"/>
      </w:pPr>
      <w:r>
        <w:t>Determine who knows</w:t>
      </w:r>
    </w:p>
    <w:p>
      <w:pPr>
        <w:spacing w:after="80"/>
      </w:pPr>
      <w:r>
        <w:t>about the Incident. (Is it</w:t>
      </w:r>
    </w:p>
    <w:p>
      <w:pPr>
        <w:spacing w:after="80"/>
      </w:pPr>
      <w:r>
        <w:t>public? Has it been</w:t>
      </w:r>
    </w:p>
    <w:p>
      <w:pPr>
        <w:spacing w:after="80"/>
      </w:pPr>
      <w:r>
        <w:t>reported to law</w:t>
      </w:r>
    </w:p>
    <w:p>
      <w:pPr>
        <w:spacing w:after="80"/>
      </w:pPr>
      <w:r>
        <w:t>enforcement?)</w:t>
      </w:r>
    </w:p>
    <w:p>
      <w:pPr>
        <w:pStyle w:val="ListNumber"/>
      </w:pPr>
      <w:r>
        <w:t>3. Inform Internal Stake Holders</w:t>
      </w:r>
    </w:p>
    <w:p>
      <w:pPr>
        <w:spacing w:after="80"/>
      </w:pPr>
      <w:r>
        <w:t>Once Incident has been</w:t>
      </w:r>
    </w:p>
    <w:p>
      <w:pPr>
        <w:spacing w:after="80"/>
      </w:pPr>
      <w:r>
        <w:t>confirmed, inform the</w:t>
      </w:r>
    </w:p>
    <w:p>
      <w:pPr>
        <w:spacing w:after="80"/>
      </w:pPr>
      <w:r>
        <w:t>CEO, CFO.</w:t>
      </w:r>
    </w:p>
    <w:p>
      <w:pPr>
        <w:spacing w:after="80"/>
      </w:pPr>
      <w:r>
        <w:t>Determine whether any</w:t>
      </w:r>
    </w:p>
    <w:p>
      <w:pPr>
        <w:spacing w:after="80"/>
      </w:pPr>
      <w:r>
        <w:t>other departments or</w:t>
      </w:r>
    </w:p>
    <w:p>
      <w:pPr>
        <w:spacing w:after="80"/>
      </w:pPr>
      <w:r>
        <w:t>individuals should be</w:t>
      </w:r>
    </w:p>
    <w:p>
      <w:pPr>
        <w:spacing w:after="80"/>
      </w:pPr>
      <w:r>
        <w:t>informed.</w:t>
      </w:r>
    </w:p>
    <w:p>
      <w:pPr>
        <w:spacing w:after="80"/>
      </w:pPr>
      <w:r>
        <w:t>Notify HR if the Incident</w:t>
      </w:r>
    </w:p>
    <w:p>
      <w:pPr>
        <w:spacing w:after="80"/>
      </w:pPr>
      <w:r>
        <w:t>impacted employee</w:t>
      </w:r>
    </w:p>
    <w:p>
      <w:pPr>
        <w:spacing w:after="80"/>
      </w:pPr>
      <w:r>
        <w:t>information, Procurement</w:t>
      </w:r>
    </w:p>
    <w:p>
      <w:pPr>
        <w:spacing w:after="80"/>
      </w:pPr>
      <w:r>
        <w:t>if the Incident impacted</w:t>
      </w:r>
    </w:p>
    <w:p>
      <w:pPr>
        <w:spacing w:after="80"/>
      </w:pPr>
      <w:r>
        <w:t>vendor information and</w:t>
      </w:r>
    </w:p>
    <w:p>
      <w:pPr>
        <w:spacing w:after="80"/>
      </w:pPr>
      <w:r>
        <w:t>Customer Service if</w:t>
      </w:r>
    </w:p>
    <w:p>
      <w:pPr>
        <w:spacing w:after="80"/>
      </w:pPr>
      <w:r>
        <w:t>customers were impacted.</w:t>
      </w:r>
    </w:p>
    <w:p>
      <w:pPr>
        <w:spacing w:after="80"/>
      </w:pPr>
      <w:r>
        <w:t>Consult with Regulatory</w:t>
      </w:r>
    </w:p>
    <w:p>
      <w:pPr>
        <w:spacing w:after="80"/>
      </w:pPr>
      <w:r>
        <w:t>Legal to determine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Owner   Status   Comments/Notes</w:t>
      </w:r>
    </w:p>
    <w:p>
      <w:pPr>
        <w:spacing w:after="80"/>
      </w:pPr>
      <w:r>
        <w:t>whether Incident was</w:t>
      </w:r>
    </w:p>
    <w:p>
      <w:pPr>
        <w:spacing w:after="80"/>
      </w:pPr>
      <w:r>
        <w:t>material and will require</w:t>
      </w:r>
    </w:p>
    <w:p>
      <w:pPr>
        <w:spacing w:after="80"/>
      </w:pPr>
      <w:r>
        <w:t>any public disclosures.</w:t>
      </w:r>
    </w:p>
    <w:p>
      <w:pPr>
        <w:pStyle w:val="ListNumber"/>
      </w:pPr>
      <w:r>
        <w:t>4. Develop Incident Response Plan</w:t>
      </w:r>
    </w:p>
    <w:p>
      <w:pPr>
        <w:spacing w:after="80"/>
      </w:pPr>
      <w:r>
        <w:t>Determine whether the</w:t>
      </w:r>
    </w:p>
    <w:p>
      <w:pPr>
        <w:spacing w:after="80"/>
      </w:pPr>
      <w:r>
        <w:t>Incident has been</w:t>
      </w:r>
    </w:p>
    <w:p>
      <w:pPr>
        <w:spacing w:after="80"/>
      </w:pPr>
      <w:r>
        <w:t>contained and whether any</w:t>
      </w:r>
    </w:p>
    <w:p>
      <w:pPr>
        <w:spacing w:after="80"/>
      </w:pPr>
      <w:r>
        <w:t>other information may</w:t>
      </w:r>
    </w:p>
    <w:p>
      <w:pPr>
        <w:spacing w:after="80"/>
      </w:pPr>
      <w:r>
        <w:t>have been impacted.</w:t>
      </w:r>
    </w:p>
    <w:p>
      <w:pPr>
        <w:spacing w:after="80"/>
      </w:pPr>
      <w:r>
        <w:t>Verify that the list of</w:t>
      </w:r>
    </w:p>
    <w:p>
      <w:pPr>
        <w:spacing w:after="80"/>
      </w:pPr>
      <w:r>
        <w:t>impacted individuals and</w:t>
      </w:r>
    </w:p>
    <w:p>
      <w:pPr>
        <w:spacing w:after="80"/>
      </w:pPr>
      <w:r>
        <w:t>types of information</w:t>
      </w:r>
    </w:p>
    <w:p>
      <w:pPr>
        <w:spacing w:after="80"/>
      </w:pPr>
      <w:r>
        <w:t>involved is complete and</w:t>
      </w:r>
    </w:p>
    <w:p>
      <w:pPr>
        <w:spacing w:after="80"/>
      </w:pPr>
      <w:r>
        <w:t>accurate with the</w:t>
      </w:r>
    </w:p>
    <w:p>
      <w:pPr>
        <w:spacing w:after="80"/>
      </w:pPr>
      <w:r>
        <w:t>appropriate business area.</w:t>
      </w:r>
    </w:p>
    <w:p>
      <w:pPr>
        <w:spacing w:after="80"/>
      </w:pPr>
      <w:r>
        <w:t>Determine whether to</w:t>
      </w:r>
    </w:p>
    <w:p>
      <w:pPr>
        <w:spacing w:after="80"/>
      </w:pPr>
      <w:r>
        <w:t>involve external counsel.</w:t>
      </w:r>
    </w:p>
    <w:p>
      <w:pPr>
        <w:spacing w:after="80"/>
      </w:pPr>
      <w:r>
        <w:t>Create an attorney-client</w:t>
      </w:r>
    </w:p>
    <w:p>
      <w:pPr>
        <w:spacing w:after="80"/>
      </w:pPr>
      <w:r>
        <w:t>privileged chronology of</w:t>
      </w:r>
    </w:p>
    <w:p>
      <w:pPr>
        <w:spacing w:after="80"/>
      </w:pPr>
      <w:r>
        <w:t>the Incident</w:t>
      </w:r>
    </w:p>
    <w:p>
      <w:pPr>
        <w:spacing w:after="80"/>
      </w:pPr>
      <w:r>
        <w:t>Determine whether to</w:t>
      </w:r>
    </w:p>
    <w:p>
      <w:pPr>
        <w:spacing w:after="80"/>
      </w:pPr>
      <w:r>
        <w:t>engage a third-party</w:t>
      </w:r>
    </w:p>
    <w:p>
      <w:pPr>
        <w:spacing w:after="80"/>
      </w:pPr>
      <w:r>
        <w:t>forensics firm.</w:t>
      </w:r>
    </w:p>
    <w:p>
      <w:pPr>
        <w:spacing w:after="80"/>
      </w:pPr>
      <w:r>
        <w:t>Determine whether to</w:t>
      </w:r>
    </w:p>
    <w:p>
      <w:pPr>
        <w:spacing w:after="80"/>
      </w:pPr>
      <w:r>
        <w:t>involve law enforcement</w:t>
      </w:r>
    </w:p>
    <w:p>
      <w:pPr>
        <w:spacing w:after="80"/>
      </w:pPr>
      <w:r>
        <w:t>and which agencies are</w:t>
      </w:r>
    </w:p>
    <w:p>
      <w:pPr>
        <w:spacing w:after="80"/>
      </w:pPr>
      <w:r>
        <w:t>appropriate.</w:t>
      </w:r>
    </w:p>
    <w:p>
      <w:pPr>
        <w:spacing w:after="80"/>
      </w:pPr>
      <w:r>
        <w:t>Determine whether any</w:t>
      </w:r>
    </w:p>
    <w:p>
      <w:pPr>
        <w:spacing w:after="80"/>
      </w:pPr>
      <w:r>
        <w:t>notification obligations</w:t>
      </w:r>
    </w:p>
    <w:p>
      <w:pPr>
        <w:spacing w:after="80"/>
      </w:pPr>
      <w:r>
        <w:t>exist or whether Acme Company</w:t>
      </w:r>
    </w:p>
    <w:p>
      <w:pPr>
        <w:spacing w:after="80"/>
      </w:pPr>
      <w:r>
        <w:t>will provide notice even if</w:t>
      </w:r>
    </w:p>
    <w:p>
      <w:pPr>
        <w:spacing w:after="80"/>
      </w:pPr>
      <w:r>
        <w:t>not legally required.</w:t>
      </w:r>
    </w:p>
    <w:p>
      <w:pPr>
        <w:spacing w:after="80"/>
      </w:pPr>
      <w:r>
        <w:t>Determine whether</w:t>
      </w:r>
    </w:p>
    <w:p>
      <w:pPr>
        <w:spacing w:after="80"/>
      </w:pPr>
      <w:r>
        <w:t>customer assistance will be</w:t>
      </w:r>
    </w:p>
    <w:p>
      <w:pPr>
        <w:spacing w:after="80"/>
      </w:pPr>
      <w:r>
        <w:t>offered – will credit</w:t>
      </w:r>
    </w:p>
    <w:p>
      <w:pPr>
        <w:spacing w:after="80"/>
      </w:pPr>
      <w:r>
        <w:t>monitoring, ID theft</w:t>
      </w:r>
    </w:p>
    <w:p>
      <w:pPr>
        <w:spacing w:after="80"/>
      </w:pPr>
      <w:r>
        <w:t>restoration services or a</w:t>
      </w:r>
    </w:p>
    <w:p>
      <w:pPr>
        <w:spacing w:after="80"/>
      </w:pPr>
      <w:r>
        <w:t>call center be required? If</w:t>
      </w:r>
    </w:p>
    <w:p>
      <w:pPr>
        <w:spacing w:after="80"/>
      </w:pPr>
      <w:r>
        <w:t>so, engage as required.</w:t>
      </w:r>
    </w:p>
    <w:p>
      <w:pPr>
        <w:spacing w:after="80"/>
      </w:pPr>
      <w:r>
        <w:t>Determine whether other</w:t>
      </w:r>
    </w:p>
    <w:p>
      <w:pPr>
        <w:spacing w:after="80"/>
      </w:pPr>
      <w:r>
        <w:t>external support is</w:t>
      </w:r>
    </w:p>
    <w:p>
      <w:pPr>
        <w:spacing w:after="80"/>
      </w:pPr>
      <w:r>
        <w:t>required, such as a crises</w:t>
      </w:r>
    </w:p>
    <w:p>
      <w:pPr>
        <w:spacing w:after="80"/>
      </w:pPr>
      <w:r>
        <w:t>communication firm.</w:t>
      </w:r>
    </w:p>
    <w:p>
      <w:pPr>
        <w:spacing w:after="80"/>
      </w:pPr>
      <w:r>
        <w:t>Determine whether an</w:t>
      </w:r>
    </w:p>
    <w:p>
      <w:pPr>
        <w:spacing w:after="80"/>
      </w:pPr>
      <w:r>
        <w:t>Insurance policy exists that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Owner   Status   Comments/Notes</w:t>
      </w:r>
    </w:p>
    <w:p>
      <w:pPr>
        <w:spacing w:after="80"/>
      </w:pPr>
      <w:r>
        <w:t>applies and whether and</w:t>
      </w:r>
    </w:p>
    <w:p>
      <w:pPr>
        <w:spacing w:after="80"/>
      </w:pPr>
      <w:r>
        <w:t>when a claim should be</w:t>
      </w:r>
    </w:p>
    <w:p>
      <w:pPr>
        <w:spacing w:after="80"/>
      </w:pPr>
      <w:r>
        <w:t>filed.</w:t>
      </w:r>
    </w:p>
    <w:p>
      <w:pPr>
        <w:spacing w:after="80"/>
      </w:pPr>
      <w:r>
        <w:t>Determine how to assess</w:t>
      </w:r>
    </w:p>
    <w:p>
      <w:pPr>
        <w:spacing w:after="80"/>
      </w:pPr>
      <w:r>
        <w:t>the costs associated with</w:t>
      </w:r>
    </w:p>
    <w:p>
      <w:pPr>
        <w:spacing w:after="80"/>
      </w:pPr>
      <w:r>
        <w:t>the Incident.</w:t>
      </w:r>
    </w:p>
    <w:p>
      <w:pPr>
        <w:pStyle w:val="ListNumber"/>
      </w:pPr>
      <w:r>
        <w:t>5. Notify (if applicable)</w:t>
      </w:r>
    </w:p>
    <w:p>
      <w:pPr>
        <w:spacing w:after="80"/>
      </w:pPr>
      <w:r>
        <w:t>Revise template</w:t>
      </w:r>
    </w:p>
    <w:p>
      <w:pPr>
        <w:spacing w:after="80"/>
      </w:pPr>
      <w:r>
        <w:t>notification letters to</w:t>
      </w:r>
    </w:p>
    <w:p>
      <w:pPr>
        <w:spacing w:after="80"/>
      </w:pPr>
      <w:r>
        <w:t>reflect the current Incident.</w:t>
      </w:r>
    </w:p>
    <w:p>
      <w:pPr>
        <w:spacing w:after="80"/>
      </w:pPr>
      <w:r>
        <w:t>Prepare notice to affected</w:t>
      </w:r>
    </w:p>
    <w:p>
      <w:pPr>
        <w:spacing w:after="80"/>
      </w:pPr>
      <w:r>
        <w:t>individuals.</w:t>
      </w:r>
    </w:p>
    <w:p>
      <w:pPr>
        <w:spacing w:after="80"/>
      </w:pPr>
      <w:r>
        <w:t>Prepare notice to law</w:t>
      </w:r>
    </w:p>
    <w:p>
      <w:pPr>
        <w:spacing w:after="80"/>
      </w:pPr>
      <w:r>
        <w:t>enforcement.</w:t>
      </w:r>
    </w:p>
    <w:p>
      <w:pPr>
        <w:spacing w:after="80"/>
      </w:pPr>
      <w:r>
        <w:t>Prepare notice to relevant</w:t>
      </w:r>
    </w:p>
    <w:p>
      <w:pPr>
        <w:spacing w:after="80"/>
      </w:pPr>
      <w:r>
        <w:t>state regulators.</w:t>
      </w:r>
    </w:p>
    <w:p>
      <w:pPr>
        <w:spacing w:after="80"/>
      </w:pPr>
      <w:r>
        <w:t>Prepare notice to credit</w:t>
      </w:r>
    </w:p>
    <w:p>
      <w:pPr>
        <w:spacing w:after="80"/>
      </w:pPr>
      <w:r>
        <w:t>reporting agencies.</w:t>
      </w:r>
    </w:p>
    <w:p>
      <w:pPr>
        <w:spacing w:after="80"/>
      </w:pPr>
      <w:r>
        <w:t>Prepare notice to Payment</w:t>
      </w:r>
    </w:p>
    <w:p>
      <w:pPr>
        <w:spacing w:after="80"/>
      </w:pPr>
      <w:r>
        <w:t>Card Companies or</w:t>
      </w:r>
    </w:p>
    <w:p>
      <w:pPr>
        <w:spacing w:after="80"/>
      </w:pPr>
      <w:r>
        <w:t>Merchant Banks.</w:t>
      </w:r>
    </w:p>
    <w:p>
      <w:pPr>
        <w:spacing w:after="80"/>
      </w:pPr>
      <w:r>
        <w:t>Prepare call center scripts</w:t>
      </w:r>
    </w:p>
    <w:p>
      <w:pPr>
        <w:spacing w:after="80"/>
      </w:pPr>
      <w:r>
        <w:t>and Q&amp;As.</w:t>
      </w:r>
    </w:p>
    <w:p>
      <w:pPr>
        <w:spacing w:after="80"/>
      </w:pPr>
      <w:r>
        <w:t>Prepare statement and/or</w:t>
      </w:r>
    </w:p>
    <w:p>
      <w:pPr>
        <w:spacing w:after="80"/>
      </w:pPr>
      <w:r>
        <w:t>Q&amp;As for website.</w:t>
      </w:r>
    </w:p>
    <w:p>
      <w:pPr>
        <w:spacing w:after="80"/>
      </w:pPr>
      <w:r>
        <w:t>Prepare talking points for</w:t>
      </w:r>
    </w:p>
    <w:p>
      <w:pPr>
        <w:spacing w:after="80"/>
      </w:pPr>
      <w:r>
        <w:t>company leadership.</w:t>
      </w:r>
    </w:p>
    <w:p>
      <w:pPr>
        <w:spacing w:after="80"/>
      </w:pPr>
      <w:r>
        <w:t>Prepare talking points for</w:t>
      </w:r>
    </w:p>
    <w:p>
      <w:pPr>
        <w:spacing w:after="80"/>
      </w:pPr>
      <w:r>
        <w:t>any public-facing</w:t>
      </w:r>
    </w:p>
    <w:p>
      <w:pPr>
        <w:spacing w:after="80"/>
      </w:pPr>
      <w:r>
        <w:t>employees.</w:t>
      </w:r>
    </w:p>
    <w:p>
      <w:pPr>
        <w:spacing w:after="80"/>
      </w:pPr>
      <w:r>
        <w:t>Prepare any relevant press</w:t>
      </w:r>
    </w:p>
    <w:p>
      <w:pPr>
        <w:spacing w:after="80"/>
      </w:pPr>
      <w:r>
        <w:t>releases.</w:t>
      </w:r>
    </w:p>
    <w:p>
      <w:pPr>
        <w:pStyle w:val="ListNumber"/>
      </w:pPr>
      <w:r>
        <w:t>6. Monitor and Follow-up</w:t>
      </w:r>
    </w:p>
    <w:p>
      <w:pPr>
        <w:spacing w:after="80"/>
      </w:pPr>
      <w:r>
        <w:t>Schedule follow-up</w:t>
      </w:r>
    </w:p>
    <w:p>
      <w:pPr>
        <w:spacing w:after="80"/>
      </w:pPr>
      <w:r>
        <w:t>meetings for status</w:t>
      </w:r>
    </w:p>
    <w:p>
      <w:pPr>
        <w:spacing w:after="80"/>
      </w:pPr>
      <w:r>
        <w:t>updates.</w:t>
      </w:r>
    </w:p>
    <w:p>
      <w:pPr>
        <w:spacing w:after="80"/>
      </w:pPr>
      <w:r>
        <w:t>Determine any remedial</w:t>
      </w:r>
    </w:p>
    <w:p>
      <w:pPr>
        <w:spacing w:after="80"/>
      </w:pPr>
      <w:r>
        <w:t>measures that could be</w:t>
      </w:r>
    </w:p>
    <w:p>
      <w:pPr>
        <w:spacing w:after="80"/>
      </w:pPr>
      <w:r>
        <w:t>taken to prevent a</w:t>
      </w:r>
    </w:p>
    <w:p>
      <w:pPr>
        <w:spacing w:after="80"/>
      </w:pPr>
      <w:r>
        <w:t>recurrence.</w:t>
      </w:r>
    </w:p>
    <w:p>
      <w:pPr>
        <w:spacing w:after="80"/>
      </w:pPr>
      <w:r>
        <w:t>Involve any additional</w:t>
      </w:r>
    </w:p>
    <w:p>
      <w:pPr>
        <w:spacing w:after="80"/>
      </w:pPr>
      <w:r>
        <w:t>parties required to</w:t>
      </w:r>
    </w:p>
    <w:p>
      <w:pPr>
        <w:spacing w:after="80"/>
      </w:pPr>
      <w:r>
        <w:t>implement remediation</w:t>
      </w:r>
    </w:p>
    <w:p>
      <w:pPr>
        <w:spacing w:after="80"/>
      </w:pPr>
      <w:r>
        <w:t>plans.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Owner   Status   Comments/Notes</w:t>
      </w:r>
    </w:p>
    <w:p>
      <w:pPr>
        <w:spacing w:after="80"/>
      </w:pPr>
      <w:r>
        <w:t>Prepare a report of the</w:t>
      </w:r>
    </w:p>
    <w:p>
      <w:pPr>
        <w:spacing w:after="80"/>
      </w:pPr>
      <w:r>
        <w:t>Incident, response,</w:t>
      </w:r>
    </w:p>
    <w:p>
      <w:pPr>
        <w:spacing w:after="80"/>
      </w:pPr>
      <w:r>
        <w:t>remedial measures and</w:t>
      </w:r>
    </w:p>
    <w:p>
      <w:pPr>
        <w:spacing w:after="80"/>
      </w:pPr>
      <w:r>
        <w:t>resolution.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Appendix I - Forensic Investigation Guidelines for Incidents Impacting</w:t>
      </w:r>
    </w:p>
    <w:p>
      <w:pPr>
        <w:spacing w:after="80"/>
      </w:pPr>
      <w:r>
        <w:t>Cardholder Data</w:t>
      </w:r>
    </w:p>
    <w:p>
      <w:pPr>
        <w:spacing w:after="80"/>
      </w:pPr>
      <w:r>
        <w:t>Entity must initiate investigation of the suspected or confirmed loss or theft of Cardholder Data</w:t>
      </w:r>
    </w:p>
    <w:p>
      <w:pPr>
        <w:spacing w:after="80"/>
      </w:pPr>
      <w:r>
        <w:t>or Personal Information within 24 hours of compromise.</w:t>
      </w:r>
    </w:p>
    <w:p>
      <w:pPr>
        <w:spacing w:after="80"/>
      </w:pPr>
      <w:r>
        <w:t>The following must be included as part of the forensic investigation:</w:t>
      </w:r>
    </w:p>
    <w:p>
      <w:pPr>
        <w:spacing w:after="80"/>
      </w:pPr>
      <w:r>
        <w:t>◦ Determine information at risk.</w:t>
      </w:r>
    </w:p>
    <w:p>
      <w:pPr>
        <w:spacing w:after="80"/>
      </w:pPr>
      <w:r>
        <w:t>a. Number of accounts at risk, identify those stored and compromised on all test,</w:t>
      </w:r>
    </w:p>
    <w:p>
      <w:pPr>
        <w:spacing w:after="80"/>
      </w:pPr>
      <w:r>
        <w:t>development, and production systems</w:t>
      </w:r>
    </w:p>
    <w:p>
      <w:pPr>
        <w:spacing w:after="80"/>
      </w:pPr>
      <w:r>
        <w:t>b. Type of account information or Personal Information at risk</w:t>
      </w:r>
    </w:p>
    <w:p>
      <w:pPr>
        <w:spacing w:after="80"/>
      </w:pPr>
      <w:r>
        <w:t>c. Account number</w:t>
      </w:r>
    </w:p>
    <w:p>
      <w:pPr>
        <w:spacing w:after="80"/>
      </w:pPr>
      <w:r>
        <w:t>d. Expiration date</w:t>
      </w:r>
    </w:p>
    <w:p>
      <w:pPr>
        <w:spacing w:after="80"/>
      </w:pPr>
      <w:r>
        <w:t>e. Cardholder name</w:t>
      </w:r>
    </w:p>
    <w:p>
      <w:pPr>
        <w:spacing w:after="80"/>
      </w:pPr>
      <w:r>
        <w:t>f. Cardholder address</w:t>
      </w:r>
    </w:p>
    <w:p>
      <w:pPr>
        <w:spacing w:after="80"/>
      </w:pPr>
      <w:r>
        <w:t>g. CVV2</w:t>
      </w:r>
    </w:p>
    <w:p>
      <w:pPr>
        <w:spacing w:after="80"/>
      </w:pPr>
      <w:r>
        <w:t>h. Track 1 and Track 2</w:t>
      </w:r>
    </w:p>
    <w:p>
      <w:pPr>
        <w:spacing w:after="80"/>
      </w:pPr>
      <w:r>
        <w:t>i. Any data exported by intruder</w:t>
      </w:r>
    </w:p>
    <w:p>
      <w:pPr>
        <w:spacing w:after="80"/>
      </w:pPr>
      <w:r>
        <w:t>◦ Perform incident validation and assessment.</w:t>
      </w:r>
    </w:p>
    <w:p>
      <w:pPr>
        <w:spacing w:after="80"/>
      </w:pPr>
      <w:r>
        <w:t>a. Establish how compromise occurred</w:t>
      </w:r>
    </w:p>
    <w:p>
      <w:pPr>
        <w:spacing w:after="80"/>
      </w:pPr>
      <w:r>
        <w:t>b. Identify the source of compromise</w:t>
      </w:r>
    </w:p>
    <w:p>
      <w:pPr>
        <w:spacing w:after="80"/>
      </w:pPr>
      <w:r>
        <w:t>c. Determine timeframe of compromise</w:t>
      </w:r>
    </w:p>
    <w:p>
      <w:pPr>
        <w:spacing w:after="80"/>
      </w:pPr>
      <w:r>
        <w:t>d. Review entire network to identify all compromised or affected systems, considering</w:t>
      </w:r>
    </w:p>
    <w:p>
      <w:pPr>
        <w:spacing w:after="80"/>
      </w:pPr>
      <w:r>
        <w:t>the e-commerce, corporate, test, development, and production environments as well</w:t>
      </w:r>
    </w:p>
    <w:p>
      <w:pPr>
        <w:spacing w:after="80"/>
      </w:pPr>
      <w:r>
        <w:t>as VPN, modem, DSL and cable modem connections, and any third-party</w:t>
      </w:r>
    </w:p>
    <w:p>
      <w:pPr>
        <w:spacing w:after="80"/>
      </w:pPr>
      <w:r>
        <w:t>connections.</w:t>
      </w:r>
    </w:p>
    <w:p>
      <w:pPr>
        <w:spacing w:after="80"/>
      </w:pPr>
      <w:r>
        <w:t>e. Determine if compromise has been contained.</w:t>
      </w:r>
    </w:p>
    <w:p>
      <w:pPr>
        <w:spacing w:after="80"/>
      </w:pPr>
      <w:r>
        <w:t>◦ Check all potential database locations to ensure that CVV2, Track 1 and Track 2 data are</w:t>
      </w:r>
    </w:p>
    <w:p>
      <w:pPr>
        <w:spacing w:after="80"/>
      </w:pPr>
      <w:r>
        <w:t>not stored anywhere, whether encrypted or unencrypted (e.g., duplicate or backup tables</w:t>
      </w:r>
    </w:p>
    <w:p>
      <w:pPr>
        <w:spacing w:after="80"/>
      </w:pPr>
      <w:r>
        <w:t>or databases, databases used in development, stage or testing environments data on</w:t>
      </w:r>
    </w:p>
    <w:p>
      <w:pPr>
        <w:spacing w:after="80"/>
      </w:pPr>
      <w:r>
        <w:t>software engineers’ machines, etc.).</w:t>
      </w:r>
    </w:p>
    <w:p>
      <w:pPr>
        <w:spacing w:after="80"/>
      </w:pPr>
      <w:r>
        <w:t>◦ Preserve all potential electronic evidence on a platform suitable for review and analysis</w:t>
      </w:r>
    </w:p>
    <w:p>
      <w:pPr>
        <w:spacing w:after="80"/>
      </w:pPr>
      <w:r>
        <w:t>by a court of law if needed.</w:t>
      </w:r>
    </w:p>
    <w:p>
      <w:pPr>
        <w:spacing w:after="80"/>
      </w:pPr>
      <w:r>
        <w:t>◦ Perform remote vulnerability scan of entity’s Internet facing site(s).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Appendix J - Incident Report Template</w:t>
      </w:r>
    </w:p>
    <w:p>
      <w:pPr>
        <w:spacing w:after="80"/>
      </w:pPr>
      <w:r>
        <w:t>This report must be provided to the Payment Card Companies within [3 business days] [14 days]</w:t>
      </w:r>
    </w:p>
    <w:p>
      <w:pPr>
        <w:spacing w:after="80"/>
      </w:pPr>
      <w:r>
        <w:t>after initial report of the Incident. The following report content and standards must be followed</w:t>
      </w:r>
    </w:p>
    <w:p>
      <w:pPr>
        <w:spacing w:after="80"/>
      </w:pPr>
      <w:r>
        <w:t>when completing the Incident report. The Incident Report must be securely distributed to the</w:t>
      </w:r>
    </w:p>
    <w:p>
      <w:pPr>
        <w:spacing w:after="80"/>
      </w:pPr>
      <w:r>
        <w:t>Payment Card Companies and Merchant Bank.</w:t>
      </w:r>
    </w:p>
    <w:p>
      <w:r>
        <w:rPr>
          <w:b/>
          <w:sz w:val="24"/>
        </w:rPr>
        <w:t>I. Executive Summary</w:t>
      </w:r>
    </w:p>
    <w:p>
      <w:pPr>
        <w:spacing w:after="80"/>
      </w:pPr>
      <w:r>
        <w:t>a. Include overview of the Incident</w:t>
      </w:r>
    </w:p>
    <w:p>
      <w:pPr>
        <w:spacing w:after="80"/>
      </w:pPr>
      <w:r>
        <w:t>b. Include Risk Level (High, Medium, Low)</w:t>
      </w:r>
    </w:p>
    <w:p>
      <w:pPr>
        <w:spacing w:after="80"/>
      </w:pPr>
      <w:r>
        <w:t>c. Determination of whether Incident has been contained</w:t>
      </w:r>
    </w:p>
    <w:p>
      <w:r>
        <w:rPr>
          <w:b/>
          <w:sz w:val="24"/>
        </w:rPr>
        <w:t>II. Background</w:t>
      </w:r>
    </w:p>
    <w:p>
      <w:r>
        <w:rPr>
          <w:b/>
          <w:sz w:val="24"/>
        </w:rPr>
        <w:t>III. Initial Analysis</w:t>
      </w:r>
    </w:p>
    <w:p>
      <w:r>
        <w:rPr>
          <w:b/>
          <w:sz w:val="24"/>
        </w:rPr>
        <w:t>IV. Investigative Procedures</w:t>
      </w:r>
    </w:p>
    <w:p>
      <w:pPr>
        <w:spacing w:after="80"/>
      </w:pPr>
      <w:r>
        <w:t>a. Include forensic tools used during investigation</w:t>
      </w:r>
    </w:p>
    <w:p>
      <w:r>
        <w:rPr>
          <w:b/>
          <w:sz w:val="24"/>
        </w:rPr>
        <w:t>V. Findings</w:t>
      </w:r>
    </w:p>
    <w:p>
      <w:pPr>
        <w:spacing w:after="80"/>
      </w:pPr>
      <w:r>
        <w:t>a. Number of accounts at risk, identify those stored and compromised</w:t>
      </w:r>
    </w:p>
    <w:p>
      <w:pPr>
        <w:spacing w:after="80"/>
      </w:pPr>
      <w:r>
        <w:t>b. Type of account information at risk</w:t>
      </w:r>
    </w:p>
    <w:p>
      <w:pPr>
        <w:spacing w:after="80"/>
      </w:pPr>
      <w:r>
        <w:t>c. Identify ALL systems analyzed. Include the following:</w:t>
      </w:r>
    </w:p>
    <w:p>
      <w:pPr>
        <w:spacing w:after="80"/>
      </w:pPr>
      <w:r>
        <w:t>i. Domain Name System (DNS) names</w:t>
      </w:r>
    </w:p>
    <w:p>
      <w:pPr>
        <w:spacing w:after="80"/>
      </w:pPr>
      <w:r>
        <w:t>ii. Internet Protocol (IP) addresses</w:t>
      </w:r>
    </w:p>
    <w:p>
      <w:pPr>
        <w:spacing w:after="80"/>
      </w:pPr>
      <w:r>
        <w:t>iii. Operating System (OS) version</w:t>
      </w:r>
    </w:p>
    <w:p>
      <w:pPr>
        <w:spacing w:after="80"/>
      </w:pPr>
      <w:r>
        <w:t>iv. Function of system(s)</w:t>
      </w:r>
    </w:p>
    <w:p>
      <w:pPr>
        <w:spacing w:after="80"/>
      </w:pPr>
      <w:r>
        <w:t>d. Identify ALL compromised systems. Include the following:</w:t>
      </w:r>
    </w:p>
    <w:p>
      <w:pPr>
        <w:spacing w:after="80"/>
      </w:pPr>
      <w:r>
        <w:t>i. DNS names</w:t>
      </w:r>
    </w:p>
    <w:p>
      <w:pPr>
        <w:spacing w:after="80"/>
      </w:pPr>
      <w:r>
        <w:t>ii. IP addresses</w:t>
      </w:r>
    </w:p>
    <w:p>
      <w:pPr>
        <w:spacing w:after="80"/>
      </w:pPr>
      <w:r>
        <w:t>iii. OS version</w:t>
      </w:r>
    </w:p>
    <w:p>
      <w:pPr>
        <w:spacing w:after="80"/>
      </w:pPr>
      <w:r>
        <w:t>iv. Function of system(s)</w:t>
      </w:r>
    </w:p>
    <w:p>
      <w:pPr>
        <w:spacing w:after="80"/>
      </w:pPr>
      <w:r>
        <w:t>e. Timeframe of compromise</w:t>
      </w:r>
    </w:p>
    <w:p>
      <w:pPr>
        <w:spacing w:after="80"/>
      </w:pPr>
      <w:r>
        <w:t>f. Any data exported by intruder</w:t>
      </w:r>
    </w:p>
    <w:p>
      <w:pPr>
        <w:spacing w:after="80"/>
      </w:pPr>
      <w:r>
        <w:t>g. Established how and source of compromise</w:t>
      </w:r>
    </w:p>
    <w:p>
      <w:pPr>
        <w:spacing w:after="80"/>
      </w:pPr>
      <w:r>
        <w:t>h. Check all potential database locations to ensure that no CVV2, Track 1 or</w:t>
      </w:r>
    </w:p>
    <w:p>
      <w:pPr>
        <w:spacing w:after="80"/>
      </w:pPr>
      <w:r>
        <w:t>Track 2 data is stored anywhere, whether encrypted or unencrypted (e.g.,</w:t>
      </w:r>
    </w:p>
    <w:p>
      <w:pPr>
        <w:spacing w:after="80"/>
      </w:pPr>
      <w:r>
        <w:t>duplicate or backup tables or databases, databases used in development, stage or</w:t>
      </w:r>
    </w:p>
    <w:p>
      <w:pPr>
        <w:spacing w:after="80"/>
      </w:pPr>
      <w:r>
        <w:t>testing environments data on software engineers’ machines, etc.).</w:t>
      </w:r>
    </w:p>
    <w:p>
      <w:r>
        <w:rPr>
          <w:b/>
          <w:sz w:val="24"/>
        </w:rPr>
        <w:t>VI. Compromised Entity Action</w:t>
      </w:r>
    </w:p>
    <w:p>
      <w:r>
        <w:rPr>
          <w:b/>
          <w:sz w:val="24"/>
        </w:rPr>
        <w:t>VII. Recommendations</w:t>
      </w:r>
    </w:p>
    <w:p>
      <w:r>
        <w:rPr>
          <w:b/>
          <w:sz w:val="24"/>
        </w:rPr>
        <w:t>VIII. Contact(s) at entity and security assessor performing investigation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Appendix K – Template Notification Letters</w:t>
      </w:r>
    </w:p>
    <w:p>
      <w:pPr>
        <w:spacing w:after="80"/>
      </w:pPr>
      <w:r>
        <w:t>These are guides only and must be customized for a particular Incident. Check with</w:t>
      </w:r>
    </w:p>
    <w:p>
      <w:pPr>
        <w:spacing w:after="80"/>
      </w:pPr>
      <w:r>
        <w:t>[Legal/Outside Counsel] to be sure that no changes are required.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Template Consumer Notification Letters</w:t>
      </w:r>
    </w:p>
    <w:p>
      <w:pPr>
        <w:spacing w:after="80"/>
      </w:pPr>
      <w:r>
        <w:t>The following includes two template notices that Incident Response Team may revise, as</w:t>
      </w:r>
    </w:p>
    <w:p>
      <w:pPr>
        <w:spacing w:after="80"/>
      </w:pPr>
      <w:r>
        <w:t>appropriate, to provide notice of an Incident to its customers, as required by the relevant state</w:t>
      </w:r>
    </w:p>
    <w:p>
      <w:pPr>
        <w:spacing w:after="80"/>
      </w:pPr>
      <w:r>
        <w:t>security breach notification laws: (1) one notice for residents of all states other than</w:t>
      </w:r>
    </w:p>
    <w:p>
      <w:pPr>
        <w:spacing w:after="80"/>
      </w:pPr>
      <w:r>
        <w:t>Massachusetts; and (2) a separate notice for Massachusetts residents. The language that is</w:t>
      </w:r>
    </w:p>
    <w:p>
      <w:pPr>
        <w:spacing w:after="80"/>
      </w:pPr>
      <w:r>
        <w:t>highlighted in yellow is language that should be modified to account for the specific facts</w:t>
      </w:r>
    </w:p>
    <w:p>
      <w:pPr>
        <w:spacing w:after="80"/>
      </w:pPr>
      <w:r>
        <w:t>surrounding a particular incident (e.g., whether credit monitoring will be provided). Because the</w:t>
      </w:r>
    </w:p>
    <w:p>
      <w:pPr>
        <w:spacing w:after="80"/>
      </w:pPr>
      <w:r>
        <w:t>state laws are far from uniform, the model notices highlight relevant state law requirements for</w:t>
      </w:r>
    </w:p>
    <w:p>
      <w:pPr>
        <w:spacing w:after="80"/>
      </w:pPr>
      <w:r>
        <w:t>the content of a consumer notice.</w:t>
      </w:r>
    </w:p>
    <w:p>
      <w:pPr>
        <w:spacing w:after="80"/>
      </w:pPr>
      <w:r>
        <w:t>Note, however, that the Puerto Rico law includes the following notice content</w:t>
      </w:r>
    </w:p>
    <w:p>
      <w:pPr>
        <w:spacing w:after="80"/>
      </w:pPr>
      <w:r>
        <w:t>requirements that are not addressed in the relevant model: (1) the number of consumers</w:t>
      </w:r>
    </w:p>
    <w:p>
      <w:pPr>
        <w:spacing w:after="80"/>
      </w:pPr>
      <w:r>
        <w:t>potentially affected by the breach; (2) whether a criminal complaint has been filed with respect</w:t>
      </w:r>
    </w:p>
    <w:p>
      <w:pPr>
        <w:spacing w:after="80"/>
      </w:pPr>
      <w:r>
        <w:t>to the breach; (3) an estimate of the time and cost required to rectify the breach; and (4) an</w:t>
      </w:r>
    </w:p>
    <w:p>
      <w:pPr>
        <w:spacing w:after="80"/>
      </w:pPr>
      <w:r>
        <w:t>Internet site for people to use in order to obtain information or assistance.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Template Non-Massachusetts State Notice</w:t>
      </w:r>
    </w:p>
    <w:p>
      <w:pPr>
        <w:spacing w:after="80"/>
      </w:pPr>
      <w:r>
        <w:t>[Date]</w:t>
      </w:r>
    </w:p>
    <w:p>
      <w:pPr>
        <w:spacing w:after="80"/>
      </w:pPr>
      <w:r>
        <w:t>[Business]</w:t>
      </w:r>
    </w:p>
    <w:p>
      <w:pPr>
        <w:spacing w:after="80"/>
      </w:pPr>
      <w:r>
        <w:t>[Address]</w:t>
      </w:r>
    </w:p>
    <w:p>
      <w:pPr>
        <w:spacing w:after="80"/>
      </w:pPr>
      <w:r>
        <w:t>On behalf of [business], I am writing to inform you about a recent incident that [may have</w:t>
      </w:r>
    </w:p>
    <w:p>
      <w:pPr>
        <w:spacing w:after="80"/>
      </w:pPr>
      <w:r>
        <w:t>involved/involved] personal information about you. We recently [discovered/were informed]</w:t>
      </w:r>
    </w:p>
    <w:p>
      <w:pPr>
        <w:spacing w:after="80"/>
      </w:pPr>
      <w:r>
        <w:t>that [insert general description of the incident]. [If applicable, the Iowa, New Hampshire</w:t>
      </w:r>
    </w:p>
    <w:p>
      <w:pPr>
        <w:spacing w:after="80"/>
      </w:pPr>
      <w:r>
        <w:t>and Oregon laws require that the notice also identify the approximate date of the breach.</w:t>
      </w:r>
    </w:p>
    <w:p>
      <w:pPr>
        <w:spacing w:after="80"/>
      </w:pPr>
      <w:r>
        <w:t>If applicable, the California law requires that the notice include, if it is possible to</w:t>
      </w:r>
    </w:p>
    <w:p>
      <w:pPr>
        <w:spacing w:after="80"/>
      </w:pPr>
      <w:r>
        <w:t>determine at the time notice is provided: (1) the date or estimated date of the breach; or</w:t>
      </w:r>
    </w:p>
    <w:p>
      <w:pPr>
        <w:spacing w:after="80"/>
      </w:pPr>
      <w:r>
        <w:t>(2) the date range within which the breach occurred.] We deeply regret that this incident</w:t>
      </w:r>
    </w:p>
    <w:p>
      <w:pPr>
        <w:spacing w:after="80"/>
      </w:pPr>
      <w:r>
        <w:t>occurred and take very seriously the security of personal information.</w:t>
      </w:r>
    </w:p>
    <w:p>
      <w:pPr>
        <w:spacing w:after="80"/>
      </w:pPr>
      <w:r>
        <w:t>We began investigating the incident as soon as we learned of it. [Although our investigation is</w:t>
      </w:r>
    </w:p>
    <w:p>
      <w:pPr>
        <w:spacing w:after="80"/>
      </w:pPr>
      <w:r>
        <w:t>ongoing/Through our investigation], we have determined that the personal information</w:t>
      </w:r>
    </w:p>
    <w:p>
      <w:pPr>
        <w:spacing w:after="80"/>
      </w:pPr>
      <w:r>
        <w:t>involved in this incident included your name and [insert types of personal information</w:t>
      </w:r>
    </w:p>
    <w:p>
      <w:pPr>
        <w:spacing w:after="80"/>
      </w:pPr>
      <w:r>
        <w:t>covered by applicable state law]. We [have examined/are examining] the measures we can</w:t>
      </w:r>
    </w:p>
    <w:p>
      <w:pPr>
        <w:spacing w:after="80"/>
      </w:pPr>
      <w:r>
        <w:t>take to help prevent incidents of this kind in the future. [Insert general description of what the</w:t>
      </w:r>
    </w:p>
    <w:p>
      <w:pPr>
        <w:spacing w:after="80"/>
      </w:pPr>
      <w:r>
        <w:t>business has done to protect the information from further unauthorized access] [If</w:t>
      </w:r>
    </w:p>
    <w:p>
      <w:pPr>
        <w:spacing w:after="80"/>
      </w:pPr>
      <w:r>
        <w:t>applicable, the California law requires that the notice indicate whether the notice was</w:t>
      </w:r>
    </w:p>
    <w:p>
      <w:pPr>
        <w:spacing w:after="80"/>
      </w:pPr>
      <w:r>
        <w:t>delayed as a result of a law enforcement investigation].</w:t>
      </w:r>
    </w:p>
    <w:p>
      <w:pPr>
        <w:spacing w:after="80"/>
      </w:pPr>
      <w:r>
        <w:t>We recommend that you closely review the information provided in this letter for some steps that</w:t>
      </w:r>
    </w:p>
    <w:p>
      <w:pPr>
        <w:spacing w:after="80"/>
      </w:pPr>
      <w:r>
        <w:t>you may take to protect yourself against any potential misuse of your personal information. [If</w:t>
      </w:r>
    </w:p>
    <w:p>
      <w:pPr>
        <w:spacing w:after="80"/>
      </w:pPr>
      <w:r>
        <w:t>credit monitoring will be provided: As a precaution, we have arranged for you, at your option,</w:t>
      </w:r>
    </w:p>
    <w:p>
      <w:pPr>
        <w:spacing w:after="80"/>
      </w:pPr>
      <w:r>
        <w:t>to enroll in a complimentary [time period] credit monitoring service. We have engaged</w:t>
      </w:r>
    </w:p>
    <w:p>
      <w:pPr>
        <w:spacing w:after="80"/>
      </w:pPr>
      <w:r>
        <w:t>[company name] to provide you with its [product name], which [product description]. You</w:t>
      </w:r>
    </w:p>
    <w:p>
      <w:pPr>
        <w:spacing w:after="80"/>
      </w:pPr>
      <w:r>
        <w:t>have [**] days from the date of this letter to activate the free credit monitoring service by using</w:t>
      </w:r>
    </w:p>
    <w:p>
      <w:pPr>
        <w:spacing w:after="80"/>
      </w:pPr>
      <w:r>
        <w:t>the following activation code: [***]. This code is unique for your use and should not be shared.</w:t>
      </w:r>
    </w:p>
    <w:p>
      <w:pPr>
        <w:spacing w:after="80"/>
      </w:pPr>
      <w:r>
        <w:t>To enroll, [go to website/call].]</w:t>
      </w:r>
    </w:p>
    <w:p>
      <w:pPr>
        <w:spacing w:after="80"/>
      </w:pPr>
      <w:r>
        <w:t>You should remain vigilant [If the Michigan law is applicable: “for incidents of fraud and</w:t>
      </w:r>
    </w:p>
    <w:p>
      <w:pPr>
        <w:spacing w:after="80"/>
      </w:pPr>
      <w:r>
        <w:t>identity theft”], including by regularly reviewing your account statements and monitoring free</w:t>
      </w:r>
    </w:p>
    <w:p>
      <w:pPr>
        <w:spacing w:after="80"/>
      </w:pPr>
      <w:r>
        <w:t>credit reports. If you discover any suspicious or unusual activity on your accounts or suspect</w:t>
      </w:r>
    </w:p>
    <w:p>
      <w:pPr>
        <w:spacing w:after="80"/>
      </w:pPr>
      <w:r>
        <w:t>identity theft or fraud, be sure to report it immediately to your financial institutions. In addition,</w:t>
      </w:r>
    </w:p>
    <w:p>
      <w:pPr>
        <w:spacing w:after="80"/>
      </w:pPr>
      <w:r>
        <w:t>you may contact the Federal Trade Commission (“FTC”) or law enforcement to report incidents</w:t>
      </w:r>
    </w:p>
    <w:p>
      <w:pPr>
        <w:spacing w:after="80"/>
      </w:pPr>
      <w:r>
        <w:t>of identity theft or to learn about steps you can take to protect yourself from identity theft. To</w:t>
      </w:r>
    </w:p>
    <w:p>
      <w:pPr>
        <w:spacing w:after="80"/>
      </w:pPr>
      <w:r>
        <w:t>learn more, you can go to the FTC’s Web site, at www.consumer.gov/idtheft, or call the FTC, at</w:t>
      </w:r>
    </w:p>
    <w:p>
      <w:pPr>
        <w:spacing w:after="80"/>
      </w:pPr>
      <w:r>
        <w:t>(877) IDTHEFT (438-4338) [If the Illinois law is applicable: “or write to Federal Trade</w:t>
      </w:r>
    </w:p>
    <w:p>
      <w:pPr>
        <w:spacing w:after="80"/>
      </w:pPr>
      <w:r>
        <w:t>Commission, Consumer Response Center, 600 Pennsylvania Avenue, NW, Washington, DC</w:t>
      </w:r>
    </w:p>
    <w:p>
      <w:pPr>
        <w:spacing w:after="80"/>
      </w:pPr>
      <w:r>
        <w:t>20580].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You may also periodically obtain credit reports from each nationwide credit reporting agency. If</w:t>
      </w:r>
    </w:p>
    <w:p>
      <w:pPr>
        <w:spacing w:after="80"/>
      </w:pPr>
      <w:r>
        <w:t>you discover information on your credit report arising from a fraudulent transaction, you should</w:t>
      </w:r>
    </w:p>
    <w:p>
      <w:pPr>
        <w:spacing w:after="80"/>
      </w:pPr>
      <w:r>
        <w:t>request that the credit reporting agency delete that information from your credit report file. In</w:t>
      </w:r>
    </w:p>
    <w:p>
      <w:pPr>
        <w:spacing w:after="80"/>
      </w:pPr>
      <w:r>
        <w:t>addition, under federal law, you are entitled to one free copy of your credit report every 12</w:t>
      </w:r>
    </w:p>
    <w:p>
      <w:pPr>
        <w:spacing w:after="80"/>
      </w:pPr>
      <w:r>
        <w:t>months from each of the three nationwide credit reporting agencies. You may obtain a free copy</w:t>
      </w:r>
    </w:p>
    <w:p>
      <w:pPr>
        <w:spacing w:after="80"/>
      </w:pPr>
      <w:r>
        <w:t>of your credit report by going to www.AnnualCreditReport.com or by calling (877) 322-8228.</w:t>
      </w:r>
    </w:p>
    <w:p>
      <w:pPr>
        <w:spacing w:after="80"/>
      </w:pPr>
      <w:r>
        <w:t>You may contact the nationwide credit reporting agencies at:</w:t>
      </w:r>
    </w:p>
    <w:p>
      <w:pPr>
        <w:spacing w:after="80"/>
      </w:pPr>
      <w:r>
        <w:t>[Verify that the following contact information is accurate at the time of any Incident]</w:t>
      </w:r>
    </w:p>
    <w:p>
      <w:pPr>
        <w:spacing w:after="80"/>
      </w:pPr>
      <w:r>
        <w:t>Equifax                              Experian                    TransUnion</w:t>
      </w:r>
    </w:p>
    <w:p>
      <w:pPr>
        <w:spacing w:after="80"/>
      </w:pPr>
      <w:r>
        <w:t>(800) 525-6285                       (888) 397-3742                     (800) 680-7289</w:t>
      </w:r>
    </w:p>
    <w:p>
      <w:pPr>
        <w:spacing w:after="80"/>
      </w:pPr>
      <w:r>
        <w:t>P.O. Box 740241              P.O. Box 9532               Fraud Victim Assistance Division</w:t>
      </w:r>
    </w:p>
    <w:p>
      <w:pPr>
        <w:spacing w:after="80"/>
      </w:pPr>
      <w:r>
        <w:t>Atlanta, GA 30374-0241       Allen, TX 75013             P.O. Box 6790</w:t>
      </w:r>
    </w:p>
    <w:p>
      <w:pPr>
        <w:spacing w:after="80"/>
      </w:pPr>
      <w:r>
        <w:t>www.equifax.com              www.experian.com            Fullerton, CA 92834-6790</w:t>
      </w:r>
    </w:p>
    <w:p>
      <w:pPr>
        <w:spacing w:after="80"/>
      </w:pPr>
      <w:r>
        <w:t>www.transunion.com.</w:t>
      </w:r>
    </w:p>
    <w:p>
      <w:pPr>
        <w:spacing w:after="80"/>
      </w:pPr>
      <w:r>
        <w:t>[If the Illinois law is applicable: In addition, you may obtain additional information from the</w:t>
      </w:r>
    </w:p>
    <w:p>
      <w:pPr>
        <w:spacing w:after="80"/>
      </w:pPr>
      <w:r>
        <w:t>FTC and the credit reporting agencies about fraud alerts and security freezes.] [If applicable,</w:t>
      </w:r>
    </w:p>
    <w:p>
      <w:pPr>
        <w:spacing w:after="80"/>
      </w:pPr>
      <w:r>
        <w:t>the West Virginia law requires information on how to place a fraud alert and security</w:t>
      </w:r>
    </w:p>
    <w:p>
      <w:pPr>
        <w:spacing w:after="80"/>
      </w:pPr>
      <w:r>
        <w:t>freeze: You can add a fraud alert to your credit report file to help protect your credit</w:t>
      </w:r>
    </w:p>
    <w:p>
      <w:pPr>
        <w:spacing w:after="80"/>
      </w:pPr>
      <w:r>
        <w:t>information. A fraud alert can make it more difficult for someone to get credit in your name</w:t>
      </w:r>
    </w:p>
    <w:p>
      <w:pPr>
        <w:spacing w:after="80"/>
      </w:pPr>
      <w:r>
        <w:t>because it tells creditors to follow certain procedures to protect you, but it also may delay your</w:t>
      </w:r>
    </w:p>
    <w:p>
      <w:pPr>
        <w:spacing w:after="80"/>
      </w:pPr>
      <w:r>
        <w:t>ability to obtain credit. You may place a fraud alert in your file by calling just one of the three</w:t>
      </w:r>
    </w:p>
    <w:p>
      <w:pPr>
        <w:spacing w:after="80"/>
      </w:pPr>
      <w:r>
        <w:t>nationwide credit reporting agencies listed above. As soon as that agency processes your fraud</w:t>
      </w:r>
    </w:p>
    <w:p>
      <w:pPr>
        <w:spacing w:after="80"/>
      </w:pPr>
      <w:r>
        <w:t>alert, it will notify the other two agencies, which then must also place fraud alerts in your file. In</w:t>
      </w:r>
    </w:p>
    <w:p>
      <w:pPr>
        <w:spacing w:after="80"/>
      </w:pPr>
      <w:r>
        <w:t>addition, you can contact the nationwide credit reporting agencies regarding if and how you may</w:t>
      </w:r>
    </w:p>
    <w:p>
      <w:pPr>
        <w:spacing w:after="80"/>
      </w:pPr>
      <w:r>
        <w:t>place a security freeze on your credit report to prohibit a credit reporting agency from releasing</w:t>
      </w:r>
    </w:p>
    <w:p>
      <w:pPr>
        <w:spacing w:after="80"/>
      </w:pPr>
      <w:r>
        <w:t>information from your credit report without your prior written authorization.]</w:t>
      </w:r>
    </w:p>
    <w:p>
      <w:pPr>
        <w:spacing w:after="80"/>
      </w:pPr>
      <w:r>
        <w:t>Please know that we regret any inconvenience or concern this incident may cause you. Be</w:t>
      </w:r>
    </w:p>
    <w:p>
      <w:pPr>
        <w:spacing w:after="80"/>
      </w:pPr>
      <w:r>
        <w:t>assured that [business] has strong safeguards in place to protect the security of personal</w:t>
      </w:r>
    </w:p>
    <w:p>
      <w:pPr>
        <w:spacing w:after="80"/>
      </w:pPr>
      <w:r>
        <w:t>information. Please do not hesitate to contact us at [phone number] if you have any questions</w:t>
      </w:r>
    </w:p>
    <w:p>
      <w:pPr>
        <w:spacing w:after="80"/>
      </w:pPr>
      <w:r>
        <w:t>or concerns. [If applicable, the Maryland, Vermont and Wyoming laws require that the</w:t>
      </w:r>
    </w:p>
    <w:p>
      <w:pPr>
        <w:spacing w:after="80"/>
      </w:pPr>
      <w:r>
        <w:t>notice include a toll-free telephone number.]</w:t>
      </w:r>
    </w:p>
    <w:p>
      <w:pPr>
        <w:spacing w:after="80"/>
      </w:pPr>
      <w:r>
        <w:t>Sincerely,</w:t>
      </w:r>
    </w:p>
    <w:p>
      <w:pPr>
        <w:spacing w:after="80"/>
      </w:pPr>
      <w:r>
        <w:t>[Contact]</w:t>
      </w:r>
    </w:p>
    <w:p>
      <w:pPr>
        <w:spacing w:after="80"/>
      </w:pPr>
      <w:r>
        <w:t>[Title]</w:t>
      </w:r>
    </w:p>
    <w:p>
      <w:pPr>
        <w:spacing w:after="80"/>
      </w:pPr>
      <w:r>
        <w:t>[Include the following if applicable]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IF YOU ARE AN IOWA RESIDENT: You may contact local law enforcement or the Iowa</w:t>
      </w:r>
    </w:p>
    <w:p>
      <w:pPr>
        <w:spacing w:after="80"/>
      </w:pPr>
      <w:r>
        <w:t>Attorney General’s Office to report suspected incidents of identity theft. You can contact the</w:t>
      </w:r>
    </w:p>
    <w:p>
      <w:pPr>
        <w:spacing w:after="80"/>
      </w:pPr>
      <w:r>
        <w:t>Iowa Attorney General at:</w:t>
      </w:r>
    </w:p>
    <w:p>
      <w:pPr>
        <w:spacing w:after="80"/>
      </w:pPr>
      <w:r>
        <w:t>Office of the Attorney General</w:t>
      </w:r>
    </w:p>
    <w:p>
      <w:pPr>
        <w:spacing w:after="80"/>
      </w:pPr>
      <w:r>
        <w:t>1305 E. Walnut Street</w:t>
      </w:r>
    </w:p>
    <w:p>
      <w:pPr>
        <w:spacing w:after="80"/>
      </w:pPr>
      <w:r>
        <w:t>Des Moines, IA 50319</w:t>
      </w:r>
    </w:p>
    <w:p>
      <w:pPr>
        <w:spacing w:after="80"/>
      </w:pPr>
      <w:r>
        <w:t>(515) 281-5164</w:t>
      </w:r>
    </w:p>
    <w:p>
      <w:pPr>
        <w:spacing w:after="80"/>
      </w:pPr>
      <w:r>
        <w:t>http://www.iowaattorneygeneral.gov/</w:t>
      </w:r>
    </w:p>
    <w:p>
      <w:pPr>
        <w:spacing w:after="80"/>
      </w:pPr>
      <w:r>
        <w:t>IF YOU ARE A MARYLAND RESIDENT: You may obtain information about avoiding identity</w:t>
      </w:r>
    </w:p>
    <w:p>
      <w:pPr>
        <w:spacing w:after="80"/>
      </w:pPr>
      <w:r>
        <w:t>theft from the FTC or the Maryland Attorney General’s Office. These offices can be reached at:</w:t>
      </w:r>
    </w:p>
    <w:p>
      <w:pPr>
        <w:spacing w:after="80"/>
      </w:pPr>
      <w:r>
        <w:t>Federal Trade Commission              Office of the Attorney General</w:t>
      </w:r>
    </w:p>
    <w:p>
      <w:pPr>
        <w:spacing w:after="80"/>
      </w:pPr>
      <w:r>
        <w:t>Consumer Response Center              Consumer Protection Division</w:t>
      </w:r>
    </w:p>
    <w:p>
      <w:pPr>
        <w:spacing w:after="80"/>
      </w:pPr>
      <w:r>
        <w:t>600 Pennsylvania Avenue, NW                  200 St. Paul Place</w:t>
      </w:r>
    </w:p>
    <w:p>
      <w:pPr>
        <w:spacing w:after="80"/>
      </w:pPr>
      <w:r>
        <w:t>Washington, DC 20580                         Baltimore, MD 21202</w:t>
      </w:r>
    </w:p>
    <w:p>
      <w:pPr>
        <w:spacing w:after="80"/>
      </w:pPr>
      <w:r>
        <w:t>(877) IDTHEFT (438-4338)              (888) 743-0023</w:t>
      </w:r>
    </w:p>
    <w:p>
      <w:pPr>
        <w:spacing w:after="80"/>
      </w:pPr>
      <w:r>
        <w:t>http://www.ftc.gov/idtheft/           www.oag.state.md.us</w:t>
      </w:r>
    </w:p>
    <w:p>
      <w:pPr>
        <w:spacing w:after="80"/>
      </w:pPr>
      <w:r>
        <w:t>IF YOU ARE A NORTH CAROLINA RESIDENT: You may obtain information about preventing</w:t>
      </w:r>
    </w:p>
    <w:p>
      <w:pPr>
        <w:spacing w:after="80"/>
      </w:pPr>
      <w:r>
        <w:t>identity theft from the FTC or the North Carolina Attorney General’s Office. These offices can</w:t>
      </w:r>
    </w:p>
    <w:p>
      <w:pPr>
        <w:spacing w:after="80"/>
      </w:pPr>
      <w:r>
        <w:t>be reached at:</w:t>
      </w:r>
    </w:p>
    <w:p>
      <w:pPr>
        <w:spacing w:after="80"/>
      </w:pPr>
      <w:r>
        <w:t>Federal Trade Commission              North Carolina Department of Justice</w:t>
      </w:r>
    </w:p>
    <w:p>
      <w:pPr>
        <w:spacing w:after="80"/>
      </w:pPr>
      <w:r>
        <w:t>Consumer Response Center              Attorney General Roy Cooper</w:t>
      </w:r>
    </w:p>
    <w:p>
      <w:pPr>
        <w:spacing w:after="80"/>
      </w:pPr>
      <w:r>
        <w:t>600 Pennsylvania Avenue, NW           9001 Mail Service Center</w:t>
      </w:r>
    </w:p>
    <w:p>
      <w:pPr>
        <w:spacing w:after="80"/>
      </w:pPr>
      <w:r>
        <w:t>Washington, DC 20580                  Raleigh, NC 27699-9001</w:t>
      </w:r>
    </w:p>
    <w:p>
      <w:pPr>
        <w:spacing w:after="80"/>
      </w:pPr>
      <w:r>
        <w:t>(877) IDTHEFT (438-4338)              (877) 566-7226</w:t>
      </w:r>
    </w:p>
    <w:p>
      <w:pPr>
        <w:spacing w:after="80"/>
      </w:pPr>
      <w:r>
        <w:t>www.consumer.gov/idtheft              http://www.ncdoj.com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Template Massachusetts Notice</w:t>
      </w:r>
    </w:p>
    <w:p>
      <w:pPr>
        <w:spacing w:after="80"/>
      </w:pPr>
      <w:r>
        <w:t>[Date]</w:t>
      </w:r>
    </w:p>
    <w:p>
      <w:pPr>
        <w:spacing w:after="80"/>
      </w:pPr>
      <w:r>
        <w:t>[Business]</w:t>
      </w:r>
    </w:p>
    <w:p>
      <w:pPr>
        <w:spacing w:after="80"/>
      </w:pPr>
      <w:r>
        <w:t>[Address]</w:t>
      </w:r>
    </w:p>
    <w:p>
      <w:pPr>
        <w:spacing w:after="80"/>
      </w:pPr>
      <w:r>
        <w:t>We are writing to inform you about a recent incident that [may have involved/involved]</w:t>
      </w:r>
    </w:p>
    <w:p>
      <w:pPr>
        <w:spacing w:after="80"/>
      </w:pPr>
      <w:r>
        <w:t>personal information about you. We deeply regret that this incident occurred and take very</w:t>
      </w:r>
    </w:p>
    <w:p>
      <w:pPr>
        <w:spacing w:after="80"/>
      </w:pPr>
      <w:r>
        <w:t>seriously the security of personal information.</w:t>
      </w:r>
    </w:p>
    <w:p>
      <w:pPr>
        <w:spacing w:after="80"/>
      </w:pPr>
      <w:r>
        <w:t>[We have no reason to believe that your personal information has been misused.] However,</w:t>
      </w:r>
    </w:p>
    <w:p>
      <w:pPr>
        <w:spacing w:after="80"/>
      </w:pPr>
      <w:r>
        <w:t>we recommend that you closely review the information provided in this letter for some steps that</w:t>
      </w:r>
    </w:p>
    <w:p>
      <w:pPr>
        <w:spacing w:after="80"/>
      </w:pPr>
      <w:r>
        <w:t>you may take to protect yourself against any potential misuse of your personal information.</w:t>
      </w:r>
    </w:p>
    <w:p>
      <w:pPr>
        <w:spacing w:after="80"/>
      </w:pPr>
      <w:r>
        <w:t>[Include the following paragraph if credit monitoring will be provided: As a precaution, we</w:t>
      </w:r>
    </w:p>
    <w:p>
      <w:pPr>
        <w:spacing w:after="80"/>
      </w:pPr>
      <w:r>
        <w:t>have arranged for you, at your option, to enroll in a complimentary [time period, e.g., one-year]</w:t>
      </w:r>
    </w:p>
    <w:p>
      <w:pPr>
        <w:spacing w:after="80"/>
      </w:pPr>
      <w:r>
        <w:t>credit monitoring service. We have engaged [company name] to provide you with its [product</w:t>
      </w:r>
    </w:p>
    <w:p>
      <w:pPr>
        <w:spacing w:after="80"/>
      </w:pPr>
      <w:r>
        <w:t>name], which [product description]. You have [**] days from the date of this letter to activate</w:t>
      </w:r>
    </w:p>
    <w:p>
      <w:pPr>
        <w:spacing w:after="80"/>
      </w:pPr>
      <w:r>
        <w:t>the free credit monitoring service by using the following activation code: [***]. This code is</w:t>
      </w:r>
    </w:p>
    <w:p>
      <w:pPr>
        <w:spacing w:after="80"/>
      </w:pPr>
      <w:r>
        <w:t>unique for your use and should not be shared. To enroll, [go to website/call].]</w:t>
      </w:r>
    </w:p>
    <w:p>
      <w:pPr>
        <w:spacing w:after="80"/>
      </w:pPr>
      <w:r>
        <w:t>In addition, you should remain vigilant, including by regularly reviewing your account</w:t>
      </w:r>
    </w:p>
    <w:p>
      <w:pPr>
        <w:spacing w:after="80"/>
      </w:pPr>
      <w:r>
        <w:t>statements and credit reports. If you discover any suspicious or unusual activity on your</w:t>
      </w:r>
    </w:p>
    <w:p>
      <w:pPr>
        <w:spacing w:after="80"/>
      </w:pPr>
      <w:r>
        <w:t>accounts or suspect identity theft or fraud, be sure to report it immediately to your financial</w:t>
      </w:r>
    </w:p>
    <w:p>
      <w:pPr>
        <w:spacing w:after="80"/>
      </w:pPr>
      <w:r>
        <w:t>institutions. You also may contact the Federal Trade Commission (“FTC”) or law enforcement</w:t>
      </w:r>
    </w:p>
    <w:p>
      <w:pPr>
        <w:spacing w:after="80"/>
      </w:pPr>
      <w:r>
        <w:t>to report incidents of identity theft or to learn about steps you can take to protect yourself from</w:t>
      </w:r>
    </w:p>
    <w:p>
      <w:pPr>
        <w:spacing w:after="80"/>
      </w:pPr>
      <w:r>
        <w:t>identity theft. To learn more, you can go to the FTC’s Web site, at http://www.ftc.gov/idtheft/,</w:t>
      </w:r>
    </w:p>
    <w:p>
      <w:pPr>
        <w:spacing w:after="80"/>
      </w:pPr>
      <w:r>
        <w:t>or call the FTC, at (877) IDTHEFT (438-4338).</w:t>
      </w:r>
    </w:p>
    <w:p>
      <w:pPr>
        <w:spacing w:after="80"/>
      </w:pPr>
      <w:r>
        <w:t>You may periodically obtain credit reports from each nationwide credit reporting agency. If you</w:t>
      </w:r>
    </w:p>
    <w:p>
      <w:pPr>
        <w:spacing w:after="80"/>
      </w:pPr>
      <w:r>
        <w:t>discover information on your credit report arising from a fraudulent transaction, you should</w:t>
      </w:r>
    </w:p>
    <w:p>
      <w:pPr>
        <w:spacing w:after="80"/>
      </w:pPr>
      <w:r>
        <w:t>request that the credit reporting agency delete that information from your credit report file. In</w:t>
      </w:r>
    </w:p>
    <w:p>
      <w:pPr>
        <w:spacing w:after="80"/>
      </w:pPr>
      <w:r>
        <w:t>addition, under federal law, you are entitled to one free copy every 12 months of your credit</w:t>
      </w:r>
    </w:p>
    <w:p>
      <w:pPr>
        <w:spacing w:after="80"/>
      </w:pPr>
      <w:r>
        <w:t>report from each of the three major credit reporting companies. You may obtain a free copy of</w:t>
      </w:r>
    </w:p>
    <w:p>
      <w:pPr>
        <w:spacing w:after="80"/>
      </w:pPr>
      <w:r>
        <w:t>your credit report by going on the Internet to www.AnnualCreditReport.com or by calling (877)</w:t>
      </w:r>
    </w:p>
    <w:p>
      <w:pPr>
        <w:spacing w:after="80"/>
      </w:pPr>
      <w:r>
        <w:t>322-8228. You may contact the nationwide credit reporting agencies as indicated below:</w:t>
      </w:r>
    </w:p>
    <w:p>
      <w:pPr>
        <w:spacing w:after="80"/>
      </w:pPr>
      <w:r>
        <w:t>[Verify that the following contact information is accurate at the time of any Incident]</w:t>
      </w:r>
    </w:p>
    <w:p>
      <w:pPr>
        <w:spacing w:after="80"/>
      </w:pPr>
      <w:r>
        <w:t>Equifax                              Experian                    TransUnion</w:t>
      </w:r>
    </w:p>
    <w:p>
      <w:pPr>
        <w:spacing w:after="80"/>
      </w:pPr>
      <w:r>
        <w:t>(800) 525-6285                       (888) 397-3742                     (800) 680-7289</w:t>
      </w:r>
    </w:p>
    <w:p>
      <w:pPr>
        <w:spacing w:after="80"/>
      </w:pPr>
      <w:r>
        <w:t>P.O. Box 740241              P.O. Box 9532               Fraud Victim Assistance Division</w:t>
      </w:r>
    </w:p>
    <w:p>
      <w:pPr>
        <w:spacing w:after="80"/>
      </w:pPr>
      <w:r>
        <w:t>Atlanta, GA 30374-0241       Allen, TX 75013             P.O. Box 6790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www.equifax.com                www.experian.com                Fullerton, CA 92834-6790</w:t>
      </w:r>
    </w:p>
    <w:p>
      <w:pPr>
        <w:spacing w:after="80"/>
      </w:pPr>
      <w:r>
        <w:t>www.transunion.com.</w:t>
      </w:r>
    </w:p>
    <w:p>
      <w:pPr>
        <w:spacing w:after="80"/>
      </w:pPr>
      <w:r>
        <w:t>In addition, you can add a fraud alert to your credit report file to help protect your credit</w:t>
      </w:r>
    </w:p>
    <w:p>
      <w:pPr>
        <w:spacing w:after="80"/>
      </w:pPr>
      <w:r>
        <w:t>information. A fraud alert can make it more difficult for someone to get credit in your name</w:t>
      </w:r>
    </w:p>
    <w:p>
      <w:pPr>
        <w:spacing w:after="80"/>
      </w:pPr>
      <w:r>
        <w:t>because it tells creditors to follow certain procedures to protect you, but it also may delay your</w:t>
      </w:r>
    </w:p>
    <w:p>
      <w:pPr>
        <w:spacing w:after="80"/>
      </w:pPr>
      <w:r>
        <w:t>ability to obtain credit. You may place a fraud alert in your file by calling just one of the three</w:t>
      </w:r>
    </w:p>
    <w:p>
      <w:pPr>
        <w:spacing w:after="80"/>
      </w:pPr>
      <w:r>
        <w:t>nationwide credit reporting agencies. As soon as that agency processes your fraud alert, it will</w:t>
      </w:r>
    </w:p>
    <w:p>
      <w:pPr>
        <w:spacing w:after="80"/>
      </w:pPr>
      <w:r>
        <w:t>notify the other two credit reporting agencies, which then must also place fraud alerts in your</w:t>
      </w:r>
    </w:p>
    <w:p>
      <w:pPr>
        <w:spacing w:after="80"/>
      </w:pPr>
      <w:r>
        <w:t>file.</w:t>
      </w:r>
    </w:p>
    <w:p>
      <w:pPr>
        <w:spacing w:after="80"/>
      </w:pPr>
      <w:r>
        <w:t>Under Massachusetts law, you have the right to obtain a police report in regard to this incident.</w:t>
      </w:r>
    </w:p>
    <w:p>
      <w:pPr>
        <w:spacing w:after="80"/>
      </w:pPr>
      <w:r>
        <w:t>If you are the victim of identity theft, you also have the right to file a police report and obtain a</w:t>
      </w:r>
    </w:p>
    <w:p>
      <w:pPr>
        <w:spacing w:after="80"/>
      </w:pPr>
      <w:r>
        <w:t>copy of it.</w:t>
      </w:r>
    </w:p>
    <w:p>
      <w:pPr>
        <w:spacing w:after="80"/>
      </w:pPr>
      <w:r>
        <w:t>Massachusetts law also allows consumers to place a security freeze on their credit reports. A</w:t>
      </w:r>
    </w:p>
    <w:p>
      <w:pPr>
        <w:spacing w:after="80"/>
      </w:pPr>
      <w:r>
        <w:t>security freeze prohibits a credit reporting agency from releasing any information from a</w:t>
      </w:r>
    </w:p>
    <w:p>
      <w:pPr>
        <w:spacing w:after="80"/>
      </w:pPr>
      <w:r>
        <w:t>consumer’s credit report without written authorization. However, please be aware that placing a</w:t>
      </w:r>
    </w:p>
    <w:p>
      <w:pPr>
        <w:spacing w:after="80"/>
      </w:pPr>
      <w:r>
        <w:t>security freeze on your credit report may delay, interfere with, or prevent the timely approval of</w:t>
      </w:r>
    </w:p>
    <w:p>
      <w:pPr>
        <w:spacing w:after="80"/>
      </w:pPr>
      <w:r>
        <w:t>any requests you make for new loans, mortgages, employment, housing or other services.</w:t>
      </w:r>
    </w:p>
    <w:p>
      <w:pPr>
        <w:spacing w:after="80"/>
      </w:pPr>
      <w:r>
        <w:t>If you have been a victim of identity theft and you provide the credit reporting agency with a</w:t>
      </w:r>
    </w:p>
    <w:p>
      <w:pPr>
        <w:spacing w:after="80"/>
      </w:pPr>
      <w:r>
        <w:t>valid police report, it cannot charge you to place, lift or remove a security freeze. In all other</w:t>
      </w:r>
    </w:p>
    <w:p>
      <w:pPr>
        <w:spacing w:after="80"/>
      </w:pPr>
      <w:r>
        <w:t>cases, a credit reporting agency may charge you up to $5.00 each to place, temporarily lift, or</w:t>
      </w:r>
    </w:p>
    <w:p>
      <w:pPr>
        <w:spacing w:after="80"/>
      </w:pPr>
      <w:r>
        <w:t>permanently remove a security freeze. To place a security freeze on your credit report, you must</w:t>
      </w:r>
    </w:p>
    <w:p>
      <w:pPr>
        <w:spacing w:after="80"/>
      </w:pPr>
      <w:r>
        <w:t>send a written request to each of the three major consumer reporting agencies listed above.</w:t>
      </w:r>
    </w:p>
    <w:p>
      <w:pPr>
        <w:spacing w:after="80"/>
      </w:pPr>
      <w:r>
        <w:t>In order to request a security freeze, you will need to provide the following information:</w:t>
      </w:r>
    </w:p>
    <w:p>
      <w:pPr>
        <w:spacing w:after="80"/>
      </w:pPr>
      <w:r>
        <w:t>(1) Your full name (including middle initial as well as Jr., Sr., II, III, etc.);</w:t>
      </w:r>
    </w:p>
    <w:p>
      <w:pPr>
        <w:spacing w:after="80"/>
      </w:pPr>
      <w:r>
        <w:t>(2) Social Security number;</w:t>
      </w:r>
    </w:p>
    <w:p>
      <w:pPr>
        <w:spacing w:after="80"/>
      </w:pPr>
      <w:r>
        <w:t>(3) Date of birth;</w:t>
      </w:r>
    </w:p>
    <w:p>
      <w:pPr>
        <w:spacing w:after="80"/>
      </w:pPr>
      <w:r>
        <w:t>(4) If you have moved in the past five (5) years, the addresses where you have lived over the</w:t>
      </w:r>
    </w:p>
    <w:p>
      <w:pPr>
        <w:spacing w:after="80"/>
      </w:pPr>
      <w:r>
        <w:t>prior five years;</w:t>
      </w:r>
    </w:p>
    <w:p>
      <w:pPr>
        <w:spacing w:after="80"/>
      </w:pPr>
      <w:r>
        <w:t>(5) Proof of current address (e.g., a current utility bill or telephone bill);</w:t>
      </w:r>
    </w:p>
    <w:p>
      <w:pPr>
        <w:spacing w:after="80"/>
      </w:pPr>
      <w:r>
        <w:t>(6) A legible photocopy of a government issued identification card (e.g., state driver’s license or</w:t>
      </w:r>
    </w:p>
    <w:p>
      <w:pPr>
        <w:spacing w:after="80"/>
      </w:pPr>
      <w:r>
        <w:t>ID card or military identification);</w:t>
      </w:r>
    </w:p>
    <w:p>
      <w:pPr>
        <w:spacing w:after="80"/>
      </w:pPr>
      <w:r>
        <w:t>(7) If you are a victim of identity theft, a copy of either the police report, investigative report, or</w:t>
      </w:r>
    </w:p>
    <w:p>
      <w:pPr>
        <w:spacing w:after="80"/>
      </w:pPr>
      <w:r>
        <w:t>complaint to a law enforcement agency concerning identity theft;</w:t>
      </w:r>
    </w:p>
    <w:p>
      <w:pPr>
        <w:spacing w:after="80"/>
      </w:pPr>
      <w:r>
        <w:t>(8) If you are not a victim of identity theft, payment by check, money order, or credit card (Visa,</w:t>
      </w:r>
    </w:p>
    <w:p>
      <w:pPr>
        <w:spacing w:after="80"/>
      </w:pPr>
      <w:r>
        <w:t>MasterCard, American Express or Discover only). Do not send cash through the mail.</w:t>
      </w:r>
    </w:p>
    <w:p>
      <w:pPr>
        <w:spacing w:after="80"/>
      </w:pPr>
      <w:r>
        <w:t>The credit reporting agencies have three (3) business days after receiving your request to place a</w:t>
      </w:r>
    </w:p>
    <w:p>
      <w:pPr>
        <w:spacing w:after="80"/>
      </w:pPr>
      <w:r>
        <w:t>security freeze on your credit report. The credit reporting agencies must also send written</w:t>
      </w:r>
    </w:p>
    <w:p>
      <w:pPr>
        <w:spacing w:after="80"/>
      </w:pPr>
      <w:r>
        <w:t>confirmation to you within five (5) business days and provide you with a unique personal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identification number (PIN) or password, or both that can be used by you to authorize the</w:t>
      </w:r>
    </w:p>
    <w:p>
      <w:pPr>
        <w:spacing w:after="80"/>
      </w:pPr>
      <w:r>
        <w:t>removal or lifting of the security freeze.</w:t>
      </w:r>
    </w:p>
    <w:p>
      <w:pPr>
        <w:spacing w:after="80"/>
      </w:pPr>
      <w:r>
        <w:t>To lift the security freeze in order to allow a specific entity or individual access to your credit</w:t>
      </w:r>
    </w:p>
    <w:p>
      <w:pPr>
        <w:spacing w:after="80"/>
      </w:pPr>
      <w:r>
        <w:t>report, you must call or send a written request to the credit reporting agencies by mail and</w:t>
      </w:r>
    </w:p>
    <w:p>
      <w:pPr>
        <w:spacing w:after="80"/>
      </w:pPr>
      <w:r>
        <w:t>include proper identification (name, address, and Social Security number) and the PIN number</w:t>
      </w:r>
    </w:p>
    <w:p>
      <w:pPr>
        <w:spacing w:after="80"/>
      </w:pPr>
      <w:r>
        <w:t>or password provided to you when you placed the security freeze, as well as the identities of</w:t>
      </w:r>
    </w:p>
    <w:p>
      <w:pPr>
        <w:spacing w:after="80"/>
      </w:pPr>
      <w:r>
        <w:t>those entities or individuals you would like to receive your credit report or the specific period of</w:t>
      </w:r>
    </w:p>
    <w:p>
      <w:pPr>
        <w:spacing w:after="80"/>
      </w:pPr>
      <w:r>
        <w:t>time you want the credit report available. The credit reporting agencies have three (3) business</w:t>
      </w:r>
    </w:p>
    <w:p>
      <w:pPr>
        <w:spacing w:after="80"/>
      </w:pPr>
      <w:r>
        <w:t>days after receiving your request to lift the security freeze for those identified entities or for the</w:t>
      </w:r>
    </w:p>
    <w:p>
      <w:pPr>
        <w:spacing w:after="80"/>
      </w:pPr>
      <w:r>
        <w:t>specified period of time</w:t>
      </w:r>
    </w:p>
    <w:p>
      <w:pPr>
        <w:spacing w:after="80"/>
      </w:pPr>
      <w:r>
        <w:t>To remove the security freeze, you must send a written request to each of the three credit</w:t>
      </w:r>
    </w:p>
    <w:p>
      <w:pPr>
        <w:spacing w:after="80"/>
      </w:pPr>
      <w:r>
        <w:t>reporting agencies by mail and include proper identification (name, address, and Social Security</w:t>
      </w:r>
    </w:p>
    <w:p>
      <w:pPr>
        <w:spacing w:after="80"/>
      </w:pPr>
      <w:r>
        <w:t>number) and the PIN number or password provided to you when you placed the security freeze.</w:t>
      </w:r>
    </w:p>
    <w:p>
      <w:pPr>
        <w:spacing w:after="80"/>
      </w:pPr>
      <w:r>
        <w:t>The credit reporting agencies have three (3) business days after receiving your request to remove</w:t>
      </w:r>
    </w:p>
    <w:p>
      <w:pPr>
        <w:spacing w:after="80"/>
      </w:pPr>
      <w:r>
        <w:t>the security freeze.</w:t>
      </w:r>
    </w:p>
    <w:p>
      <w:pPr>
        <w:spacing w:after="80"/>
      </w:pPr>
      <w:r>
        <w:t>Please know that we regret any inconvenience or concern this incident may cause you. Be</w:t>
      </w:r>
    </w:p>
    <w:p>
      <w:pPr>
        <w:spacing w:after="80"/>
      </w:pPr>
      <w:r>
        <w:t>assured that [business] has strong safeguards in place to protect the security of personal</w:t>
      </w:r>
    </w:p>
    <w:p>
      <w:pPr>
        <w:spacing w:after="80"/>
      </w:pPr>
      <w:r>
        <w:t>information. Please do not hesitate to contact us at [phone number] if you have any questions</w:t>
      </w:r>
    </w:p>
    <w:p>
      <w:pPr>
        <w:spacing w:after="80"/>
      </w:pPr>
      <w:r>
        <w:t>or concerns.</w:t>
      </w:r>
    </w:p>
    <w:p>
      <w:pPr>
        <w:spacing w:after="80"/>
      </w:pPr>
      <w:r>
        <w:t>Sincerely,</w:t>
      </w:r>
    </w:p>
    <w:p>
      <w:pPr>
        <w:spacing w:after="80"/>
      </w:pPr>
      <w:r>
        <w:t>[Contact]</w:t>
      </w:r>
    </w:p>
    <w:p>
      <w:pPr>
        <w:spacing w:after="80"/>
      </w:pPr>
      <w:r>
        <w:t>[Title]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Template State Authority Security Breach Notification</w:t>
      </w:r>
    </w:p>
    <w:p>
      <w:pPr>
        <w:spacing w:after="80"/>
      </w:pPr>
      <w:r>
        <w:t>The following provides a template notice that Incident Response Team may revise, as</w:t>
      </w:r>
    </w:p>
    <w:p>
      <w:pPr>
        <w:spacing w:after="80"/>
      </w:pPr>
      <w:r>
        <w:t>appropriate, to provide notice of an Incident to a state authority (e.g., a state Attorney General),</w:t>
      </w:r>
    </w:p>
    <w:p>
      <w:pPr>
        <w:spacing w:after="80"/>
      </w:pPr>
      <w:r>
        <w:t>as required by the relevant state security breach notification laws.</w:t>
      </w:r>
    </w:p>
    <w:p>
      <w:pPr>
        <w:spacing w:after="80"/>
      </w:pPr>
      <w:r>
        <w:t>The language that is highlighted in yellow is language that should be modified to account</w:t>
      </w:r>
    </w:p>
    <w:p>
      <w:pPr>
        <w:spacing w:after="80"/>
      </w:pPr>
      <w:r>
        <w:t>for the specific facts surrounding a particular incident.</w:t>
      </w:r>
    </w:p>
    <w:p>
      <w:pPr>
        <w:spacing w:after="80"/>
      </w:pPr>
      <w:r>
        <w:t>Note that this model notice cannot be used to provide notice to state authorities in</w:t>
      </w:r>
    </w:p>
    <w:p>
      <w:pPr>
        <w:spacing w:after="80"/>
      </w:pPr>
      <w:r>
        <w:t>California, New York and North Carolina. Notices to state authorities in those states must be</w:t>
      </w:r>
    </w:p>
    <w:p>
      <w:pPr>
        <w:spacing w:after="80"/>
      </w:pPr>
      <w:r>
        <w:t>provided on state-specific forms.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[Date]</w:t>
      </w:r>
    </w:p>
    <w:p>
      <w:pPr>
        <w:spacing w:after="80"/>
      </w:pPr>
      <w:r>
        <w:t>[State regulator]</w:t>
      </w:r>
    </w:p>
    <w:p>
      <w:pPr>
        <w:spacing w:after="80"/>
      </w:pPr>
      <w:r>
        <w:t>[Address]</w:t>
      </w:r>
    </w:p>
    <w:p>
      <w:pPr>
        <w:spacing w:after="80"/>
      </w:pPr>
      <w:r>
        <w:t>[State regulator name / To Whom It May Concern]:</w:t>
      </w:r>
    </w:p>
    <w:p>
      <w:pPr>
        <w:spacing w:after="80"/>
      </w:pPr>
      <w:r>
        <w:t>On behalf of [Company name], I am writing to inform you about a recent incident in which</w:t>
      </w:r>
    </w:p>
    <w:p>
      <w:pPr>
        <w:spacing w:after="80"/>
      </w:pPr>
      <w:r>
        <w:t>personal information relating to [state] residents [was / may have been] accessed by an</w:t>
      </w:r>
    </w:p>
    <w:p>
      <w:pPr>
        <w:spacing w:after="80"/>
      </w:pPr>
      <w:r>
        <w:t>unauthorized third party.</w:t>
      </w:r>
    </w:p>
    <w:p>
      <w:pPr>
        <w:spacing w:after="80"/>
      </w:pPr>
      <w:r>
        <w:t>Specifically, [on [date],] we [recently] [discovered / were notified] that, [on [date]], [insert</w:t>
      </w:r>
    </w:p>
    <w:p>
      <w:pPr>
        <w:spacing w:after="80"/>
      </w:pPr>
      <w:r>
        <w:t>general description of the incident]. Through our investigation, we have determined that the</w:t>
      </w:r>
    </w:p>
    <w:p>
      <w:pPr>
        <w:spacing w:after="80"/>
      </w:pPr>
      <w:r>
        <w:t>third party [may have accessed / accessed] the name and [insert types of personal information</w:t>
      </w:r>
    </w:p>
    <w:p>
      <w:pPr>
        <w:spacing w:after="80"/>
      </w:pPr>
      <w:r>
        <w:t>involved in the breach covered by applicable state law] relating to [describe relationship to</w:t>
      </w:r>
    </w:p>
    <w:p>
      <w:pPr>
        <w:spacing w:after="80"/>
      </w:pPr>
      <w:r>
        <w:t>consumers, e.g., company employees, customers]. We [insert general description of steps</w:t>
      </w:r>
    </w:p>
    <w:p>
      <w:pPr>
        <w:spacing w:after="80"/>
      </w:pPr>
      <w:r>
        <w:t>the business has taken or plans to take relating to the incident]</w:t>
      </w:r>
    </w:p>
    <w:p>
      <w:pPr>
        <w:spacing w:after="80"/>
      </w:pPr>
      <w:r>
        <w:t>We will notify [number] [state] residents of this incident on [date]. Attached is a sample of the</w:t>
      </w:r>
    </w:p>
    <w:p>
      <w:pPr>
        <w:spacing w:after="80"/>
      </w:pPr>
      <w:r>
        <w:t>letter that we are providing to [state] residents. [For Louisiana only: Also attached is a list of</w:t>
      </w:r>
    </w:p>
    <w:p>
      <w:pPr>
        <w:spacing w:after="80"/>
      </w:pPr>
      <w:r>
        <w:t>the names of the Louisiana residents to whom we are providing notice.]</w:t>
      </w:r>
    </w:p>
    <w:p>
      <w:pPr>
        <w:spacing w:after="80"/>
      </w:pPr>
      <w:r>
        <w:t>Please do not hesitate to contact me at [telephone number] if you have any questions or</w:t>
      </w:r>
    </w:p>
    <w:p>
      <w:pPr>
        <w:spacing w:after="80"/>
      </w:pPr>
      <w:r>
        <w:t>concerns.</w:t>
      </w:r>
    </w:p>
    <w:p>
      <w:pPr>
        <w:spacing w:after="80"/>
      </w:pPr>
      <w:r>
        <w:t>Sincerely,</w:t>
      </w:r>
    </w:p>
    <w:p>
      <w:pPr>
        <w:spacing w:after="80"/>
      </w:pPr>
      <w:r>
        <w:t>[Name]</w:t>
      </w:r>
    </w:p>
    <w:p>
      <w:pPr>
        <w:spacing w:after="80"/>
      </w:pPr>
      <w:r>
        <w:t>[Title]</w:t>
      </w:r>
    </w:p>
    <w:p>
      <w:pPr>
        <w:spacing w:after="80"/>
      </w:pPr>
      <w:r>
        <w:t>Attachment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Template Credit Reporting Agency Notification</w:t>
      </w:r>
    </w:p>
    <w:p>
      <w:pPr>
        <w:spacing w:after="80"/>
      </w:pPr>
      <w:r>
        <w:t>The following provides a template notice that Incident Response Team may revise, as</w:t>
      </w:r>
    </w:p>
    <w:p>
      <w:pPr>
        <w:spacing w:after="80"/>
      </w:pPr>
      <w:r>
        <w:t>appropriate, to provide notice of an Incident to a credit reporting agency, as required by the</w:t>
      </w:r>
    </w:p>
    <w:p>
      <w:pPr>
        <w:spacing w:after="80"/>
      </w:pPr>
      <w:r>
        <w:t>relevant state security breach notification laws.</w:t>
      </w:r>
    </w:p>
    <w:p>
      <w:pPr>
        <w:spacing w:after="80"/>
      </w:pPr>
      <w:r>
        <w:t>The language that is highlighted in yellow is language that should be modified to account</w:t>
      </w:r>
    </w:p>
    <w:p>
      <w:pPr>
        <w:spacing w:after="80"/>
      </w:pPr>
      <w:r>
        <w:t>for the specific facts surrounding a particular incident.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Template Credit Reporting Agency Breach Notice</w:t>
      </w:r>
    </w:p>
    <w:p>
      <w:pPr>
        <w:spacing w:after="80"/>
      </w:pPr>
      <w:r>
        <w:t>[Date]</w:t>
      </w:r>
    </w:p>
    <w:p>
      <w:pPr>
        <w:spacing w:after="80"/>
      </w:pPr>
      <w:r>
        <w:t>Experian Security</w:t>
      </w:r>
    </w:p>
    <w:p>
      <w:pPr>
        <w:spacing w:after="80"/>
      </w:pPr>
      <w:r>
        <w:t>Assistance</w:t>
      </w:r>
    </w:p>
    <w:p>
      <w:pPr>
        <w:spacing w:after="80"/>
      </w:pPr>
      <w:r>
        <w:t>P.O. Box 72</w:t>
      </w:r>
    </w:p>
    <w:p>
      <w:pPr>
        <w:spacing w:after="80"/>
      </w:pPr>
      <w:r>
        <w:t>Allen, TX 75013</w:t>
      </w:r>
    </w:p>
    <w:p>
      <w:pPr>
        <w:spacing w:after="80"/>
      </w:pPr>
      <w:r>
        <w:t>[Mail or e-mail to</w:t>
      </w:r>
    </w:p>
    <w:p>
      <w:pPr>
        <w:spacing w:after="80"/>
      </w:pPr>
      <w:r>
        <w:t>BusinessRecordsVictimA</w:t>
      </w:r>
    </w:p>
    <w:p>
      <w:pPr>
        <w:spacing w:after="80"/>
      </w:pPr>
      <w:r>
        <w:t>ssistance@experian.com.]</w:t>
      </w:r>
    </w:p>
    <w:p>
      <w:pPr>
        <w:spacing w:after="80"/>
      </w:pPr>
      <w:r>
        <w:t>TransUnion LLC</w:t>
      </w:r>
    </w:p>
    <w:p>
      <w:pPr>
        <w:spacing w:after="80"/>
      </w:pPr>
      <w:r>
        <w:t>P.O. Box 2000</w:t>
      </w:r>
    </w:p>
    <w:p>
      <w:pPr>
        <w:spacing w:after="80"/>
      </w:pPr>
      <w:r>
        <w:t>Chester, PA 19022-2000</w:t>
      </w:r>
    </w:p>
    <w:p>
      <w:pPr>
        <w:spacing w:after="80"/>
      </w:pPr>
      <w:r>
        <w:t>[E-mail to</w:t>
      </w:r>
    </w:p>
    <w:p>
      <w:pPr>
        <w:spacing w:after="80"/>
      </w:pPr>
      <w:r>
        <w:t>fvad@transunion.com]</w:t>
      </w:r>
    </w:p>
    <w:p>
      <w:pPr>
        <w:spacing w:after="80"/>
      </w:pPr>
      <w:r>
        <w:t>Equifax</w:t>
      </w:r>
    </w:p>
    <w:p>
      <w:pPr>
        <w:spacing w:after="80"/>
      </w:pPr>
      <w:r>
        <w:t>U.S. Consumer Services</w:t>
      </w:r>
    </w:p>
    <w:p>
      <w:pPr>
        <w:spacing w:after="80"/>
      </w:pPr>
      <w:r>
        <w:t>[E-mail to:</w:t>
      </w:r>
    </w:p>
    <w:p>
      <w:pPr>
        <w:spacing w:after="80"/>
      </w:pPr>
      <w:r>
        <w:t>security.dataadministration</w:t>
      </w:r>
    </w:p>
    <w:p>
      <w:pPr>
        <w:spacing w:after="80"/>
      </w:pPr>
      <w:r>
        <w:t>@equifax.com]</w:t>
      </w:r>
    </w:p>
    <w:p>
      <w:pPr>
        <w:spacing w:after="80"/>
      </w:pPr>
      <w:r>
        <w:t>To Whom It May Concern:</w:t>
      </w:r>
    </w:p>
    <w:p>
      <w:pPr>
        <w:spacing w:after="80"/>
      </w:pPr>
      <w:r>
        <w:t>On behalf of [company], I am writing to inform you that [company] will provide notice of a</w:t>
      </w:r>
    </w:p>
    <w:p>
      <w:pPr>
        <w:spacing w:after="80"/>
      </w:pPr>
      <w:r>
        <w:t>recent security incident to [number] U.S. residents. [Company] will begin mailing these letters</w:t>
      </w:r>
    </w:p>
    <w:p>
      <w:pPr>
        <w:spacing w:after="80"/>
      </w:pPr>
      <w:r>
        <w:t>on [date]. A sample of this consumer letter is attached.</w:t>
      </w:r>
    </w:p>
    <w:p>
      <w:pPr>
        <w:spacing w:after="80"/>
      </w:pPr>
      <w:r>
        <w:t>[If applicable, the Oregon law requires that the notice include a police report number, if</w:t>
      </w:r>
    </w:p>
    <w:p>
      <w:pPr>
        <w:spacing w:after="80"/>
      </w:pPr>
      <w:r>
        <w:t>available.]</w:t>
      </w:r>
    </w:p>
    <w:p>
      <w:pPr>
        <w:spacing w:after="80"/>
      </w:pPr>
      <w:r>
        <w:t>Please do not hesitate to contact me at [number] if you have any questions.</w:t>
      </w:r>
    </w:p>
    <w:p>
      <w:pPr>
        <w:spacing w:after="80"/>
      </w:pPr>
      <w:r>
        <w:t>Sincerely,</w:t>
      </w:r>
    </w:p>
    <w:p>
      <w:pPr>
        <w:spacing w:after="80"/>
      </w:pPr>
      <w:r>
        <w:t>[Contact]</w:t>
      </w:r>
    </w:p>
    <w:p>
      <w:pPr>
        <w:spacing w:after="80"/>
      </w:pPr>
      <w:r>
        <w:t>Attachment</w:t>
      </w:r>
    </w:p>
    <w:p>
      <w:pPr>
        <w:spacing w:after="80"/>
      </w:pPr>
      <w:r>
        <w:t>49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Document Revision History</w:t>
      </w:r>
    </w:p>
    <w:p>
      <w:pPr>
        <w:spacing w:after="80"/>
      </w:pPr>
      <w:r>
        <w:t>Document Author                            Yarbrough Law / Acme Company CISO</w:t>
      </w:r>
    </w:p>
    <w:p>
      <w:pPr>
        <w:spacing w:after="80"/>
      </w:pPr>
      <w:r>
        <w:t>Maintained By                              Information Risk Management Department</w:t>
      </w:r>
    </w:p>
    <w:p>
      <w:pPr>
        <w:spacing w:after="80"/>
      </w:pPr>
      <w:r>
        <w:t>Method Published                           Living Document (annual review)</w:t>
      </w:r>
    </w:p>
    <w:p>
      <w:pPr>
        <w:spacing w:after="80"/>
      </w:pPr>
      <w:r>
        <w:t>Date Created                               March 30, 2016</w:t>
      </w:r>
    </w:p>
    <w:p>
      <w:pPr>
        <w:spacing w:after="80"/>
      </w:pPr>
      <w:r>
        <w:t>Date Approval requested                    March 30, 2016</w:t>
      </w:r>
    </w:p>
    <w:p>
      <w:pPr>
        <w:spacing w:after="80"/>
      </w:pPr>
      <w:r>
        <w:t>Date document put into effect by default</w:t>
      </w:r>
    </w:p>
    <w:p>
      <w:pPr>
        <w:spacing w:after="80"/>
      </w:pPr>
      <w:r>
        <w:t>Last Review Date                           May 23, 2016</w:t>
      </w:r>
    </w:p>
    <w:p>
      <w:pPr>
        <w:spacing w:after="80"/>
      </w:pPr>
      <w:r>
        <w:t>Document Version                           V1.1</w:t>
      </w:r>
    </w:p>
    <w:p>
      <w:pPr>
        <w:spacing w:after="80"/>
      </w:pPr>
      <w:r>
        <w:t>Acme Company Gaming Corporation CONFIDENTIAL                       Incident Response Plan</w:t>
      </w:r>
    </w:p>
    <w:p>
      <w:pPr>
        <w:spacing w:after="80"/>
      </w:pPr>
      <w:r>
        <w:t>50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Appendix L - DEFINITIONS</w:t>
      </w:r>
    </w:p>
    <w:p>
      <w:pPr>
        <w:spacing w:after="80"/>
      </w:pPr>
      <w:r>
        <w:t>1). Acme Company or the Company</w:t>
      </w:r>
    </w:p>
    <w:p>
      <w:pPr>
        <w:spacing w:after="80"/>
      </w:pPr>
      <w:r>
        <w:t>ACME COMPANY, including its subsidiaries and affiliates.</w:t>
      </w:r>
    </w:p>
    <w:p>
      <w:pPr>
        <w:spacing w:after="80"/>
      </w:pPr>
      <w:r>
        <w:t>2). Acme Company Business Information</w:t>
      </w:r>
    </w:p>
    <w:p>
      <w:pPr>
        <w:spacing w:after="80"/>
      </w:pPr>
      <w:r>
        <w:t>Any information the compromise of which may cause harm to Acme Company business,</w:t>
      </w:r>
    </w:p>
    <w:p>
      <w:pPr>
        <w:spacing w:after="80"/>
      </w:pPr>
      <w:r>
        <w:t>including: securities filings before they are made public; business plans that are</w:t>
      </w:r>
    </w:p>
    <w:p>
      <w:pPr>
        <w:spacing w:after="80"/>
      </w:pPr>
      <w:r>
        <w:t>non-public; or terms of commercial agreements.</w:t>
      </w:r>
    </w:p>
    <w:p>
      <w:pPr>
        <w:spacing w:after="80"/>
      </w:pPr>
      <w:r>
        <w:t>3). Card Validation Value or Code</w:t>
      </w:r>
    </w:p>
    <w:p>
      <w:pPr>
        <w:spacing w:after="80"/>
      </w:pPr>
      <w:r>
        <w:t>The three-digit, or in certain cases four-digit, value typically printed on the</w:t>
      </w:r>
    </w:p>
    <w:p>
      <w:pPr>
        <w:spacing w:after="80"/>
      </w:pPr>
      <w:r>
        <w:t>signature panel area of a payment card and used to verify card-not-present</w:t>
      </w:r>
    </w:p>
    <w:p>
      <w:pPr>
        <w:spacing w:after="80"/>
      </w:pPr>
      <w:r>
        <w:t>transactions.</w:t>
      </w:r>
    </w:p>
    <w:p>
      <w:pPr>
        <w:spacing w:after="80"/>
      </w:pPr>
      <w:r>
        <w:t>Article II.      CVC2 Card Validation Code 2 (MasterCard)</w:t>
      </w:r>
    </w:p>
    <w:p>
      <w:pPr>
        <w:spacing w:after="80"/>
      </w:pPr>
      <w:r>
        <w:t>Article III.     CVV2 Card Verification Value 2 (Visa)</w:t>
      </w:r>
    </w:p>
    <w:p>
      <w:pPr>
        <w:spacing w:after="80"/>
      </w:pPr>
      <w:r>
        <w:t>Article IV.      CID Card Identification Number (American Express and Discover)</w:t>
      </w:r>
    </w:p>
    <w:p>
      <w:pPr>
        <w:spacing w:after="80"/>
      </w:pPr>
      <w:r>
        <w:t>4). Cardholder</w:t>
      </w:r>
    </w:p>
    <w:p>
      <w:pPr>
        <w:spacing w:after="80"/>
      </w:pPr>
      <w:r>
        <w:t>The individual to whom a payment card has been issued.</w:t>
      </w:r>
    </w:p>
    <w:p>
      <w:pPr>
        <w:spacing w:after="80"/>
      </w:pPr>
      <w:r>
        <w:t>5). Cardholder Data</w:t>
      </w:r>
    </w:p>
    <w:p>
      <w:pPr>
        <w:spacing w:after="80"/>
      </w:pPr>
      <w:r>
        <w:t>Information about a Cardholder’s payment card (i.e., primary account number,</w:t>
      </w:r>
    </w:p>
    <w:p>
      <w:pPr>
        <w:spacing w:after="80"/>
      </w:pPr>
      <w:r>
        <w:t>magnetic stripe, service code, expiration date, other electronic data gathered by the</w:t>
      </w:r>
    </w:p>
    <w:p>
      <w:pPr>
        <w:spacing w:after="80"/>
      </w:pPr>
      <w:r>
        <w:t>merchant/agent, etc.). This term also accounts for other confidential information</w:t>
      </w:r>
    </w:p>
    <w:p>
      <w:pPr>
        <w:spacing w:after="80"/>
      </w:pPr>
      <w:r>
        <w:t>gathered about the Cardholder (i.e., data provided by the Cardholder, addresses,</w:t>
      </w:r>
    </w:p>
    <w:p>
      <w:pPr>
        <w:spacing w:after="80"/>
      </w:pPr>
      <w:r>
        <w:t>telephone numbers, etc.).</w:t>
      </w:r>
    </w:p>
    <w:p>
      <w:pPr>
        <w:spacing w:after="80"/>
      </w:pPr>
      <w:r>
        <w:t>6). Compromise</w:t>
      </w:r>
    </w:p>
    <w:p>
      <w:pPr>
        <w:spacing w:after="80"/>
      </w:pPr>
      <w:r>
        <w:t>Intrusion into computer system where unauthorized disclosure, modification, or</w:t>
      </w:r>
    </w:p>
    <w:p>
      <w:pPr>
        <w:spacing w:after="80"/>
      </w:pPr>
      <w:r>
        <w:t>destruction of Cardholder Data or Personal Information, may have occurred.</w:t>
      </w:r>
    </w:p>
    <w:p>
      <w:pPr>
        <w:spacing w:after="80"/>
      </w:pPr>
      <w:r>
        <w:t>7). Core Incident Response Team or Core IRT</w:t>
      </w:r>
    </w:p>
    <w:p>
      <w:pPr>
        <w:spacing w:after="80"/>
      </w:pPr>
      <w:r>
        <w:t>The Acme Company personnel who shall be responsible for: (1) reviewing and confirming if</w:t>
      </w:r>
    </w:p>
    <w:p>
      <w:pPr>
        <w:spacing w:after="80"/>
      </w:pPr>
      <w:r>
        <w:t>an Event qualifies as an Incident; and (2) where an Event qualifies as an Incident,</w:t>
      </w:r>
    </w:p>
    <w:p>
      <w:pPr>
        <w:spacing w:after="80"/>
      </w:pPr>
      <w:r>
        <w:t>organizing an Incident Response Team to investigate and respond to the Incident.</w:t>
      </w:r>
    </w:p>
    <w:p>
      <w:pPr>
        <w:spacing w:after="80"/>
      </w:pPr>
      <w:r>
        <w:t>The Core Incident Response Team Members shall be comprised of the personnel</w:t>
      </w:r>
    </w:p>
    <w:p>
      <w:pPr>
        <w:spacing w:after="80"/>
      </w:pPr>
      <w:r>
        <w:t>designated on Appendix C, which generally includes the members of IT Governance,</w:t>
      </w:r>
    </w:p>
    <w:p>
      <w:pPr>
        <w:spacing w:after="80"/>
      </w:pPr>
      <w:r>
        <w:t>the IT Security Manager, the Chief Information Officer, the Chief Business</w:t>
      </w:r>
    </w:p>
    <w:p>
      <w:pPr>
        <w:spacing w:after="80"/>
      </w:pPr>
      <w:r>
        <w:t>Acme Company Gaming Corporation CONFIDENTIAL                                  Incident Response Plan</w:t>
      </w:r>
    </w:p>
    <w:p>
      <w:pPr>
        <w:spacing w:after="80"/>
      </w:pPr>
      <w:r>
        <w:t>51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Development Officer, and members from Legal, Corporate Communications and</w:t>
      </w:r>
    </w:p>
    <w:p>
      <w:pPr>
        <w:spacing w:after="80"/>
      </w:pPr>
      <w:r>
        <w:t>Emergency Management.</w:t>
      </w:r>
    </w:p>
    <w:p>
      <w:pPr>
        <w:spacing w:after="80"/>
      </w:pPr>
      <w:r>
        <w:t>8). Incident Response Team or IRT</w:t>
      </w:r>
    </w:p>
    <w:p>
      <w:pPr>
        <w:spacing w:after="80"/>
      </w:pPr>
      <w:r>
        <w:t>The Acme Company personnel who will be responsible for investigating, responding to and</w:t>
      </w:r>
    </w:p>
    <w:p>
      <w:pPr>
        <w:spacing w:after="80"/>
      </w:pPr>
      <w:r>
        <w:t>remediating each identified Incident as appropriate under the circumstances.</w:t>
      </w:r>
    </w:p>
    <w:p>
      <w:pPr>
        <w:spacing w:after="80"/>
      </w:pPr>
      <w:r>
        <w:t>9). CISO Group</w:t>
      </w:r>
    </w:p>
    <w:p>
      <w:pPr>
        <w:spacing w:after="80"/>
      </w:pPr>
      <w:r>
        <w:t>The Information Technology positions that make up the IT Governance group:</w:t>
      </w:r>
    </w:p>
    <w:p>
      <w:pPr>
        <w:pStyle w:val="ListBullet"/>
      </w:pPr>
      <w:r>
        <w:t xml:space="preserve">  Vice President and Chief Information Security Officer (CISO)</w:t>
      </w:r>
    </w:p>
    <w:p>
      <w:pPr>
        <w:spacing w:after="80"/>
      </w:pPr>
      <w:r>
        <w:t>◦   IT Security Manager</w:t>
      </w:r>
    </w:p>
    <w:p>
      <w:pPr>
        <w:spacing w:after="80"/>
      </w:pPr>
      <w:r>
        <w:t>◦   ITIL Process Manager &amp; Admin of Policies, Procedures, Standards &amp; Processes</w:t>
      </w:r>
    </w:p>
    <w:p>
      <w:pPr>
        <w:spacing w:after="80"/>
      </w:pPr>
      <w:r>
        <w:t>◦   IT Director of Technical Services</w:t>
      </w:r>
    </w:p>
    <w:p>
      <w:pPr>
        <w:spacing w:after="80"/>
      </w:pPr>
      <w:r>
        <w:t>◦   Network Engineering Manager</w:t>
      </w:r>
    </w:p>
    <w:p>
      <w:pPr>
        <w:spacing w:after="80"/>
      </w:pPr>
      <w:r>
        <w:t>◦   Systems Engineering Manager</w:t>
      </w:r>
    </w:p>
    <w:p>
      <w:pPr>
        <w:spacing w:after="80"/>
      </w:pPr>
      <w:r>
        <w:t>◦   IT Audit Manager</w:t>
      </w:r>
    </w:p>
    <w:p>
      <w:pPr>
        <w:spacing w:after="80"/>
      </w:pPr>
      <w:r>
        <w:t>◦   IT Director of Business Applications &amp; Development</w:t>
      </w:r>
    </w:p>
    <w:p>
      <w:pPr>
        <w:spacing w:after="80"/>
      </w:pPr>
      <w:r>
        <w:t>◦   IT Director of Support Operations</w:t>
      </w:r>
    </w:p>
    <w:p>
      <w:pPr>
        <w:spacing w:after="80"/>
      </w:pPr>
      <w:r>
        <w:t>10). IT Escalation Review Team or Escalation Review Team</w:t>
      </w:r>
    </w:p>
    <w:p>
      <w:pPr>
        <w:spacing w:after="80"/>
      </w:pPr>
      <w:r>
        <w:t>The Acme Company personnel who shall be responsible for initially determining if an Event</w:t>
      </w:r>
    </w:p>
    <w:p>
      <w:pPr>
        <w:spacing w:after="80"/>
      </w:pPr>
      <w:r>
        <w:t>qualifies as an Incident. The Escalation Review Team shall be comprised of the</w:t>
      </w:r>
    </w:p>
    <w:p>
      <w:pPr>
        <w:spacing w:after="80"/>
      </w:pPr>
      <w:r>
        <w:t>CISO and the members of the Incident Response Team.</w:t>
      </w:r>
    </w:p>
    <w:p>
      <w:pPr>
        <w:spacing w:after="80"/>
      </w:pPr>
      <w:r>
        <w:t>11). Magnetic Stripe Data (Track Data)</w:t>
      </w:r>
    </w:p>
    <w:p>
      <w:pPr>
        <w:spacing w:after="80"/>
      </w:pPr>
      <w:r>
        <w:t>The data encoded on the magnetic stripe on the back of all payment cards that is used</w:t>
      </w:r>
    </w:p>
    <w:p>
      <w:pPr>
        <w:spacing w:after="80"/>
      </w:pPr>
      <w:r>
        <w:t>for authorization during a card present transaction. Acme Company may not retain full</w:t>
      </w:r>
    </w:p>
    <w:p>
      <w:pPr>
        <w:spacing w:after="80"/>
      </w:pPr>
      <w:r>
        <w:t>magnetic stripe data subsequent to transaction authorization. Specifically, subsequent</w:t>
      </w:r>
    </w:p>
    <w:p>
      <w:pPr>
        <w:spacing w:after="80"/>
      </w:pPr>
      <w:r>
        <w:t>to authorization, service codes, discretionary data/CVV/CVC/CID, and payment card</w:t>
      </w:r>
    </w:p>
    <w:p>
      <w:pPr>
        <w:spacing w:after="80"/>
      </w:pPr>
      <w:r>
        <w:t>reserved values must be purged; however, the primary account number, expiration</w:t>
      </w:r>
    </w:p>
    <w:p>
      <w:pPr>
        <w:spacing w:after="80"/>
      </w:pPr>
      <w:r>
        <w:t>date, and name may be extracted and retained.</w:t>
      </w:r>
    </w:p>
    <w:p>
      <w:pPr>
        <w:spacing w:after="80"/>
      </w:pPr>
      <w:r>
        <w:t>12). Merchant Bank</w:t>
      </w:r>
    </w:p>
    <w:p>
      <w:pPr>
        <w:spacing w:after="80"/>
      </w:pPr>
      <w:r>
        <w:t>A financial institution that initiates and maintains contractual agreements with</w:t>
      </w:r>
    </w:p>
    <w:p>
      <w:pPr>
        <w:spacing w:after="80"/>
      </w:pPr>
      <w:r>
        <w:t>merchants to allow merchants to accept payment card transactions.</w:t>
      </w:r>
    </w:p>
    <w:p>
      <w:pPr>
        <w:spacing w:after="80"/>
      </w:pPr>
      <w:r>
        <w:t>13). Payment Card/Payment Card Company</w:t>
      </w:r>
    </w:p>
    <w:p>
      <w:pPr>
        <w:spacing w:after="80"/>
      </w:pPr>
      <w:r>
        <w:t>A phrase used to describe credit and debit cards that contain the American Express,</w:t>
      </w:r>
    </w:p>
    <w:p>
      <w:pPr>
        <w:spacing w:after="80"/>
      </w:pPr>
      <w:r>
        <w:t>Discover Financial Services, JCB, MasterCard Worldwide and Visa International</w:t>
      </w:r>
    </w:p>
    <w:p>
      <w:pPr>
        <w:spacing w:after="80"/>
      </w:pPr>
      <w:r>
        <w:t>logos.</w:t>
      </w:r>
    </w:p>
    <w:p>
      <w:pPr>
        <w:spacing w:after="80"/>
      </w:pPr>
      <w:r>
        <w:t>Acme Company Gaming Corporation CONFIDENTIAL                                 Incident Response Plan</w:t>
      </w:r>
    </w:p>
    <w:p>
      <w:pPr>
        <w:spacing w:after="80"/>
      </w:pPr>
      <w:r>
        <w:t>52</w:t>
      </w:r>
    </w:p>
    <w:p>
      <w:pPr>
        <w:spacing w:after="80"/>
      </w:pPr>
      <w:r>
        <w:t>INCIDENT RESPONSE PLAN</w:t>
      </w:r>
    </w:p>
    <w:p>
      <w:pPr>
        <w:spacing w:after="80"/>
      </w:pPr>
      <w:r>
        <w:t>14). Personal Information/ Personally Identifiable Information / PII</w:t>
      </w:r>
    </w:p>
    <w:p>
      <w:pPr>
        <w:spacing w:after="80"/>
      </w:pPr>
      <w:r>
        <w:t>Any information that can identify an individual or relates to an identifiable individual,</w:t>
      </w:r>
    </w:p>
    <w:p>
      <w:pPr>
        <w:spacing w:after="80"/>
      </w:pPr>
      <w:r>
        <w:t>including: name; address; email address; telephone number; social security number</w:t>
      </w:r>
    </w:p>
    <w:p>
      <w:pPr>
        <w:spacing w:after="80"/>
      </w:pPr>
      <w:r>
        <w:t>(SSN); employee ID number; driver’s license or state-issued identification card;</w:t>
      </w:r>
    </w:p>
    <w:p>
      <w:pPr>
        <w:spacing w:after="80"/>
      </w:pPr>
      <w:r>
        <w:t>payment card information; financial account information; race; gender; sexual</w:t>
      </w:r>
    </w:p>
    <w:p>
      <w:pPr>
        <w:spacing w:after="80"/>
      </w:pPr>
      <w:r>
        <w:t>orientation; and health, medical or insurance information.</w:t>
      </w:r>
    </w:p>
    <w:p>
      <w:pPr>
        <w:spacing w:after="80"/>
      </w:pPr>
      <w:r>
        <w:t>15). PIN</w:t>
      </w:r>
    </w:p>
    <w:p>
      <w:pPr>
        <w:spacing w:after="80"/>
      </w:pPr>
      <w:r>
        <w:t>Abbreviation for Personal Identification Number, e.g., the four digit security code</w:t>
      </w:r>
    </w:p>
    <w:p>
      <w:pPr>
        <w:spacing w:after="80"/>
      </w:pPr>
      <w:r>
        <w:t>used to verify the customer is the authorized user of a debit card.</w:t>
      </w:r>
    </w:p>
    <w:p>
      <w:pPr>
        <w:spacing w:after="80"/>
      </w:pPr>
      <w:r>
        <w:t>16). PIN Blocks</w:t>
      </w:r>
    </w:p>
    <w:p>
      <w:pPr>
        <w:spacing w:after="80"/>
      </w:pPr>
      <w:r>
        <w:t>Created immediately when a PIN is entered by a Cardholder at a Point of Sale. To</w:t>
      </w:r>
    </w:p>
    <w:p>
      <w:pPr>
        <w:spacing w:after="80"/>
      </w:pPr>
      <w:r>
        <w:t>protect the PIN during electronic transit, it is formatted into a PIN block, the PIN</w:t>
      </w:r>
    </w:p>
    <w:p>
      <w:pPr>
        <w:spacing w:after="80"/>
      </w:pPr>
      <w:r>
        <w:t>block is encrypted under a transport key and the resulting Encrypted PIN Block</w:t>
      </w:r>
    </w:p>
    <w:p>
      <w:pPr>
        <w:spacing w:after="80"/>
      </w:pPr>
      <w:r>
        <w:t>(EPB) is sent for verification.</w:t>
      </w:r>
    </w:p>
    <w:p>
      <w:pPr>
        <w:spacing w:after="80"/>
      </w:pPr>
      <w:r>
        <w:t>17). Primary Account Number (PAN)</w:t>
      </w:r>
    </w:p>
    <w:p>
      <w:pPr>
        <w:spacing w:after="80"/>
      </w:pPr>
      <w:r>
        <w:t>The card number for a credit card or debit card that identifies the issuer and the</w:t>
      </w:r>
    </w:p>
    <w:p>
      <w:pPr>
        <w:spacing w:after="80"/>
      </w:pPr>
      <w:r>
        <w:t>particular Cardholder account.</w:t>
      </w:r>
    </w:p>
    <w:p>
      <w:pPr>
        <w:spacing w:after="80"/>
      </w:pPr>
      <w:r>
        <w:t>18). Security Event or Event</w:t>
      </w:r>
    </w:p>
    <w:p>
      <w:pPr>
        <w:spacing w:after="80"/>
      </w:pPr>
      <w:r>
        <w:t>Any reported suspected situation, event or action that may impact the confidentiality,</w:t>
      </w:r>
    </w:p>
    <w:p>
      <w:pPr>
        <w:spacing w:after="80"/>
      </w:pPr>
      <w:r>
        <w:t>integrity or availability of information that is processed, stored or transmitted using a</w:t>
      </w:r>
    </w:p>
    <w:p>
      <w:pPr>
        <w:spacing w:after="80"/>
      </w:pPr>
      <w:r>
        <w:t>computer or computer system and that: (i) has not yet been determined if such</w:t>
      </w:r>
    </w:p>
    <w:p>
      <w:pPr>
        <w:spacing w:after="80"/>
      </w:pPr>
      <w:r>
        <w:t>situation qualifies as an Incident under the Plan; or (ii) was determined not to qualify</w:t>
      </w:r>
    </w:p>
    <w:p>
      <w:pPr>
        <w:spacing w:after="80"/>
      </w:pPr>
      <w:r>
        <w:t>as an Incident in accordance with the Plan.</w:t>
      </w:r>
    </w:p>
    <w:p>
      <w:pPr>
        <w:spacing w:after="80"/>
      </w:pPr>
      <w:r>
        <w:t>19). Security Incident or Incident</w:t>
      </w:r>
    </w:p>
    <w:p>
      <w:pPr>
        <w:spacing w:after="80"/>
      </w:pPr>
      <w:r>
        <w:t>An adverse event that negatively impacts the confidentiality, integrity or availability</w:t>
      </w:r>
    </w:p>
    <w:p>
      <w:pPr>
        <w:spacing w:after="80"/>
      </w:pPr>
      <w:r>
        <w:t>of information that is processed, stored or transmitted using a computer or computer</w:t>
      </w:r>
    </w:p>
    <w:p>
      <w:pPr>
        <w:spacing w:after="80"/>
      </w:pPr>
      <w:r>
        <w:t>system, such as any situation in which the confidentiality of Acme Company information</w:t>
      </w:r>
    </w:p>
    <w:p>
      <w:pPr>
        <w:spacing w:after="80"/>
      </w:pPr>
      <w:r>
        <w:t>containing Personal Information or Cardholder Data relating to any individual (e.g., a</w:t>
      </w:r>
    </w:p>
    <w:p>
      <w:pPr>
        <w:spacing w:after="80"/>
      </w:pPr>
      <w:r>
        <w:t>current or former customer, employee or vendor) or Acme Company Business Information,</w:t>
      </w:r>
    </w:p>
    <w:p>
      <w:pPr>
        <w:spacing w:after="80"/>
      </w:pPr>
      <w:r>
        <w:t>maintained by Acme Company or an affiliate or service provider, was or may have been</w:t>
      </w:r>
    </w:p>
    <w:p>
      <w:pPr>
        <w:spacing w:after="80"/>
      </w:pPr>
      <w:r>
        <w:t>compromised.</w:t>
      </w:r>
    </w:p>
    <w:p>
      <w:pPr>
        <w:spacing w:after="80"/>
      </w:pPr>
      <w:r>
        <w:t>Acme Company Gaming Corporation CONFIDENTIAL                                   Incident Response Plan</w:t>
      </w:r>
    </w:p>
    <w:p>
      <w:pPr>
        <w:spacing w:after="80"/>
      </w:pPr>
      <w:r>
        <w:t>53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Acme Company CONFIDENTIAL    Incident Response Plan 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