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 w:eastAsia="Microsoft YaHei"/>
          <w:b/>
          <w:color w:val="7A5A00"/>
          <w:sz w:val="20"/>
        </w:rPr>
        <w:t>技术参考 · 坐标变换</w:t>
      </w:r>
    </w:p>
    <w:p>
      <w:pPr>
        <w:spacing w:before="0" w:after="140"/>
      </w:pPr>
      <w:r>
        <w:rPr>
          <w:rFonts w:ascii="Calibri" w:hAnsi="Calibri" w:eastAsia="Microsoft YaHei"/>
          <w:b/>
          <w:color w:val="0B2545"/>
          <w:sz w:val="48"/>
        </w:rPr>
        <w:t>PointCloud 与 Ship</w:t>
        <w:br/>
        <w:t>坐标系及转换矩阵示意图</w:t>
      </w:r>
    </w:p>
    <w:p>
      <w:pPr>
        <w:spacing w:before="0" w:after="280"/>
        <w:pBdr>
          <w:bottom w:val="single" w:sz="8" w:space="8" w:color="D7DBE2"/>
        </w:pBdr>
      </w:pPr>
      <w:r>
        <w:rPr>
          <w:rFonts w:ascii="Calibri" w:hAnsi="Calibri" w:eastAsia="Microsoft YaHei"/>
          <w:color w:val="59636E"/>
          <w:sz w:val="25"/>
        </w:rPr>
        <w:t>基于 calibration.json 固定外参与项目运行时坐标链整理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参考基准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 LiDAR / 融合基准系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矩阵约定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p_B = T_A_to_B × p_A（行主序 4×4 齐次矩阵）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生成日期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2026-07-30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内容范围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固定外参、动态 SLAM/GNSS/泊位链路、相机投影、0xFB/0xFC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先记住一个规则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E252B"/>
                <w:sz w:val="20"/>
              </w:rPr>
              <w:t>箭头 A → B 对应 T_A_to_B；点按列向量参与左乘。连续变换按从右到左的顺序相乘，反向转换使用逆矩阵。</w:t>
            </w:r>
          </w:p>
        </w:tc>
      </w:tr>
    </w:tbl>
    <w:p>
      <w:pPr>
        <w:spacing w:after="0"/>
      </w:pPr>
    </w:p>
    <w:p>
      <w:bookmarkStart w:id="1" w:name="fixed"/>
      <w:pPr>
        <w:pStyle w:val="Heading1"/>
      </w:pPr>
      <w:r>
        <w:t>1. 一图看懂固定外参</w:t>
      </w:r>
      <w:bookmarkEnd w:id="1"/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28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-trans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28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59636E"/>
          <w:sz w:val="18"/>
        </w:rPr>
        <w:t>图 1  固定外参、相机外参与缺失关系（平移量单位：m）</w:t>
      </w:r>
    </w:p>
    <w:p>
      <w:pPr>
        <w:pStyle w:val="ListBullet"/>
      </w:pPr>
      <w:r>
        <w:rPr>
          <w:rFonts w:ascii="Calibri" w:hAnsi="Calibri" w:eastAsia="Microsoft YaHei"/>
          <w:color w:val="1E252B"/>
          <w:sz w:val="21"/>
        </w:rPr>
        <w:t>210 是多雷达融合的统一基准；201、213、214、211 的原生点云先转入 210。</w:t>
      </w:r>
    </w:p>
    <w:p>
      <w:pPr>
        <w:pStyle w:val="ListBullet"/>
      </w:pPr>
      <w:r>
        <w:rPr>
          <w:rFonts w:ascii="Calibri" w:hAnsi="Calibri" w:eastAsia="Microsoft YaHei"/>
          <w:color w:val="1E252B"/>
          <w:sz w:val="21"/>
        </w:rPr>
        <w:t>210 到船体/INS 的固定变换由两段外参复合：T_210_to_body = T_211_to_body × T_210_to_211。</w:t>
      </w:r>
    </w:p>
    <w:p>
      <w:pPr>
        <w:pStyle w:val="ListBullet"/>
      </w:pPr>
      <w:r>
        <w:rPr>
          <w:rFonts w:ascii="Calibri" w:hAnsi="Calibri" w:eastAsia="Microsoft YaHei"/>
          <w:color w:val="1E252B"/>
          <w:sz w:val="21"/>
        </w:rPr>
        <w:t>桥洞左相机具备 211→相机外参以及内参/畸变；右相机只有内参和畸变，当前不能从 210/211 直接投影。</w:t>
      </w:r>
    </w:p>
    <w:p>
      <w:bookmarkStart w:id="2" w:name="frames"/>
      <w:pPr>
        <w:pStyle w:val="Heading1"/>
      </w:pPr>
      <w:r>
        <w:t>2. 坐标系与轴向</w:t>
      </w:r>
      <w:bookmarkEnd w:id="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坐标系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轴向 / 原点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在项目中的用途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 LiDAR / 融合基准系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以 210 雷达为基准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多雷达点云融合、泊位检测、SLAM 输入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船体 / INS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X 船头；Y 右舷；Z 向下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固定传感器安装关系、导航姿态入口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NED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X 北；Y 东；Z 向下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INS 姿态表达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ENU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X 东；Y 北；Z 向上；首个有效 GNSS 为本地原点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本地米制地理坐标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SLAM map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第一帧 210 点云定义原点与方向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累计点云、目标与地图显示；不等于 ENU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泊位局部系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泊位中心为原点，方向角定义局部轴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根据中心、长、宽、角度生成角点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WGS84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经度、纬度、高程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全球绝对地理位置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0xFC 体素索引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0.1 m 栅格；整数索引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点云压缩、分块与网络发送</w:t>
            </w:r>
          </w:p>
        </w:tc>
      </w:tr>
    </w:tbl>
    <w:p>
      <w:pPr>
        <w:spacing w:after="0"/>
      </w:pPr>
    </w:p>
    <w:p>
      <w:bookmarkStart w:id="3" w:name="runtime"/>
      <w:pPr>
        <w:pStyle w:val="Heading1"/>
      </w:pPr>
      <w:r>
        <w:t>3. 运行时完整链路</w:t>
      </w:r>
      <w:bookmarkEnd w:id="3"/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56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-ch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59636E"/>
          <w:sz w:val="18"/>
        </w:rPr>
        <w:t>图 2  SLAM 地图链与 GNSS 地理链并行存在，不应混为同一坐标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重要：不能把 SLAM map 当成 ENU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E252B"/>
                <w:sz w:val="20"/>
              </w:rPr>
              <w:t>项目当前没有固定 T_map_to_ENU。x_map / y_map 仍是 SLAM 局部地图坐标，不能直接解释为东向/北向米制坐标，也不能只加经纬度原点完成严格转换。</w:t>
            </w:r>
          </w:p>
        </w:tc>
      </w:tr>
    </w:tbl>
    <w:p>
      <w:pPr>
        <w:spacing w:after="0"/>
      </w:pPr>
    </w:p>
    <w:p>
      <w:bookmarkStart w:id="4" w:name="formula"/>
      <w:pPr>
        <w:pStyle w:val="Heading1"/>
      </w:pPr>
      <w:r>
        <w:t>4. 主要公式</w:t>
      </w:r>
      <w:bookmarkEnd w:id="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表达式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固定复合外参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T_210_to_body = T_211_to_body × T_210_to_211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 → 船体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p_body = T_210_to_body × p_210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船体 → 210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T_body_to_210 = inverse(T_210_to_body)；p_210 = T_body_to_210 × p_body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 → ENU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p_ENU = T_NED_to_ENU × T_body_to_NED × T_210_to_body × p_210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 → SLAM map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p_map = T_210_to_map × p_210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泊位 → SLAM map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p_map = T_210_to_map × T_berth_to_210 × p_berth</w:t>
            </w:r>
          </w:p>
        </w:tc>
      </w:tr>
    </w:tbl>
    <w:p>
      <w:pPr>
        <w:spacing w:after="0"/>
      </w:pPr>
    </w:p>
    <w:p>
      <w:bookmarkStart w:id="5" w:name="inventory"/>
      <w:pPr>
        <w:pStyle w:val="Heading1"/>
      </w:pPr>
      <w:r>
        <w:t>5. 固定与动态转换清单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450"/>
        <w:gridCol w:w="4080"/>
        <w:gridCol w:w="238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矩阵 / 方法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性质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201 / 213 / 214 / 211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T_*_to_210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固定外参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211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T_210_to_211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固定外参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211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船体 / INS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T_211_to_body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固定外参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船体 / INS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T_210_to_body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固定复合外参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船体 / INS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T_body_to_210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固定逆矩阵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船体 / INS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NED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当前 INS 姿态矩阵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动态，每帧变化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NED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ENU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T_NED_to_ENU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固定轴变换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ENU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WGS84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局部地理坐标转换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非线性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SLAM map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T_210_to_map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动态，由 SLAM 输出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泊位局部系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210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T_berth_to_210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动态，由检测结果决定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SLAM map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0xFC 索引</w:t>
            </w:r>
          </w:p>
        </w:tc>
        <w:tc>
          <w:tcPr>
            <w:tcW w:type="dxa" w:w="40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0.1 m 栅格化</w:t>
            </w:r>
          </w:p>
        </w:tc>
        <w:tc>
          <w:tcPr>
            <w:tcW w:type="dxa" w:w="238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离散转换</w:t>
            </w:r>
          </w:p>
        </w:tc>
      </w:tr>
    </w:tbl>
    <w:p>
      <w:pPr>
        <w:spacing w:after="0"/>
      </w:pPr>
    </w:p>
    <w:p>
      <w:bookmarkStart w:id="6" w:name="protocol"/>
      <w:pPr>
        <w:pStyle w:val="Heading1"/>
      </w:pPr>
      <w:r>
        <w:t>6. 网络协议中的坐标语义</w:t>
      </w:r>
      <w:bookmarkEnd w:id="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5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坐标含义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编码 / 恢复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x / y / z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SLAM map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发送：×10 存 int16；恢复：packet / 10；0.1 m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longitude / latitude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WGS84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发送：×11930464.711111111；接收按同一比例反量化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altitude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WGS84 高程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发送：×10 存 int16；恢复：packet / 10；0.1 m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0xFC voxel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SLAM map 体素中心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(global_index + 0.5) × 0.1 m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E252B"/>
          <w:sz w:val="21"/>
        </w:rPr>
        <w:t>0xFC 栅格分辨率为 0.1 m，分块尺寸为 32 × 32 × 10。</w:t>
      </w:r>
    </w:p>
    <w:p>
      <w:pPr>
        <w:pStyle w:val="ListBullet"/>
      </w:pPr>
      <w:r>
        <w:rPr>
          <w:rFonts w:ascii="Calibri" w:hAnsi="Calibri" w:eastAsia="Microsoft YaHei"/>
          <w:color w:val="1E252B"/>
          <w:sz w:val="21"/>
        </w:rPr>
        <w:t>Ship 接收端只做反量化并保存包头信息，不会把 SLAM map 再转换为船体坐标或 ENU。</w:t>
      </w:r>
    </w:p>
    <w:p>
      <w:bookmarkStart w:id="7" w:name="matrices"/>
      <w:pPr>
        <w:pStyle w:val="Heading1"/>
      </w:pPr>
      <w:r>
        <w:t>附录 A：固定矩阵数值</w:t>
      </w:r>
      <w:bookmarkEnd w:id="7"/>
    </w:p>
    <w:p>
      <w:pPr>
        <w:spacing w:after="160"/>
      </w:pPr>
      <w:r>
        <w:t>以下矩阵均按行主序展示。平移量位于最后一列，单位为米；齐次坐标最后一行为 [0, 0, 0, 1]。</w:t>
      </w:r>
    </w:p>
    <w:p>
      <w:pPr>
        <w:pStyle w:val="Heading2"/>
      </w:pPr>
      <w:r>
        <w:t>A.1 多雷达到 210 融合系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T_210_to_210</w:t>
      </w:r>
      <w:r>
        <w:rPr>
          <w:rFonts w:ascii="Calibri" w:hAnsi="Calibri" w:eastAsia="Microsoft YaHei"/>
          <w:color w:val="59636E"/>
          <w:sz w:val="18"/>
        </w:rPr>
        <w:t xml:space="preserve">  —  210 基准单位阵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[ 1.0000000000   0.0000000000   0.0000000000   0.0000000000]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1.0000000000   0.0000000000   0.0000000000]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1.0000000000   0.0000000000]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T_211_to_210</w:t>
      </w:r>
      <w:r>
        <w:rPr>
          <w:rFonts w:ascii="Calibri" w:hAnsi="Calibri" w:eastAsia="Microsoft YaHei"/>
          <w:color w:val="59636E"/>
          <w:sz w:val="18"/>
        </w:rPr>
        <w:t xml:space="preserve">  —  211 原生系 → 210 融合系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[ 0.6416347543   0.7667985142   0.0180244484   0.2561485143]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[-0.7668231513   0.6418201544  -0.0070102843  -0.1063555967]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[-0.0169439298  -0.0093235223   0.9998129701   0.0069977047]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T_213_to_210</w:t>
      </w:r>
      <w:r>
        <w:rPr>
          <w:rFonts w:ascii="Calibri" w:hAnsi="Calibri" w:eastAsia="Microsoft YaHei"/>
          <w:color w:val="59636E"/>
          <w:sz w:val="18"/>
        </w:rPr>
        <w:t xml:space="preserve">  —  213 原生系 → 210 融合系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[ 0.8988148388   0.4289420519  -0.0902252833  -1.0231772568]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[-0.4148311055   0.8989062232   0.1410062254  -1.0126236883]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[ 0.1415875682  -0.0893102337   0.9858887577  -0.4920311602]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T_201_to_210</w:t>
      </w:r>
      <w:r>
        <w:rPr>
          <w:rFonts w:ascii="Calibri" w:hAnsi="Calibri" w:eastAsia="Microsoft YaHei"/>
          <w:color w:val="59636E"/>
          <w:sz w:val="18"/>
        </w:rPr>
        <w:t xml:space="preserve">  —  201 原生系 → 210 融合系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[-0.2642025071   0.9466835498   0.1843564259  -4.2391828707]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[-0.9639074400  -0.2656920444  -0.0170347986  -12.7556322301]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[ 0.0328554721  -0.1822031671   0.9827118213   4.9636308346]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T_214_to_210</w:t>
      </w:r>
      <w:r>
        <w:rPr>
          <w:rFonts w:ascii="Calibri" w:hAnsi="Calibri" w:eastAsia="Microsoft YaHei"/>
          <w:color w:val="59636E"/>
          <w:sz w:val="18"/>
        </w:rPr>
        <w:t xml:space="preserve">  —  214 原生系 → 210 融合系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[-0.8696290412  -0.4628442850   0.1718153040   0.8920096402]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[ 0.4735037367  -0.8804419331   0.0248236531  -2.1405130560]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[ 0.1397839124   0.1029425580   0.9848163724  -0.4774459018]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pStyle w:val="Heading2"/>
      </w:pPr>
      <w:r>
        <w:t>A.2 210、211 与船体 / INS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T_210_to_211</w:t>
      </w:r>
      <w:r>
        <w:rPr>
          <w:rFonts w:ascii="Calibri" w:hAnsi="Calibri" w:eastAsia="Microsoft YaHei"/>
          <w:color w:val="59636E"/>
          <w:sz w:val="18"/>
        </w:rPr>
        <w:t xml:space="preserve">  —  210 → 211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[ 0.6416347543  -0.7668231513  -0.0169439298  -0.2457911542]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[ 0.7667985142   0.6418201544  -0.0093235223  -0.1280878914]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[ 0.0180244484  -0.0070102843   0.9998129701  -0.0123589146]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T_211_to_body</w:t>
      </w:r>
      <w:r>
        <w:rPr>
          <w:rFonts w:ascii="Calibri" w:hAnsi="Calibri" w:eastAsia="Microsoft YaHei"/>
          <w:color w:val="59636E"/>
          <w:sz w:val="18"/>
        </w:rPr>
        <w:t xml:space="preserve">  —  211 → 船体 / INS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[-0.5260624350   0.8504439720   0.0018343261   8.0000000000]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[ 0.8502844800   0.5259193010   0.0206201755   0.3000000000]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[ 0.0165715965   0.0124071987  -0.9997856990   1.5000000000]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T_210_to_body</w:t>
      </w:r>
      <w:r>
        <w:rPr>
          <w:rFonts w:ascii="Calibri" w:hAnsi="Calibri" w:eastAsia="Microsoft YaHei"/>
          <w:color w:val="59636E"/>
          <w:sz w:val="18"/>
        </w:rPr>
        <w:t xml:space="preserve">  —  由 T_211_to_body × T_210_to_211 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[ 0.3146122956   0.9492160765   0.0028184146   8.0203472477]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[ 0.9492178793  -0.3146167708   0.0013057380   0.0233888590]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[ 0.0021261480   0.0022644883  -0.9999951759   1.5066939023]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T_body_to_210</w:t>
      </w:r>
      <w:r>
        <w:rPr>
          <w:rFonts w:ascii="Calibri" w:hAnsi="Calibri" w:eastAsia="Microsoft YaHei"/>
          <w:color w:val="59636E"/>
          <w:sz w:val="18"/>
        </w:rPr>
        <w:t xml:space="preserve">  —  T_210_to_body 的逆矩阵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[ 0.3146122962   0.9492178797   0.0021261481  -2.5487044416]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[ 0.9492160764  -0.3146167703   0.0022644883  -7.6090959096]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[ 0.0028184146   0.0013057380  -0.9999951756   1.4840514297]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pPr>
        <w:pStyle w:val="Heading2"/>
      </w:pPr>
      <w:r>
        <w:t>A.3 NED → ENU 固定换轴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T_NED_to_ENU</w:t>
      </w:r>
      <w:r>
        <w:rPr>
          <w:rFonts w:ascii="Calibri" w:hAnsi="Calibri" w:eastAsia="Microsoft YaHei"/>
          <w:color w:val="59636E"/>
          <w:sz w:val="18"/>
        </w:rPr>
        <w:t xml:space="preserve">  —  交换北/东轴，并翻转 Z 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[ 0.0000000000   1.0000000000   0.0000000000   0.0000000000]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[ 1.0000000000   0.0000000000   0.0000000000   0.0000000000]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-1.0000000000   0.0000000000]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0.0000000000   1.0000000000]</w:t>
            </w:r>
          </w:p>
        </w:tc>
      </w:tr>
    </w:tbl>
    <w:p>
      <w:bookmarkStart w:id="8" w:name="camera"/>
      <w:pPr>
        <w:pStyle w:val="Heading1"/>
      </w:pPr>
      <w:r>
        <w:t>附录 B：相机标定</w:t>
      </w:r>
      <w:bookmarkEnd w:id="8"/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R_211_to_camera</w:t>
      </w:r>
      <w:r>
        <w:rPr>
          <w:rFonts w:ascii="Calibri" w:hAnsi="Calibri" w:eastAsia="Microsoft YaHei"/>
          <w:color w:val="59636E"/>
          <w:sz w:val="18"/>
        </w:rPr>
        <w:t xml:space="preserve">  —  211 → 桥洞左相机旋转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[ 0.9690700000   0.2466610000   0.0078899700]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[ 0.0087666700  -0.0024562800  -0.9999590000]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[-0.2466320000   0.9690990000  -0.0045427100]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T_211_to_camera</w:t>
      </w:r>
      <w:r>
        <w:rPr>
          <w:rFonts w:ascii="Calibri" w:hAnsi="Calibri" w:eastAsia="Microsoft YaHei"/>
          <w:color w:val="59636E"/>
          <w:sz w:val="18"/>
        </w:rPr>
        <w:t xml:space="preserve">  —  211 → 桥洞左相机平移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[-2.3367900000]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[ 1.9676200000]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[ 7.9897000000]</w:t>
            </w:r>
          </w:p>
        </w:tc>
      </w:tr>
    </w:tbl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K_left</w:t>
      </w:r>
      <w:r>
        <w:rPr>
          <w:rFonts w:ascii="Calibri" w:hAnsi="Calibri" w:eastAsia="Microsoft YaHei"/>
          <w:color w:val="59636E"/>
          <w:sz w:val="18"/>
        </w:rPr>
        <w:t xml:space="preserve">  —  桥洞左相机内参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[ 1123.9566000000   0.0000000000   1012.6613000000]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1124.0072000000   522.1319000000]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1.0000000000]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左相机畸变参数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E252B"/>
                <w:sz w:val="20"/>
              </w:rPr>
              <w:t>[-0.1117000, 0.0965000, -0.0001000, 0.0005000, -0.0042000]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  <w:sz w:val="21"/>
        </w:rPr>
        <w:t>K_right</w:t>
      </w:r>
      <w:r>
        <w:rPr>
          <w:rFonts w:ascii="Calibri" w:hAnsi="Calibri" w:eastAsia="Microsoft YaHei"/>
          <w:color w:val="59636E"/>
          <w:sz w:val="18"/>
        </w:rPr>
        <w:t xml:space="preserve">  —  右可见光相机内参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70" w:type="dxa"/>
              <w:bottom w:w="100" w:type="dxa"/>
              <w:end w:w="170" w:type="dxa"/>
            </w:tcMar>
            <w:vAlign w:val="center"/>
            <w:shd w:fill="F2F4F7"/>
          </w:tcPr>
          <w:p>
            <w:pPr>
              <w:spacing w:before="0" w:after="0" w:line="245" w:lineRule="auto"/>
            </w:pPr>
            <w:r>
              <w:rPr>
                <w:rFonts w:ascii="Consolas" w:hAnsi="Consolas" w:eastAsia="Microsoft YaHei"/>
                <w:color w:val="1E252B"/>
                <w:sz w:val="16"/>
              </w:rPr>
              <w:t>[ 1123.9566017321   0.0000000000   1012.6613449679]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1124.0072234502   522.1319076048]</w:t>
            </w:r>
            <w:r>
              <w:br/>
            </w:r>
            <w:r>
              <w:rPr>
                <w:rFonts w:ascii="Consolas" w:hAnsi="Consolas" w:eastAsia="Microsoft YaHei"/>
                <w:color w:val="1E252B"/>
                <w:sz w:val="16"/>
              </w:rPr>
              <w:t>[ 0.0000000000   0.0000000000   1.0000000000]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右相机畸变参数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E252B"/>
                <w:sz w:val="20"/>
              </w:rPr>
              <w:t>[-0.111741370458708, 0.096569118218854, -0.000111483448781088, 0.000520528614747946, -0.004293509544096]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DEEE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右相机当前缺少的内容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E252B"/>
                <w:sz w:val="20"/>
              </w:rPr>
              <w:t>配置中没有 LiDAR/船体到右相机的外参 R、T，因此只能使用右相机自身的内参与畸变模型，不能从 210/211 三维点直接完成右相机像素投影。</w:t>
            </w:r>
          </w:p>
        </w:tc>
      </w:tr>
    </w:tbl>
    <w:p>
      <w:pPr>
        <w:spacing w:after="0"/>
      </w:pPr>
    </w:p>
    <w:p>
      <w:bookmarkStart w:id="9" w:name="audit"/>
      <w:pPr>
        <w:pStyle w:val="Heading1"/>
      </w:pPr>
      <w:r>
        <w:t>附录 C：数值一致性核验</w:t>
      </w:r>
      <w:bookmarkEnd w:id="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50"/>
        <w:gridCol w:w="2700"/>
        <w:gridCol w:w="3110"/>
      </w:tblGrid>
      <w:tr>
        <w:trPr>
          <w:tblHeader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核验项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5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inverse(T_210_to_211) 与配置 T_211_to_210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最大绝对误差 4.700e-11</w:t>
            </w:r>
          </w:p>
        </w:tc>
        <w:tc>
          <w:tcPr>
            <w:tcW w:type="dxa" w:w="3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数值一致，可视为互逆</w:t>
            </w:r>
          </w:p>
        </w:tc>
      </w:tr>
      <w:tr>
        <w:trPr>
          <w:cantSplit/>
        </w:trPr>
        <w:tc>
          <w:tcPr>
            <w:tcW w:type="dxa" w:w="35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T_body_to_210 × T_210_to_body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单位阵闭合误差 8.882e-16</w:t>
            </w:r>
          </w:p>
        </w:tc>
        <w:tc>
          <w:tcPr>
            <w:tcW w:type="dxa" w:w="3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复合矩阵及其逆矩阵闭合</w:t>
            </w:r>
          </w:p>
        </w:tc>
      </w:tr>
      <w:tr>
        <w:trPr>
          <w:cantSplit/>
        </w:trPr>
        <w:tc>
          <w:tcPr>
            <w:tcW w:type="dxa" w:w="35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T_210_to_body 的来源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T_211_to_body × T_210_to_211</w:t>
            </w:r>
          </w:p>
        </w:tc>
        <w:tc>
          <w:tcPr>
            <w:tcW w:type="dxa" w:w="31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E252B"/>
                <w:sz w:val="18"/>
              </w:rPr>
              <w:t>顺序符合列向量左乘约定</w:t>
            </w:r>
          </w:p>
        </w:tc>
      </w:tr>
    </w:tbl>
    <w:p>
      <w:pPr>
        <w:spacing w:after="0"/>
      </w:pPr>
    </w:p>
    <w:p>
      <w:bookmarkStart w:id="10" w:name="checks"/>
      <w:pPr>
        <w:pStyle w:val="Heading1"/>
      </w:pPr>
      <w:r>
        <w:t>附录 D：使用时的三项检查</w:t>
      </w:r>
      <w:bookmarkEnd w:id="10"/>
    </w:p>
    <w:p>
      <w:pPr>
        <w:pStyle w:val="ListBullet"/>
      </w:pPr>
      <w:r>
        <w:rPr>
          <w:rFonts w:ascii="Calibri" w:hAnsi="Calibri" w:eastAsia="Microsoft YaHei"/>
          <w:color w:val="1E252B"/>
          <w:sz w:val="21"/>
        </w:rPr>
        <w:t>先确认点的源坐标系，再选择 T_源_to_目标；不要仅根据变量名中的 x/y/z 猜坐标语义。</w:t>
      </w:r>
    </w:p>
    <w:p>
      <w:pPr>
        <w:pStyle w:val="ListBullet"/>
      </w:pPr>
      <w:r>
        <w:rPr>
          <w:rFonts w:ascii="Calibri" w:hAnsi="Calibri" w:eastAsia="Microsoft YaHei"/>
          <w:color w:val="1E252B"/>
          <w:sz w:val="21"/>
        </w:rPr>
        <w:t>调试 SLAM 偏移时，同时记录 T_210_to_map、时间戳和当前 INS/GNSS；不要用 ENU 结果替代 map 位姿。</w:t>
      </w:r>
    </w:p>
    <w:p>
      <w:pPr>
        <w:pStyle w:val="ListBullet"/>
      </w:pPr>
      <w:r>
        <w:rPr>
          <w:rFonts w:ascii="Calibri" w:hAnsi="Calibri" w:eastAsia="Microsoft YaHei"/>
          <w:color w:val="1E252B"/>
          <w:sz w:val="21"/>
        </w:rPr>
        <w:t>相机投影前确认使用左相机外参；若切到右相机，必须补齐对应的 LiDAR/船体→右相机外参。</w:t>
      </w:r>
    </w:p>
    <w:p>
      <w:pPr>
        <w:keepNext/>
        <w:spacing w:before="80" w:after="60"/>
      </w:pPr>
      <w:r>
        <w:rPr>
          <w:rFonts w:ascii="Calibri" w:hAnsi="Calibri" w:eastAsia="Microsoft YaHei"/>
          <w:b/>
          <w:color w:val="2E74B5"/>
          <w:sz w:val="23"/>
        </w:rPr>
        <w:t>资料来源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20" w:type="dxa"/>
              <w:start w:w="120" w:type="dxa"/>
              <w:bottom w:w="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外参配置</w:t>
            </w:r>
          </w:p>
        </w:tc>
        <w:tc>
          <w:tcPr>
            <w:tcW w:type="dxa" w:w="7760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 w:val="0"/>
                <w:color w:val="1E252B"/>
                <w:sz w:val="14"/>
              </w:rPr>
              <w:t>D:\1\pc0514\PointCloud20260514\build-PointCloud-x86_windows_msys_pe_64bit-Debug\calibration.json</w:t>
            </w:r>
          </w:p>
        </w:tc>
      </w:tr>
      <w:tr>
        <w:trPr>
          <w:cantSplit/>
        </w:trPr>
        <w:tc>
          <w:tcPr>
            <w:tcW w:type="dxa" w:w="1600"/>
            <w:tcMar>
              <w:top w:w="20" w:type="dxa"/>
              <w:start w:w="120" w:type="dxa"/>
              <w:bottom w:w="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坐标说明</w:t>
            </w:r>
          </w:p>
        </w:tc>
        <w:tc>
          <w:tcPr>
            <w:tcW w:type="dxa" w:w="7760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b w:val="0"/>
                <w:color w:val="1E252B"/>
                <w:sz w:val="14"/>
              </w:rPr>
              <w:t>D:\xwechat_files\wxid_0cfu1zhr4dz022_ae9a\msg\file\2026-07\PointCloud与Ship坐标系及转换关系说明.md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9636E"/>
        <w:sz w:val="18"/>
      </w:rPr>
      <w:t xml:space="preserve">第 </w:t>
    </w:r>
    <w:r>
      <w:rPr>
        <w:rFonts w:ascii="Calibri" w:hAnsi="Calibri" w:eastAsia="Microsoft YaHei"/>
        <w:color w:val="59636E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636E"/>
        <w:sz w:val="18"/>
      </w:rPr>
      <w:t xml:space="preserve"> 页 / 共 </w:t>
    </w:r>
    <w:r>
      <w:rPr>
        <w:rFonts w:ascii="Calibri" w:hAnsi="Calibri" w:eastAsia="Microsoft YaHei"/>
        <w:color w:val="59636E"/>
        <w:sz w:val="18"/>
      </w:rPr>
      <w:fldChar w:fldCharType="begin"/>
      <w:instrText xml:space="preserve">NUMPAGES</w:instrText>
      <w:fldChar w:fldCharType="end"/>
    </w:r>
    <w:r>
      <w:rPr>
        <w:rFonts w:ascii="Calibri" w:hAnsi="Calibri" w:eastAsia="Microsoft YaHei"/>
        <w:color w:val="596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9636E"/>
        <w:sz w:val="17"/>
      </w:rPr>
      <w:t>PointCloud 坐标系与转换矩阵</w:t>
    </w:r>
    <w:r>
      <w:rPr>
        <w:rFonts w:ascii="Calibri" w:hAnsi="Calibri" w:eastAsia="Microsoft YaHei"/>
        <w:color w:val="59636E"/>
        <w:sz w:val="17"/>
      </w:rPr>
      <w:t xml:space="preserve">    技术参考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E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PointCloud 与 Ship 坐标系及转换矩阵示意图</dc:title>
  <dc:subject>多雷达融合、船体/INS、SLAM、GNSS、相机与网络协议坐标关系</dc:subject>
  <dc:creator>Codex</dc:creator>
  <cp:keywords>PointCloud, LiDAR, SLAM, 坐标变换, 外参, 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