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B4F8A"/>
          <w:sz w:val="44"/>
          <w:szCs w:val="44"/>
        </w:rPr>
        <w:t xml:space="preserve">반도체 전문가 에이전트 시스템</w:t>
      </w:r>
    </w:p>
    <w:p>
      <w:pPr>
        <w:spacing w:after="60" w:before="0"/>
        <w:jc w:val="center"/>
      </w:pPr>
      <w:r>
        <w:rPr>
          <w:rFonts w:ascii="Arial" w:cs="Arial" w:eastAsia="Arial" w:hAnsi="Arial"/>
          <w:i/>
          <w:iCs/>
          <w:color w:val="666666"/>
          <w:sz w:val="22"/>
          <w:szCs w:val="22"/>
        </w:rPr>
        <w:t xml:space="preserve">기술 인텔리전스 자동화 파이프라인 설계 보고서</w:t>
      </w:r>
    </w:p>
    <w:p>
      <w:pPr>
        <w:pBdr>
          <w:bottom w:val="single" w:color="1B4F8A" w:sz="8" w:space="6"/>
        </w:pBdr>
        <w:spacing w:after="40" w:before="0"/>
        <w:jc w:val="center"/>
      </w:pPr>
      <w:r>
        <w:rPr>
          <w:rFonts w:ascii="Arial" w:cs="Arial" w:eastAsia="Arial" w:hAnsi="Arial"/>
          <w:color w:val="999999"/>
          <w:sz w:val="18"/>
          <w:szCs w:val="18"/>
        </w:rPr>
        <w:t xml:space="preserve">작성일: 2026-05-09  |  대상 종목: 삼성전자 · SK하이닉스 · 한미반도체</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10"/>
              <w:left w:type="dxa" w:w="180"/>
              <w:bottom w:type="dxa" w:w="110"/>
              <w:right w:type="dxa" w:w="180"/>
            </w:tcMar>
          </w:tcPr>
          <w:p>
            <w:r>
              <w:rPr>
                <w:rFonts w:ascii="Arial" w:cs="Arial" w:eastAsia="Arial" w:hAnsi="Arial"/>
                <w:b/>
                <w:bCs/>
                <w:color w:val="FFFFFF"/>
                <w:sz w:val="25"/>
                <w:szCs w:val="25"/>
              </w:rPr>
              <w:t xml:space="preserve">01  데이터 수집 파트</w:t>
            </w:r>
          </w:p>
        </w:tc>
      </w:tr>
    </w:tbl>
    <w:p>
      <w:pPr>
        <w:spacing w:after="120" w:before="0"/>
      </w:pPr>
      <w:r>
        <w:t xml:space="preserve"/>
      </w:r>
    </w:p>
    <w:p>
      <w:pPr>
        <w:spacing w:after="140" w:before="0"/>
        <w:jc w:val="both"/>
      </w:pPr>
      <w:r>
        <w:rPr>
          <w:rFonts w:ascii="Arial" w:cs="Arial" w:eastAsia="Arial" w:hAnsi="Arial"/>
          <w:color w:val="1A1A1A"/>
          <w:sz w:val="21"/>
          <w:szCs w:val="21"/>
        </w:rPr>
        <w:t xml:space="preserve">본 시스템은 반도체 기술 동향을 실시간으로 파악하기 위해 다섯 가지 채널에서 데이터를 자동 수집한다. APScheduler 기반의 23개 크론 잡이 상시 실행되며, 각 채널은 독립적인 콜렉터 모듈로 구현되어 있다.</w:t>
      </w:r>
    </w:p>
    <w:p>
      <w:pPr>
        <w:pBdr>
          <w:bottom w:val="single" w:color="D6E4F0" w:sz="4" w:space="3"/>
        </w:pBdr>
        <w:spacing w:after="80" w:before="180"/>
      </w:pPr>
      <w:r>
        <w:rPr>
          <w:rFonts w:ascii="Arial" w:cs="Arial" w:eastAsia="Arial" w:hAnsi="Arial"/>
          <w:b/>
          <w:bCs/>
          <w:color w:val="1B4F8A"/>
          <w:sz w:val="22"/>
          <w:szCs w:val="22"/>
        </w:rPr>
        <w:t xml:space="preserve">학술 논문 및 특허</w:t>
      </w:r>
    </w:p>
    <w:p>
      <w:pPr>
        <w:spacing w:after="140" w:before="0"/>
        <w:jc w:val="both"/>
      </w:pPr>
      <w:r>
        <w:rPr>
          <w:rFonts w:ascii="Arial" w:cs="Arial" w:eastAsia="Arial" w:hAnsi="Arial"/>
          <w:color w:val="1A1A1A"/>
          <w:sz w:val="21"/>
          <w:szCs w:val="21"/>
        </w:rPr>
        <w:t xml:space="preserve">학술 논문은 arXiv에서 HBM, EUV, GAA, Cu-Cu 하이브리드 본딩 등 반도체 핵심 키워드를 기반으로 자동 수집된다. 수집된 PDF는 PyMuPDF와 Tesseract OCR을 통해 텍스트로 변환되며, 1,500자 단위로 청킹하여 Qdrant 벡터 DB에 저장된다. 현재 2023년부터 2025년까지의 논문이 수집 완료된 상태이며 HBM·EUV·GAA 도메인을 중심으로 구성되어 있다. 특허 데이터는 KIPRIS Open API를 통해 한국 특허 공개·등록 공보를 수집하며, 삼성전자·SK하이닉스·한미반도체의 핵심 기술 출원을 포함한다. API 서비스 신청 이후 자동 수집 파이프라인이 동일한 방식으로 작동한다.</w:t>
      </w:r>
    </w:p>
    <w:p>
      <w:pPr>
        <w:pBdr>
          <w:bottom w:val="single" w:color="D6E4F0" w:sz="4" w:space="3"/>
        </w:pBdr>
        <w:spacing w:after="80" w:before="180"/>
      </w:pPr>
      <w:r>
        <w:rPr>
          <w:rFonts w:ascii="Arial" w:cs="Arial" w:eastAsia="Arial" w:hAnsi="Arial"/>
          <w:b/>
          <w:bCs/>
          <w:color w:val="1B4F8A"/>
          <w:sz w:val="22"/>
          <w:szCs w:val="22"/>
        </w:rPr>
        <w:t xml:space="preserve">뉴스, 공시, 주가</w:t>
      </w:r>
    </w:p>
    <w:p>
      <w:pPr>
        <w:spacing w:after="140" w:before="0"/>
        <w:jc w:val="both"/>
      </w:pPr>
      <w:r>
        <w:rPr>
          <w:rFonts w:ascii="Arial" w:cs="Arial" w:eastAsia="Arial" w:hAnsi="Arial"/>
          <w:color w:val="1A1A1A"/>
          <w:sz w:val="21"/>
          <w:szCs w:val="21"/>
        </w:rPr>
        <w:t xml:space="preserve">뉴스는 반도체 업계 주요 매체의 RSS 피드를 30분 주기로 폴링하여 수집하며, feedparser 라이브러리로 제목·본문·발행일을 파싱해 TimescaleDB에 저장한다. 기업 공시는 OpenDART API를 통해 3사의 실적·투자·계약 공시를 일간 단위로 수집한다. 주가 데이터는 KRX에서 삼성전자(005930)·SK하이닉스(000660)·한미반도체(042700)의 일간 종가를 수집하여 TimescaleDB의 price_daily 테이블에 시계열로 적재하며, 에이전트 파이프라인의 시장 반영 여부 판단 단계에서 직접 활용된다.</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10"/>
              <w:left w:type="dxa" w:w="180"/>
              <w:bottom w:type="dxa" w:w="110"/>
              <w:right w:type="dxa" w:w="180"/>
            </w:tcMar>
          </w:tcPr>
          <w:p>
            <w:r>
              <w:rPr>
                <w:rFonts w:ascii="Arial" w:cs="Arial" w:eastAsia="Arial" w:hAnsi="Arial"/>
                <w:b/>
                <w:bCs/>
                <w:color w:val="FFFFFF"/>
                <w:sz w:val="25"/>
                <w:szCs w:val="25"/>
              </w:rPr>
              <w:t xml:space="preserve">02  RAG 파이프라인</w:t>
            </w:r>
          </w:p>
        </w:tc>
      </w:tr>
    </w:tbl>
    <w:p>
      <w:pPr>
        <w:spacing w:after="120" w:before="0"/>
      </w:pPr>
      <w:r>
        <w:t xml:space="preserve"/>
      </w:r>
    </w:p>
    <w:p>
      <w:pPr>
        <w:spacing w:after="140" w:before="0"/>
        <w:jc w:val="both"/>
      </w:pPr>
      <w:r>
        <w:rPr>
          <w:rFonts w:ascii="Arial" w:cs="Arial" w:eastAsia="Arial" w:hAnsi="Arial"/>
          <w:color w:val="1A1A1A"/>
          <w:sz w:val="21"/>
          <w:szCs w:val="21"/>
        </w:rPr>
        <w:t xml:space="preserve">수집된 논문·특허 텍스트는 BGE-M3(BAAI/bge-m3) 임베딩 모델을 통해 벡터로 변환된 후 Qdrant Cloud의 semi_knowledge 컬렉션에 저장된다. BGE-M3은 단일 인코딩 패스에서 1,024차원 Dense 벡터와 가변 길이 Sparse 벡터를 동시에 출력하는 것이 특징으로, 이 두 벡터를 모두 활용하는 하이브리드 검색이 본 시스템의 핵심 검색 전략이다.</w:t>
      </w:r>
    </w:p>
    <w:p>
      <w:pPr>
        <w:pBdr>
          <w:bottom w:val="single" w:color="D6E4F0" w:sz="4" w:space="3"/>
        </w:pBdr>
        <w:spacing w:after="80" w:before="180"/>
      </w:pPr>
      <w:r>
        <w:rPr>
          <w:rFonts w:ascii="Arial" w:cs="Arial" w:eastAsia="Arial" w:hAnsi="Arial"/>
          <w:b/>
          <w:bCs/>
          <w:color w:val="1B4F8A"/>
          <w:sz w:val="22"/>
          <w:szCs w:val="22"/>
        </w:rPr>
        <w:t xml:space="preserve">하이브리드 검색 구조</w:t>
      </w:r>
    </w:p>
    <w:p>
      <w:pPr>
        <w:spacing w:after="140" w:before="0"/>
        <w:jc w:val="both"/>
      </w:pPr>
      <w:r>
        <w:rPr>
          <w:rFonts w:ascii="Arial" w:cs="Arial" w:eastAsia="Arial" w:hAnsi="Arial"/>
          <w:color w:val="1A1A1A"/>
          <w:sz w:val="21"/>
          <w:szCs w:val="21"/>
        </w:rPr>
        <w:t xml:space="preserve">검색 시 쿼리는 동일한 BGE-M3 모델로 인코딩되며, Qdrant의 query_points API를 통해 Dense 채널과 Sparse 채널이 병렬로 각 50건씩 검색된다. Dense 검색은 코사인 유사도 기반으로 의미적으로 유사한 문서를 찾고, Sparse 검색은 BM25 방식의 어휘 매칭으로 정확한 키워드가 포함된 문서를 포착한다. 두 채널의 결과는 Reciprocal Rank Fusion(RRF)으로 병합되는데, 각 문서의 점수는 1/(60 + rank) 공식으로 계산되어 양쪽 랭킹에 모두 등장한 문서가 자연스럽게 상위로 부상하는 구조다. 이 방식은 의미 유사도만으로는 놓칠 수 있는 전문 용어 기반 검색을 보완하여 전체적인 재현율과 정밀도를 동시에 높인다.</w:t>
      </w:r>
    </w:p>
    <w:p>
      <w:pPr>
        <w:pBdr>
          <w:bottom w:val="single" w:color="D6E4F0" w:sz="4" w:space="3"/>
        </w:pBdr>
        <w:spacing w:after="80" w:before="180"/>
      </w:pPr>
      <w:r>
        <w:rPr>
          <w:rFonts w:ascii="Arial" w:cs="Arial" w:eastAsia="Arial" w:hAnsi="Arial"/>
          <w:b/>
          <w:bCs/>
          <w:color w:val="1B4F8A"/>
          <w:sz w:val="22"/>
          <w:szCs w:val="22"/>
        </w:rPr>
        <w:t xml:space="preserve">인덱싱 설계</w:t>
      </w:r>
    </w:p>
    <w:p>
      <w:pPr>
        <w:spacing w:after="140" w:before="0"/>
        <w:jc w:val="both"/>
      </w:pPr>
      <w:r>
        <w:rPr>
          <w:rFonts w:ascii="Arial" w:cs="Arial" w:eastAsia="Arial" w:hAnsi="Arial"/>
          <w:color w:val="1A1A1A"/>
          <w:sz w:val="21"/>
          <w:szCs w:val="21"/>
        </w:rPr>
        <w:t xml:space="preserve">각 청크는 SHA-256(doc_uid + chunk_index) 해시로 결정론적 UUID를 생성하여 재인덱싱 시 중복이 발생하지 않는다. 페이로드에는 출처(source)·도메인(hbm/nand/litho/logic/packaging)·연도·기업 코드 등이 저장되어 필터 기반 검색을 지원한다. 현재 HBM·EUV 도메인의 검색 품질(RRF 스코어 0.025~0.031)은 양호한 수준이며, 3D NAND 도메인은 수집 데이터 부족으로 보강이 필요한 상태다.</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10"/>
              <w:left w:type="dxa" w:w="180"/>
              <w:bottom w:type="dxa" w:w="110"/>
              <w:right w:type="dxa" w:w="180"/>
            </w:tcMar>
          </w:tcPr>
          <w:p>
            <w:r>
              <w:rPr>
                <w:rFonts w:ascii="Arial" w:cs="Arial" w:eastAsia="Arial" w:hAnsi="Arial"/>
                <w:b/>
                <w:bCs/>
                <w:color w:val="FFFFFF"/>
                <w:sz w:val="25"/>
                <w:szCs w:val="25"/>
              </w:rPr>
              <w:t xml:space="preserve">03  에이전트 파이프라인 흐름</w:t>
            </w:r>
          </w:p>
        </w:tc>
      </w:tr>
    </w:tbl>
    <w:p>
      <w:pPr>
        <w:spacing w:after="120" w:before="0"/>
      </w:pPr>
      <w:r>
        <w:t xml:space="preserve"/>
      </w:r>
    </w:p>
    <w:p>
      <w:pPr>
        <w:spacing w:after="140" w:before="0"/>
        <w:jc w:val="both"/>
      </w:pPr>
      <w:r>
        <w:rPr>
          <w:rFonts w:ascii="Arial" w:cs="Arial" w:eastAsia="Arial" w:hAnsi="Arial"/>
          <w:color w:val="1A1A1A"/>
          <w:sz w:val="21"/>
          <w:szCs w:val="21"/>
        </w:rPr>
        <w:t xml:space="preserve">에이전트는 논문·특허·뉴스 이벤트(TechEvent)를 입력받아 5단계 파이프라인을 순차 실행한다. 각 단계는 독립 함수로 구현되어 있어 단독 테스트 및 재활용이 가능하며, LLM 호출은 모두 claude-sonnet-4-6 모델을 통해 구조화된 JSON으로 수행된다.</w:t>
      </w:r>
    </w:p>
    <w:p>
      <w:pPr>
        <w:pBdr>
          <w:bottom w:val="single" w:color="D6E4F0" w:sz="4" w:space="3"/>
        </w:pBdr>
        <w:spacing w:after="80" w:before="180"/>
      </w:pPr>
      <w:r>
        <w:rPr>
          <w:rFonts w:ascii="Arial" w:cs="Arial" w:eastAsia="Arial" w:hAnsi="Arial"/>
          <w:b/>
          <w:bCs/>
          <w:color w:val="1B4F8A"/>
          <w:sz w:val="22"/>
          <w:szCs w:val="22"/>
        </w:rPr>
        <w:t xml:space="preserve">①~② 컨텍스트 수집 및 기술 평가</w:t>
      </w:r>
    </w:p>
    <w:p>
      <w:pPr>
        <w:spacing w:after="140" w:before="0"/>
        <w:jc w:val="both"/>
      </w:pPr>
      <w:r>
        <w:rPr>
          <w:rFonts w:ascii="Arial" w:cs="Arial" w:eastAsia="Arial" w:hAnsi="Arial"/>
          <w:color w:val="1A1A1A"/>
          <w:sz w:val="21"/>
          <w:szCs w:val="21"/>
        </w:rPr>
        <w:t xml:space="preserve">첫 번째 단계인 context_collect()는 이벤트 제목과 핵심 기술 키워드를 활용해 3개의 멀티 쿼리를 생성하고, RAG 하이브리드 검색으로 관련 선행 연구와 특허 청크 최대 12개를 수집한다. 이어지는 tech_evaluate() 단계에서는 수집된 컨텍스트와 이벤트 본문을 함께 LLM에 전달하여 기술 혁신성(1~5점), 기술 성숙도(TRL 1~9), 재현 가능성, 선행 기술 존재 여부를 구조화된 형태로 평가한다.</w:t>
      </w:r>
    </w:p>
    <w:p>
      <w:pPr>
        <w:pBdr>
          <w:bottom w:val="single" w:color="D6E4F0" w:sz="4" w:space="3"/>
        </w:pBdr>
        <w:spacing w:after="80" w:before="180"/>
      </w:pPr>
      <w:r>
        <w:rPr>
          <w:rFonts w:ascii="Arial" w:cs="Arial" w:eastAsia="Arial" w:hAnsi="Arial"/>
          <w:b/>
          <w:bCs/>
          <w:color w:val="1B4F8A"/>
          <w:sz w:val="22"/>
          <w:szCs w:val="22"/>
        </w:rPr>
        <w:t xml:space="preserve">③~④ 경쟁 구도 및 기댓값 계산</w:t>
      </w:r>
    </w:p>
    <w:p>
      <w:pPr>
        <w:spacing w:after="140" w:before="0"/>
        <w:jc w:val="both"/>
      </w:pPr>
      <w:r>
        <w:rPr>
          <w:rFonts w:ascii="Arial" w:cs="Arial" w:eastAsia="Arial" w:hAnsi="Arial"/>
          <w:color w:val="1A1A1A"/>
          <w:sz w:val="21"/>
          <w:szCs w:val="21"/>
        </w:rPr>
        <w:t xml:space="preserve">competitive_map() 단계에서는 기술 평가 결과를 바탕으로 수혜 기업과 위협 기업을 종목 코드(005930, 000660, NVDA 등)와 함께 매핑하고, 장비사·소재사 등 간접 영향도 함께 분석한다. calc_expected_value()는 P(기술 실현) × P(수혜 포착) × 임팩트 크기를 종합하여 ev_score(low / medium / high / very_high)와 투자 시계(단기·중기·장기)를 산출한다. TRL이 높고 대형 기관 발표일수록 실현 확률이 높게, 특허 선점이나 단독 기술일수록 수혜 포착 확률이 높게 설정된다.</w:t>
      </w:r>
    </w:p>
    <w:p>
      <w:pPr>
        <w:pBdr>
          <w:bottom w:val="single" w:color="D6E4F0" w:sz="4" w:space="3"/>
        </w:pBdr>
        <w:spacing w:after="80" w:before="180"/>
      </w:pPr>
      <w:r>
        <w:rPr>
          <w:rFonts w:ascii="Arial" w:cs="Arial" w:eastAsia="Arial" w:hAnsi="Arial"/>
          <w:b/>
          <w:bCs/>
          <w:color w:val="1B4F8A"/>
          <w:sz w:val="22"/>
          <w:szCs w:val="22"/>
        </w:rPr>
        <w:t xml:space="preserve">⑤ 시장 반영 여부 및 최종 리포트</w:t>
      </w:r>
    </w:p>
    <w:p>
      <w:pPr>
        <w:spacing w:after="140" w:before="0"/>
        <w:jc w:val="both"/>
      </w:pPr>
      <w:r>
        <w:rPr>
          <w:rFonts w:ascii="Arial" w:cs="Arial" w:eastAsia="Arial" w:hAnsi="Arial"/>
          <w:color w:val="1A1A1A"/>
          <w:sz w:val="21"/>
          <w:szCs w:val="21"/>
        </w:rPr>
        <w:t xml:space="preserve">마지막 market_check() 단계는 Postgres의 price_daily 테이블에서 수혜 기업들의 최근 5일 주가 변화율을 조회한다. 기댓값이 높음에도 주가가 아직 반응하지 않았다면 buy_signal을, 이미 반영되었다면 caution을 출력한다. 전체 분석 결과는 build_report()를 통해 마크다운 리포트로 렌더링되며, 헤드라인(30자 LLM 요약)과 함께 차트 분석 에이전트에게 전달할 수 있는 구조로 설계되어 있다.</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10"/>
              <w:left w:type="dxa" w:w="180"/>
              <w:bottom w:type="dxa" w:w="110"/>
              <w:right w:type="dxa" w:w="180"/>
            </w:tcMar>
          </w:tcPr>
          <w:p>
            <w:r>
              <w:rPr>
                <w:rFonts w:ascii="Arial" w:cs="Arial" w:eastAsia="Arial" w:hAnsi="Arial"/>
                <w:b/>
                <w:bCs/>
                <w:color w:val="FFFFFF"/>
                <w:sz w:val="25"/>
                <w:szCs w:val="25"/>
              </w:rPr>
              <w:t xml:space="preserve">04  향후 계획</w:t>
            </w:r>
          </w:p>
        </w:tc>
      </w:tr>
    </w:tbl>
    <w:p>
      <w:pPr>
        <w:spacing w:after="120" w:before="0"/>
      </w:pPr>
      <w:r>
        <w:t xml:space="preserve"/>
      </w:r>
    </w:p>
    <w:p>
      <w:pPr>
        <w:pBdr>
          <w:bottom w:val="single" w:color="D6E4F0" w:sz="4" w:space="3"/>
        </w:pBdr>
        <w:spacing w:after="80" w:before="180"/>
      </w:pPr>
      <w:r>
        <w:rPr>
          <w:rFonts w:ascii="Arial" w:cs="Arial" w:eastAsia="Arial" w:hAnsi="Arial"/>
          <w:b/>
          <w:bCs/>
          <w:color w:val="1B4F8A"/>
          <w:sz w:val="22"/>
          <w:szCs w:val="22"/>
        </w:rPr>
        <w:t xml:space="preserve">단기 과제 (1~2주)</w:t>
      </w:r>
    </w:p>
    <w:p>
      <w:pPr>
        <w:spacing w:after="140" w:before="0"/>
        <w:jc w:val="both"/>
      </w:pPr>
      <w:r>
        <w:rPr>
          <w:rFonts w:ascii="Arial" w:cs="Arial" w:eastAsia="Arial" w:hAnsi="Arial"/>
          <w:color w:val="1A1A1A"/>
          <w:sz w:val="21"/>
          <w:szCs w:val="21"/>
        </w:rPr>
        <w:t xml:space="preserve">우선 ANTHROPIC_API_KEY를 .env에 등록하여 에이전트 엔드투엔드 실증 테스트를 진행한다. 동시에 KIPRIS API 서비스 신청을 완료하여 한국 특허 청크를 Qdrant에 추가 인덱싱하고, Semantic Scholar API 키 승인 후 학술 논문 커버리지를 확대한다. Google Drive의 retriever.py를 최신 버전(query_points 전용)으로 동기화한 뒤 Colab에서 전체 재인덱싱을 실행하는 것도 이 시기에 완료해야 한다.</w:t>
      </w:r>
    </w:p>
    <w:p>
      <w:pPr>
        <w:pBdr>
          <w:bottom w:val="single" w:color="D6E4F0" w:sz="4" w:space="3"/>
        </w:pBdr>
        <w:spacing w:after="80" w:before="180"/>
      </w:pPr>
      <w:r>
        <w:rPr>
          <w:rFonts w:ascii="Arial" w:cs="Arial" w:eastAsia="Arial" w:hAnsi="Arial"/>
          <w:b/>
          <w:bCs/>
          <w:color w:val="1B4F8A"/>
          <w:sz w:val="22"/>
          <w:szCs w:val="22"/>
        </w:rPr>
        <w:t xml:space="preserve">중기 과제 (1개월)</w:t>
      </w:r>
    </w:p>
    <w:p>
      <w:pPr>
        <w:spacing w:after="140" w:before="0"/>
        <w:jc w:val="both"/>
      </w:pPr>
      <w:r>
        <w:rPr>
          <w:rFonts w:ascii="Arial" w:cs="Arial" w:eastAsia="Arial" w:hAnsi="Arial"/>
          <w:color w:val="1A1A1A"/>
          <w:sz w:val="21"/>
          <w:szCs w:val="21"/>
        </w:rPr>
        <w:t xml:space="preserve">현재 많은 논문이 general 도메인으로 분류되는 문제를 해결하기 위해 도메인 태깅 사전을 확장한다. hbm3·hbm4·cfet·cxl·backside_power 등 세분화된 태그를 _TAG_TO_DOMAIN에 추가하면 필터 기반 검색의 정밀도가 크게 향상된다. 3D NAND 도메인의 데이터 부족 문제는 arXiv와 OpenAlex의 쿼리 키워드를 강화하여 해결한다. 에이전트 분석 결과를 Postgres의 intelligence_reports 테이블에 저장하는 이력 관리 기능과, 신규 논문 감지 시 에이전트가 자동으로 실행되는 스케줄러 연동도 이 시기에 구현할 계획이다.</w:t>
      </w:r>
    </w:p>
    <w:p>
      <w:pPr>
        <w:pBdr>
          <w:bottom w:val="single" w:color="D6E4F0" w:sz="4" w:space="3"/>
        </w:pBdr>
        <w:spacing w:after="80" w:before="180"/>
      </w:pPr>
      <w:r>
        <w:rPr>
          <w:rFonts w:ascii="Arial" w:cs="Arial" w:eastAsia="Arial" w:hAnsi="Arial"/>
          <w:b/>
          <w:bCs/>
          <w:color w:val="1B4F8A"/>
          <w:sz w:val="22"/>
          <w:szCs w:val="22"/>
        </w:rPr>
        <w:t xml:space="preserve">장기 과제 (분기 이내)</w:t>
      </w:r>
    </w:p>
    <w:p>
      <w:pPr>
        <w:spacing w:after="140" w:before="0"/>
        <w:jc w:val="both"/>
      </w:pPr>
      <w:r>
        <w:rPr>
          <w:rFonts w:ascii="Arial" w:cs="Arial" w:eastAsia="Arial" w:hAnsi="Arial"/>
          <w:color w:val="1A1A1A"/>
          <w:sz w:val="21"/>
          <w:szCs w:val="21"/>
        </w:rPr>
        <w:t xml:space="preserve">buy_signal 발생 시 TechEvent 객체를 차트 분석 에이전트에게 자동 전달하는 멀티 에이전트 인터페이스를 완성한다. 해외 종목인 NVDA·TSMC·ASML의 주가 데이터를 yfinance 또는 Alpha Vantage를 통해 연동하면, 현재 한국 종목에 한정된 market_check() 기능을 글로벌 범위로 확장할 수 있다. Neo4j 기업-기술 그래프를 인터랙티브 대시보드로 시각화하고, 데이터 수집·기술 평가·리스크 분석 에이전트를 분리 운영하는 멀티 에이전트 구조로의 전환도 장기 목표로 설정한다.</w:t>
      </w:r>
    </w:p>
    <w:p>
      <w:pPr>
        <w:spacing w:after="160" w:before="0"/>
      </w:pPr>
      <w:r>
        <w:t xml:space="preserve"/>
      </w:r>
    </w:p>
    <w:p>
      <w:pPr>
        <w:pBdr>
          <w:top w:val="single" w:color="D6E4F0" w:sz="4" w:space="6"/>
        </w:pBdr>
        <w:spacing w:after="0" w:before="60"/>
        <w:jc w:val="center"/>
      </w:pPr>
      <w:r>
        <w:rPr>
          <w:rFonts w:ascii="Arial" w:cs="Arial" w:eastAsia="Arial" w:hAnsi="Arial"/>
          <w:i/>
          <w:iCs/>
          <w:color w:val="AAAAAA"/>
          <w:sz w:val="17"/>
          <w:szCs w:val="17"/>
        </w:rPr>
        <w:t xml:space="preserve">본 보고서는 반도체 전문가 에이전트 시스템 구축 현황을 기록한 내부 기술 문서입니다.</w:t>
      </w:r>
    </w:p>
    <w:sectPr>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반도체 전문가 에이전트  |  내부 기술 문서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2026-05-09T13:18:10.031Z</dcterms:created>
  <dcterms:modified xsi:type="dcterms:W3CDTF">2026-05-09T13:18:10.031Z</dcterms:modified>
</cp:coreProperties>
</file>

<file path=docProps/custom.xml><?xml version="1.0" encoding="utf-8"?>
<Properties xmlns="http://schemas.openxmlformats.org/officeDocument/2006/custom-properties" xmlns:vt="http://schemas.openxmlformats.org/officeDocument/2006/docPropsVTypes"/>
</file>