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05D7" w14:textId="7E0E4EB7" w:rsidR="005933CD" w:rsidRPr="00B73A43" w:rsidRDefault="00905FE8" w:rsidP="00B73A43">
      <w:pPr>
        <w:jc w:val="center"/>
        <w:rPr>
          <w:rFonts w:ascii="Arial" w:hAnsi="Arial" w:cs="Arial"/>
          <w:color w:val="FF0000"/>
          <w:sz w:val="36"/>
          <w:szCs w:val="36"/>
        </w:rPr>
      </w:pPr>
      <w:r w:rsidRPr="00B73A43">
        <w:rPr>
          <w:rFonts w:ascii="Arial" w:hAnsi="Arial" w:cs="Arial"/>
          <w:color w:val="FF0000"/>
          <w:sz w:val="36"/>
          <w:szCs w:val="36"/>
        </w:rPr>
        <w:t>Hyponatraemia Assessment</w:t>
      </w:r>
      <w:r w:rsidRPr="00B73A43">
        <w:rPr>
          <w:rFonts w:ascii="Arial" w:hAnsi="Arial" w:cs="Arial"/>
          <w:color w:val="FF0000"/>
          <w:spacing w:val="-6"/>
          <w:sz w:val="36"/>
          <w:szCs w:val="36"/>
        </w:rPr>
        <w:t xml:space="preserve"> </w:t>
      </w:r>
      <w:r w:rsidRPr="00B73A43">
        <w:rPr>
          <w:rFonts w:ascii="Arial" w:hAnsi="Arial" w:cs="Arial"/>
          <w:color w:val="FF0000"/>
          <w:sz w:val="36"/>
          <w:szCs w:val="36"/>
        </w:rPr>
        <w:t>&amp;</w:t>
      </w:r>
      <w:r w:rsidRPr="00B73A43">
        <w:rPr>
          <w:rFonts w:ascii="Arial" w:hAnsi="Arial" w:cs="Arial"/>
          <w:color w:val="FF0000"/>
          <w:spacing w:val="-6"/>
          <w:sz w:val="36"/>
          <w:szCs w:val="36"/>
        </w:rPr>
        <w:t xml:space="preserve"> </w:t>
      </w:r>
      <w:r w:rsidRPr="00B73A43">
        <w:rPr>
          <w:rFonts w:ascii="Arial" w:hAnsi="Arial" w:cs="Arial"/>
          <w:color w:val="FF0000"/>
          <w:spacing w:val="-2"/>
          <w:sz w:val="36"/>
          <w:szCs w:val="36"/>
        </w:rPr>
        <w:t>Treatment</w:t>
      </w:r>
      <w:r w:rsidRPr="00B73A43">
        <w:rPr>
          <w:rFonts w:ascii="Arial" w:hAnsi="Arial" w:cs="Arial"/>
          <w:color w:val="FF0000"/>
          <w:spacing w:val="-17"/>
          <w:sz w:val="36"/>
          <w:szCs w:val="36"/>
        </w:rPr>
        <w:t xml:space="preserve"> </w:t>
      </w:r>
      <w:r w:rsidRPr="00B73A43">
        <w:rPr>
          <w:rFonts w:ascii="Arial" w:hAnsi="Arial" w:cs="Arial"/>
          <w:color w:val="FF0000"/>
          <w:sz w:val="36"/>
          <w:szCs w:val="36"/>
        </w:rPr>
        <w:t>Algorithm</w:t>
      </w:r>
    </w:p>
    <w:p w14:paraId="0B3C86E2" w14:textId="61CB57E0" w:rsidR="00905FE8" w:rsidRPr="00066E25" w:rsidRDefault="00905FE8">
      <w:pPr>
        <w:rPr>
          <w:rFonts w:ascii="Arial" w:hAnsi="Arial" w:cs="Arial"/>
          <w:b/>
          <w:bCs/>
        </w:rPr>
      </w:pPr>
      <w:r w:rsidRPr="00066E25">
        <w:rPr>
          <w:rFonts w:ascii="Arial" w:hAnsi="Arial" w:cs="Arial"/>
          <w:b/>
          <w:bCs/>
        </w:rPr>
        <w:t>This Clinical Guideline is for in-patient management of adults with sodium levels below 130 mmol/L.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5FE8" w:rsidRPr="00066E25" w14:paraId="1E0B9D28" w14:textId="77777777" w:rsidTr="00EF2BD4">
        <w:tc>
          <w:tcPr>
            <w:tcW w:w="9016" w:type="dxa"/>
            <w:shd w:val="clear" w:color="auto" w:fill="DAE9F7" w:themeFill="text2" w:themeFillTint="1A"/>
          </w:tcPr>
          <w:p w14:paraId="093D13D5" w14:textId="53950128" w:rsidR="00905FE8" w:rsidRPr="00066E25" w:rsidRDefault="00905FE8" w:rsidP="00EF2BD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Red Flags</w:t>
            </w:r>
          </w:p>
          <w:p w14:paraId="072E80B0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905FE8" w:rsidRPr="00066E25" w14:paraId="6DF8153C" w14:textId="77777777" w:rsidTr="00905FE8">
        <w:trPr>
          <w:trHeight w:val="2233"/>
        </w:trPr>
        <w:tc>
          <w:tcPr>
            <w:tcW w:w="9016" w:type="dxa"/>
          </w:tcPr>
          <w:p w14:paraId="3E98CA5E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3D536517" w14:textId="00AEF0BF" w:rsidR="00905FE8" w:rsidRPr="00066E25" w:rsidRDefault="00905FE8" w:rsidP="00905FE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Serum sodium less than 120 mmol/L in a patient with previously normal sodium levels.</w:t>
            </w:r>
          </w:p>
          <w:p w14:paraId="61DBA1F2" w14:textId="72AD62A9" w:rsidR="00905FE8" w:rsidRPr="00066E25" w:rsidRDefault="00905FE8" w:rsidP="00905FE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Acutely decreasing sodium levels.</w:t>
            </w:r>
          </w:p>
          <w:p w14:paraId="02F68EEB" w14:textId="5AF135E4" w:rsidR="00905FE8" w:rsidRPr="00066E25" w:rsidRDefault="00905FE8" w:rsidP="00905FE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Systemically unwell.</w:t>
            </w:r>
          </w:p>
          <w:p w14:paraId="6510EF08" w14:textId="08B32077" w:rsidR="00905FE8" w:rsidRPr="00066E25" w:rsidRDefault="00905FE8" w:rsidP="00905FE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Neurological symptoms, e.g. tremor, altered conscious state, seizures, new onset falls.</w:t>
            </w:r>
          </w:p>
          <w:p w14:paraId="00123B7C" w14:textId="3F891338" w:rsidR="00905FE8" w:rsidRPr="00066E25" w:rsidRDefault="00905FE8" w:rsidP="00905FE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Persistent vomiting or diarrhoea.</w:t>
            </w:r>
          </w:p>
          <w:p w14:paraId="0CBA9BCF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3924E897" w14:textId="0C52D0A5" w:rsidR="004861DD" w:rsidRPr="00066E25" w:rsidRDefault="004861DD">
      <w:pPr>
        <w:rPr>
          <w:rFonts w:ascii="Arial" w:hAnsi="Arial" w:cs="Arial"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5FE8" w:rsidRPr="00066E25" w14:paraId="5B4DA4EE" w14:textId="77777777" w:rsidTr="00EF2BD4">
        <w:tc>
          <w:tcPr>
            <w:tcW w:w="9016" w:type="dxa"/>
            <w:shd w:val="clear" w:color="auto" w:fill="DAE9F7" w:themeFill="text2" w:themeFillTint="1A"/>
          </w:tcPr>
          <w:p w14:paraId="25B93642" w14:textId="77777777" w:rsidR="00905FE8" w:rsidRPr="00066E25" w:rsidRDefault="00905FE8" w:rsidP="00EF2BD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Background</w:t>
            </w:r>
          </w:p>
          <w:p w14:paraId="3BE5006A" w14:textId="28D8C46E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905FE8" w:rsidRPr="00066E25" w14:paraId="1CE03C36" w14:textId="77777777" w:rsidTr="00905FE8">
        <w:trPr>
          <w:trHeight w:val="1702"/>
        </w:trPr>
        <w:tc>
          <w:tcPr>
            <w:tcW w:w="9016" w:type="dxa"/>
          </w:tcPr>
          <w:p w14:paraId="4CBD2C75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614AA29A" w14:textId="1563C4D2" w:rsidR="00905FE8" w:rsidRPr="00066E25" w:rsidRDefault="00905FE8" w:rsidP="00905FE8">
            <w:pPr>
              <w:pStyle w:val="ListParagraph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About Hyponatraemia</w:t>
            </w:r>
          </w:p>
          <w:p w14:paraId="147BDD56" w14:textId="7C0184A5" w:rsidR="00905FE8" w:rsidRPr="00066E25" w:rsidRDefault="00905FE8" w:rsidP="00905FE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Chronic hyponatraemia with serum sodium levels 120 to 130 mmol/L is not uncommon in patients with chronic liver, cardiac, or renal disease.</w:t>
            </w:r>
          </w:p>
          <w:p w14:paraId="1ED7E151" w14:textId="54BD4FF0" w:rsidR="00905FE8" w:rsidRPr="00066E25" w:rsidRDefault="00905FE8" w:rsidP="00EF2BD4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Neurological symptoms are more important than absolute serum sodium level.</w:t>
            </w:r>
          </w:p>
          <w:p w14:paraId="5AEBA330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136854B1" w14:textId="77777777" w:rsidR="00905FE8" w:rsidRPr="00066E25" w:rsidRDefault="00905FE8">
      <w:pPr>
        <w:rPr>
          <w:rFonts w:ascii="Arial" w:hAnsi="Arial" w:cs="Arial"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5FE8" w:rsidRPr="00066E25" w14:paraId="748C494F" w14:textId="77777777" w:rsidTr="00EF2BD4">
        <w:tc>
          <w:tcPr>
            <w:tcW w:w="9016" w:type="dxa"/>
            <w:shd w:val="clear" w:color="auto" w:fill="DAE9F7" w:themeFill="text2" w:themeFillTint="1A"/>
          </w:tcPr>
          <w:p w14:paraId="03B59E91" w14:textId="68423295" w:rsidR="00905FE8" w:rsidRPr="00066E25" w:rsidRDefault="00905FE8" w:rsidP="00EF2BD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Assessment</w:t>
            </w:r>
          </w:p>
          <w:p w14:paraId="6990D6C6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905FE8" w:rsidRPr="00066E25" w14:paraId="56987F0C" w14:textId="77777777" w:rsidTr="00EF2BD4">
        <w:trPr>
          <w:trHeight w:val="1555"/>
        </w:trPr>
        <w:tc>
          <w:tcPr>
            <w:tcW w:w="9016" w:type="dxa"/>
          </w:tcPr>
          <w:p w14:paraId="44E564AB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6DDCC98A" w14:textId="77777777" w:rsidR="00905FE8" w:rsidRPr="00066E25" w:rsidRDefault="00905FE8" w:rsidP="00905FE8">
            <w:p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Immediate assessment</w:t>
            </w:r>
          </w:p>
          <w:p w14:paraId="4A2C9A29" w14:textId="6ADE2C3D" w:rsidR="00905FE8" w:rsidRPr="00066E25" w:rsidRDefault="00905FE8" w:rsidP="00905FE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Pr="00066E25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Use the ABCDE approach</w:t>
            </w:r>
            <w:r w:rsidRPr="00066E25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to rapidly assess the patient. If they are seriously unwell:</w:t>
            </w:r>
          </w:p>
          <w:p w14:paraId="09187472" w14:textId="7C3CBA9E" w:rsidR="003D17CA" w:rsidRPr="00066E25" w:rsidRDefault="00905FE8" w:rsidP="00905FE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contact a senior clinician or activate a clinical emergency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sz w:val="24"/>
                <w:szCs w:val="24"/>
              </w:rPr>
              <w:t>as appropriate.</w:t>
            </w:r>
          </w:p>
          <w:p w14:paraId="5215BE01" w14:textId="685B13EE" w:rsidR="00905FE8" w:rsidRPr="00066E25" w:rsidRDefault="00905FE8" w:rsidP="00905FE8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do not delay immediate management steps (below), commence in parallel with assessment.</w:t>
            </w:r>
          </w:p>
          <w:p w14:paraId="1E3A1BFF" w14:textId="77777777" w:rsidR="003D17CA" w:rsidRPr="00066E25" w:rsidRDefault="003D17CA" w:rsidP="003D17CA">
            <w:pPr>
              <w:pStyle w:val="ListParagraph"/>
              <w:ind w:left="789"/>
              <w:rPr>
                <w:rFonts w:ascii="Arial" w:hAnsi="Arial" w:cs="Arial"/>
                <w:sz w:val="24"/>
                <w:szCs w:val="24"/>
              </w:rPr>
            </w:pPr>
          </w:p>
          <w:p w14:paraId="2727120B" w14:textId="77777777" w:rsidR="00905FE8" w:rsidRPr="00066E25" w:rsidRDefault="00905FE8" w:rsidP="00905FE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066E25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If the patient is haemodynamically unstable, attach a cardiac monitor for continuous monitoring.</w:t>
            </w:r>
          </w:p>
          <w:p w14:paraId="51368694" w14:textId="77777777" w:rsidR="003D17CA" w:rsidRPr="00066E25" w:rsidRDefault="003D17CA" w:rsidP="00905FE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EBF622" w14:textId="3AD95664" w:rsidR="00905FE8" w:rsidRPr="00066E25" w:rsidRDefault="00905FE8" w:rsidP="00905FE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3.</w:t>
            </w:r>
            <w:r w:rsidRPr="00066E2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Insert intravenous (IV) cannula</w:t>
            </w:r>
            <w:r w:rsidRPr="00066E25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and take bloods.</w:t>
            </w:r>
          </w:p>
          <w:p w14:paraId="174E2A6E" w14:textId="77777777" w:rsidR="00905FE8" w:rsidRPr="00066E25" w:rsidRDefault="00905FE8" w:rsidP="00905FE8">
            <w:p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Bloods</w:t>
            </w:r>
          </w:p>
          <w:p w14:paraId="36B84C12" w14:textId="77777777" w:rsidR="003D17CA" w:rsidRPr="00066E25" w:rsidRDefault="00905FE8" w:rsidP="00905FE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Venous blood gas if the patient is haemodynamically unstable</w:t>
            </w:r>
          </w:p>
          <w:p w14:paraId="17E4067F" w14:textId="77777777" w:rsidR="003D17CA" w:rsidRPr="00066E25" w:rsidRDefault="00905FE8" w:rsidP="00905FE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Full blood count</w:t>
            </w:r>
          </w:p>
          <w:p w14:paraId="7220D280" w14:textId="77777777" w:rsidR="003D17CA" w:rsidRPr="00066E25" w:rsidRDefault="00905FE8" w:rsidP="00905FE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Urea and electrolytes</w:t>
            </w:r>
          </w:p>
          <w:p w14:paraId="434A5C8F" w14:textId="77777777" w:rsidR="003D17CA" w:rsidRPr="00066E25" w:rsidRDefault="00905FE8" w:rsidP="00905FE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lastRenderedPageBreak/>
              <w:t>Serum calcium, albumin, and adjusted calcium</w:t>
            </w:r>
          </w:p>
          <w:p w14:paraId="7D7C7129" w14:textId="77777777" w:rsidR="003D17CA" w:rsidRPr="00066E25" w:rsidRDefault="00905FE8" w:rsidP="00905FE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Liver function tests</w:t>
            </w:r>
          </w:p>
          <w:p w14:paraId="06AAB52D" w14:textId="77777777" w:rsidR="003D17CA" w:rsidRPr="00066E25" w:rsidRDefault="00905FE8" w:rsidP="00905FE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Serum magnesium</w:t>
            </w:r>
          </w:p>
          <w:p w14:paraId="1B5B302B" w14:textId="19A340C9" w:rsidR="003D17CA" w:rsidRPr="00066E25" w:rsidRDefault="00905FE8" w:rsidP="00905FE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Serum phosphate</w:t>
            </w:r>
          </w:p>
          <w:p w14:paraId="66C751C0" w14:textId="77777777" w:rsidR="003D17CA" w:rsidRPr="00066E25" w:rsidRDefault="00905FE8" w:rsidP="00905FE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Blood glucose level</w:t>
            </w:r>
          </w:p>
          <w:p w14:paraId="761904FE" w14:textId="03060966" w:rsidR="00905FE8" w:rsidRPr="00066E25" w:rsidRDefault="00905FE8" w:rsidP="00905FE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Coagulation screen</w:t>
            </w:r>
          </w:p>
          <w:p w14:paraId="72DF43B8" w14:textId="77777777" w:rsidR="003D17CA" w:rsidRPr="00066E25" w:rsidRDefault="003D17CA" w:rsidP="003D17CA">
            <w:pPr>
              <w:pStyle w:val="ListParagraph"/>
              <w:rPr>
                <w:rFonts w:ascii="Arial" w:hAnsi="Arial" w:cs="Arial"/>
                <w:sz w:val="24"/>
                <w:szCs w:val="24"/>
              </w:rPr>
            </w:pPr>
          </w:p>
          <w:p w14:paraId="38E176D8" w14:textId="77777777" w:rsidR="00905FE8" w:rsidRPr="00066E25" w:rsidRDefault="00905FE8" w:rsidP="00905FE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4. Obtain and interpret a 12 leads ECG in haemodynamically unstable patients.</w:t>
            </w:r>
          </w:p>
          <w:p w14:paraId="7E1C25A9" w14:textId="77777777" w:rsidR="003D17CA" w:rsidRPr="00066E25" w:rsidRDefault="003D17CA" w:rsidP="00905FE8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03BE2C7" w14:textId="77777777" w:rsidR="003D17CA" w:rsidRPr="00066E25" w:rsidRDefault="00905FE8" w:rsidP="00905FE8">
            <w:p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5. Consider the possibility of cerebral oedema if there are any neurological symptoms or signs</w:t>
            </w:r>
            <w:r w:rsidRPr="00066E25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  <w:p w14:paraId="3C98FC88" w14:textId="6955C472" w:rsidR="00905FE8" w:rsidRPr="00066E25" w:rsidRDefault="00905FE8" w:rsidP="003D17CA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>This requires urgent treatment. Request critical care outreach assessment if seizures or declining Glasgow Coma Scale (GCS).</w:t>
            </w:r>
          </w:p>
          <w:p w14:paraId="08C7085D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0488807B" w14:textId="77777777" w:rsidR="00905FE8" w:rsidRPr="00066E25" w:rsidRDefault="00905FE8">
      <w:pPr>
        <w:rPr>
          <w:rFonts w:ascii="Arial" w:hAnsi="Arial" w:cs="Arial"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5FE8" w:rsidRPr="00066E25" w14:paraId="204A5C28" w14:textId="77777777" w:rsidTr="00EF2BD4">
        <w:tc>
          <w:tcPr>
            <w:tcW w:w="9016" w:type="dxa"/>
            <w:shd w:val="clear" w:color="auto" w:fill="DAE9F7" w:themeFill="text2" w:themeFillTint="1A"/>
          </w:tcPr>
          <w:p w14:paraId="06963ADD" w14:textId="3B0235F4" w:rsidR="00905FE8" w:rsidRPr="00066E25" w:rsidRDefault="00AF6B63" w:rsidP="00EF2BD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Secondary Assessment</w:t>
            </w:r>
          </w:p>
          <w:p w14:paraId="4C5CD453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905FE8" w:rsidRPr="00066E25" w14:paraId="70680F6B" w14:textId="77777777" w:rsidTr="00EF2BD4">
        <w:trPr>
          <w:trHeight w:val="1555"/>
        </w:trPr>
        <w:tc>
          <w:tcPr>
            <w:tcW w:w="9016" w:type="dxa"/>
          </w:tcPr>
          <w:p w14:paraId="5FBE2280" w14:textId="77777777" w:rsidR="00905FE8" w:rsidRPr="00066E25" w:rsidRDefault="00905FE8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0973D2C9" w14:textId="77777777" w:rsidR="00AF6B63" w:rsidRPr="00066E25" w:rsidRDefault="00AF6B63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1.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Check for previous low sodium results.</w:t>
            </w:r>
          </w:p>
          <w:p w14:paraId="62C90DA9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B6A300D" w14:textId="77777777" w:rsidR="00AF6B63" w:rsidRPr="00066E25" w:rsidRDefault="00AF6B63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. 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Exclude potential confounding causes of hyponatraemia:</w:t>
            </w:r>
          </w:p>
          <w:p w14:paraId="468F6A46" w14:textId="77777777" w:rsidR="00AF6B63" w:rsidRPr="00066E25" w:rsidRDefault="00AF6B63" w:rsidP="00AF6B6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Markedly increased lipids and protein (</w:t>
            </w: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pseudohyponatraemia</w:t>
            </w:r>
            <w:proofErr w:type="spellEnd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)</w:t>
            </w:r>
          </w:p>
          <w:p w14:paraId="7EB9A50C" w14:textId="516C65EF" w:rsidR="00AF6B63" w:rsidRPr="00066E25" w:rsidRDefault="00AF6B63" w:rsidP="00AF6B63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Moderate to severe hyperglycaemia, including hyperosmolar hyperglycaemic state (HHS) or diabetic ketoacidosis (DKA)</w:t>
            </w:r>
          </w:p>
          <w:p w14:paraId="29EA6FF5" w14:textId="77777777" w:rsidR="00AF6B63" w:rsidRPr="00066E25" w:rsidRDefault="00AF6B63" w:rsidP="00AF6B63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2092FE1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3.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Check signs and symptoms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. </w:t>
            </w:r>
          </w:p>
          <w:p w14:paraId="28EDFBD4" w14:textId="77777777" w:rsidR="00AF6B63" w:rsidRPr="00066E25" w:rsidRDefault="00AF6B63" w:rsidP="00AF6B6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These are usually related to the underlying cause, rate of onset, and degree of hyponatraemia.</w:t>
            </w:r>
          </w:p>
          <w:p w14:paraId="5B35A78A" w14:textId="77777777" w:rsidR="00AF6B63" w:rsidRPr="00066E25" w:rsidRDefault="00AF6B63" w:rsidP="00AF6B6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Mild or chronic hyponatraemia – often no or non-specific symptoms, e.g. headache, nausea, tiredness, gait disturbance, muscle cramps, new onset falls.</w:t>
            </w:r>
          </w:p>
          <w:p w14:paraId="15A984D1" w14:textId="7AE91774" w:rsidR="00AF6B63" w:rsidRPr="00066E25" w:rsidRDefault="00AF6B63" w:rsidP="00AF6B63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Severe or acute onset hyponatraemia – disorientation, drowsiness, agitation, seizure, headache.</w:t>
            </w:r>
          </w:p>
          <w:p w14:paraId="426DD0C9" w14:textId="77777777" w:rsidR="00AF6B63" w:rsidRPr="00066E25" w:rsidRDefault="00AF6B63" w:rsidP="00AF6B63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358F342" w14:textId="77777777" w:rsidR="00AF6B63" w:rsidRPr="00066E25" w:rsidRDefault="00AF6B63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4.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Assess Volume status – this is crucial to determining the cause of hyponatraemia.</w:t>
            </w:r>
          </w:p>
          <w:p w14:paraId="267900B2" w14:textId="77777777" w:rsidR="00AF6B63" w:rsidRPr="00066E25" w:rsidRDefault="00AF6B63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Volume status</w:t>
            </w:r>
          </w:p>
          <w:p w14:paraId="0B1C7EB7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Examine:</w:t>
            </w:r>
          </w:p>
          <w:p w14:paraId="7DEDD524" w14:textId="77777777" w:rsidR="00AF6B63" w:rsidRPr="00066E25" w:rsidRDefault="00AF6B63" w:rsidP="00AF6B63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Jugular venous pressure (JVP)</w:t>
            </w:r>
          </w:p>
          <w:p w14:paraId="4D4254A3" w14:textId="77777777" w:rsidR="00AF6B63" w:rsidRPr="00066E25" w:rsidRDefault="00AF6B63" w:rsidP="00AF6B63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Mucous membranes and skin turgor</w:t>
            </w:r>
          </w:p>
          <w:p w14:paraId="1A379445" w14:textId="77777777" w:rsidR="00AF6B63" w:rsidRPr="00066E25" w:rsidRDefault="00AF6B63" w:rsidP="00AF6B63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Lying and standing blood pressure (a fall greater than 20/10 on standing suggests volume depletion)</w:t>
            </w:r>
          </w:p>
          <w:p w14:paraId="36F79A20" w14:textId="77777777" w:rsidR="00AF6B63" w:rsidRPr="00066E25" w:rsidRDefault="00AF6B63" w:rsidP="00AF6B63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Heart rate</w:t>
            </w:r>
          </w:p>
          <w:p w14:paraId="324108AB" w14:textId="77777777" w:rsidR="00AF6B63" w:rsidRPr="00066E25" w:rsidRDefault="00AF6B63" w:rsidP="00AF6B63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Peripheral oedema</w:t>
            </w:r>
          </w:p>
          <w:p w14:paraId="30991D66" w14:textId="77777777" w:rsidR="00AF6B63" w:rsidRPr="00066E25" w:rsidRDefault="00AF6B63" w:rsidP="00AF6B63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Ascites</w:t>
            </w:r>
          </w:p>
          <w:p w14:paraId="7BEAC4FB" w14:textId="629CB358" w:rsidR="00AF6B63" w:rsidRPr="00066E25" w:rsidRDefault="00AF6B63" w:rsidP="00AF6B63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Weight</w:t>
            </w:r>
          </w:p>
          <w:p w14:paraId="73121008" w14:textId="77777777" w:rsidR="00AF6B63" w:rsidRPr="00066E25" w:rsidRDefault="00AF6B63" w:rsidP="00AF6B63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8FD78E7" w14:textId="77777777" w:rsidR="00EA1CCC" w:rsidRPr="00066E25" w:rsidRDefault="00EA1CCC" w:rsidP="00AF6B63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2E3723D" w14:textId="77777777" w:rsidR="00EA1CCC" w:rsidRPr="00066E25" w:rsidRDefault="00EA1CCC" w:rsidP="00AF6B63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893D893" w14:textId="77777777" w:rsidR="00AF6B63" w:rsidRPr="00066E25" w:rsidRDefault="00AF6B63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5. Determine type of hyponatraemia:</w:t>
            </w:r>
          </w:p>
          <w:p w14:paraId="4D25BA0D" w14:textId="77777777" w:rsidR="00E26F77" w:rsidRPr="00066E25" w:rsidRDefault="00AF6B63" w:rsidP="00AF6B63">
            <w:p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  <w:t>Hypovolaemic/volume depletion</w:t>
            </w:r>
          </w:p>
          <w:p w14:paraId="33863E22" w14:textId="77777777" w:rsidR="00E26F77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Defined as a decrease in body water with a greater decrease in body sodium.</w:t>
            </w:r>
          </w:p>
          <w:p w14:paraId="2DD83B89" w14:textId="77777777" w:rsidR="00E26F77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Probably the most common cause of hyponatraemia.</w:t>
            </w:r>
          </w:p>
          <w:p w14:paraId="7BFC2336" w14:textId="77777777" w:rsidR="00E26F77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Signs and investigations include:</w:t>
            </w:r>
          </w:p>
          <w:p w14:paraId="4E38E030" w14:textId="77777777" w:rsidR="00E26F77" w:rsidRPr="00066E25" w:rsidRDefault="00E26F77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J</w:t>
            </w:r>
            <w:r w:rsidR="00AF6B63"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ugular venous pressure (JVP) – not visible supine, or just visible with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AF6B63"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hepatojugular reflex</w:t>
            </w:r>
          </w:p>
          <w:p w14:paraId="2647635F" w14:textId="77777777" w:rsidR="00E26F77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Hypotension or postural hypotension (a fall of greater than 20/10 on standing)</w:t>
            </w:r>
          </w:p>
          <w:p w14:paraId="0C592872" w14:textId="77777777" w:rsidR="00E26F77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Tachycardia</w:t>
            </w:r>
          </w:p>
          <w:p w14:paraId="44060632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Normal or raised uric acid, urea, creatinine</w:t>
            </w:r>
            <w:r w:rsidR="00E26F77"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</w:t>
            </w:r>
          </w:p>
          <w:p w14:paraId="01664F55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Causes include:</w:t>
            </w:r>
          </w:p>
          <w:p w14:paraId="2C0C96B5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sodium less than 20 mmol/L</w:t>
            </w:r>
          </w:p>
          <w:p w14:paraId="06312734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Decreased fluid intake</w:t>
            </w:r>
          </w:p>
          <w:p w14:paraId="79A22FE3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Diarrhoea and vomiting</w:t>
            </w:r>
          </w:p>
          <w:p w14:paraId="19D54C0D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Fluid shifts e.g. pancreatitis</w:t>
            </w:r>
          </w:p>
          <w:p w14:paraId="1FF2BBE9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Burns</w:t>
            </w:r>
          </w:p>
          <w:p w14:paraId="7A0241E9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sodium greater than 20 mmol/L</w:t>
            </w:r>
          </w:p>
          <w:p w14:paraId="7E1027B8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Salt-losing nephropathy</w:t>
            </w:r>
          </w:p>
          <w:p w14:paraId="30FC42D1" w14:textId="77777777" w:rsidR="00C06738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Diuretics</w:t>
            </w:r>
          </w:p>
          <w:p w14:paraId="6A97C3D6" w14:textId="373CC271" w:rsidR="00AF6B63" w:rsidRPr="00066E25" w:rsidRDefault="00AF6B63" w:rsidP="00AF6B63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Adrenal insufficiency</w:t>
            </w:r>
          </w:p>
          <w:p w14:paraId="5B40E040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Patients with undiagnosed adrenal insufficiency may present with isolated hyponatraemia as the presenting feature. For all patients with suspected adrenal insufficiency, check morning plasma cortisol levels.</w:t>
            </w:r>
          </w:p>
          <w:p w14:paraId="62E7EC96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If known adrenal insufficiency and hyponatraemia is an incidental finding, there is no need to re-measure plasma cortisol. Seek acute endocrinology advice about excluding other causes.</w:t>
            </w:r>
          </w:p>
          <w:p w14:paraId="771CFBFF" w14:textId="77777777" w:rsidR="00C06738" w:rsidRPr="00066E25" w:rsidRDefault="00C06738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66C2190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Hypervolaemic</w:t>
            </w:r>
            <w:proofErr w:type="spellEnd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/volume overload</w:t>
            </w:r>
          </w:p>
          <w:p w14:paraId="7F15A063" w14:textId="77777777" w:rsidR="00C06738" w:rsidRPr="00066E25" w:rsidRDefault="00AF6B63" w:rsidP="00AF6B63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Defined as an increase in total body water with a lesser increase in body sodium. Causes include:</w:t>
            </w:r>
          </w:p>
          <w:p w14:paraId="35D6E88F" w14:textId="77777777" w:rsidR="00C06738" w:rsidRPr="00066E25" w:rsidRDefault="00AF6B63" w:rsidP="00AF6B63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Congestive heart failure</w:t>
            </w:r>
          </w:p>
          <w:p w14:paraId="434D1606" w14:textId="77777777" w:rsidR="00C06738" w:rsidRPr="00066E25" w:rsidRDefault="00AF6B63" w:rsidP="00AF6B63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Cirrhosis</w:t>
            </w:r>
          </w:p>
          <w:p w14:paraId="6AC155F6" w14:textId="52B34AE5" w:rsidR="00AF6B63" w:rsidRPr="00066E25" w:rsidRDefault="00AF6B63" w:rsidP="00AF6B63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Nephrotic syndrome</w:t>
            </w:r>
          </w:p>
          <w:p w14:paraId="21EC5309" w14:textId="77777777" w:rsidR="00C06738" w:rsidRPr="00066E25" w:rsidRDefault="00C06738" w:rsidP="00C06738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60B9C41" w14:textId="239B90F3" w:rsidR="00AF6B63" w:rsidRPr="00066E25" w:rsidRDefault="00C06738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Euvolemic</w:t>
            </w:r>
          </w:p>
          <w:p w14:paraId="1B489E5D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Defined as having normal volume of blood or fluids in the body.</w:t>
            </w:r>
          </w:p>
          <w:p w14:paraId="5584567D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Increase in total body water with normal body sodium.</w:t>
            </w:r>
          </w:p>
          <w:p w14:paraId="1F354CCB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Examination – no postural blood pressure fall, jugular venous pressure (JVP) not low.</w:t>
            </w:r>
          </w:p>
          <w:p w14:paraId="189AEF29" w14:textId="77777777" w:rsidR="00AD4F17" w:rsidRPr="00066E25" w:rsidRDefault="00AD4F17" w:rsidP="00AD4F17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3C7EBEF" w14:textId="77777777" w:rsidR="00C06738" w:rsidRPr="00066E25" w:rsidRDefault="00AF6B63" w:rsidP="00AD4F1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Usually:</w:t>
            </w:r>
          </w:p>
          <w:p w14:paraId="6C80DD8A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sodium greater than 20 mmol/L.</w:t>
            </w:r>
          </w:p>
          <w:p w14:paraId="418B59AA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normal uric acid, urea, creatinine.</w:t>
            </w:r>
          </w:p>
          <w:p w14:paraId="5A3FEDFB" w14:textId="77777777" w:rsidR="00AD4F17" w:rsidRPr="00066E25" w:rsidRDefault="00AD4F17" w:rsidP="00AD4F17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7E25FB5" w14:textId="77777777" w:rsidR="00C06738" w:rsidRPr="00066E25" w:rsidRDefault="00AF6B63" w:rsidP="00AD4F1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Causes include:</w:t>
            </w:r>
          </w:p>
          <w:p w14:paraId="3B4771EA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 water overload (urine sodium less than 20 mmol/L)</w:t>
            </w:r>
          </w:p>
          <w:p w14:paraId="4D8D1EB3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Chronic water overload (urine sodium greater than 20 mmol/L but urine osmolality less than 100 </w:t>
            </w: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mOsm</w:t>
            </w:r>
            <w:proofErr w:type="spellEnd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/kg)</w:t>
            </w:r>
          </w:p>
          <w:p w14:paraId="1B53E341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Syndrome of inappropriate anti-diuretic hormone (SIADH) secretion</w:t>
            </w:r>
          </w:p>
          <w:p w14:paraId="26420B72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Chronic renal failure</w:t>
            </w:r>
          </w:p>
          <w:p w14:paraId="3110186A" w14:textId="77777777" w:rsidR="00C06738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Hypothyroidism</w:t>
            </w:r>
          </w:p>
          <w:p w14:paraId="03E2A810" w14:textId="7B06058E" w:rsidR="00AF6B63" w:rsidRPr="00066E25" w:rsidRDefault="00AF6B63" w:rsidP="00AF6B63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Adrenal insufficiency</w:t>
            </w:r>
          </w:p>
          <w:p w14:paraId="0720D3C4" w14:textId="77777777" w:rsidR="00C06738" w:rsidRPr="00066E25" w:rsidRDefault="00C06738" w:rsidP="00C06738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9562928" w14:textId="77777777" w:rsidR="00AF6B63" w:rsidRPr="00066E25" w:rsidRDefault="00AF6B63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6. Assess neurological status. Consider performing a brief neurological examination.</w:t>
            </w:r>
          </w:p>
          <w:p w14:paraId="7C263D2B" w14:textId="77777777" w:rsidR="00C06738" w:rsidRPr="00066E25" w:rsidRDefault="00C06738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975B7F9" w14:textId="77777777" w:rsidR="00AF6B63" w:rsidRPr="00066E25" w:rsidRDefault="00AF6B63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7. Arrange additional investigations:</w:t>
            </w:r>
          </w:p>
          <w:p w14:paraId="7F01E97F" w14:textId="77777777" w:rsidR="00C06738" w:rsidRPr="00066E25" w:rsidRDefault="00AF6B63" w:rsidP="00AF6B6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TSH</w:t>
            </w:r>
          </w:p>
          <w:p w14:paraId="6557087E" w14:textId="77777777" w:rsidR="00C06738" w:rsidRPr="00066E25" w:rsidRDefault="00AF6B63" w:rsidP="00AF6B6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Triglycerides – to exclude artefactual causes (</w:t>
            </w: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pseudohyponatraemia</w:t>
            </w:r>
            <w:proofErr w:type="spellEnd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) if significantly elevated</w:t>
            </w:r>
          </w:p>
          <w:p w14:paraId="2FB67B50" w14:textId="67B1F0EF" w:rsidR="00C06738" w:rsidRPr="00066E25" w:rsidRDefault="00AF6B63" w:rsidP="00AF6B6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Paired plasma osmolality, urine osmolality, and urine sodium</w:t>
            </w:r>
            <w:r w:rsidR="00C06738"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</w:p>
          <w:p w14:paraId="3B33340E" w14:textId="77777777" w:rsidR="00C06738" w:rsidRPr="00066E25" w:rsidRDefault="00AF6B63" w:rsidP="00AF6B6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Plasma osmolality greater than 275 mmol/kg – hypertonic hyponatraemia. Consider hyperglycaemia (e.g. HHS).</w:t>
            </w:r>
          </w:p>
          <w:p w14:paraId="2E1C3D0A" w14:textId="77777777" w:rsidR="00C06738" w:rsidRPr="00066E25" w:rsidRDefault="00AF6B63" w:rsidP="00AF6B6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Plasma osmolality less than 275 mmol/kg and urine osmolality greater than 100 mmol/kg – consider hypotonic hyponatraemia.</w:t>
            </w:r>
          </w:p>
          <w:p w14:paraId="7D8A91DA" w14:textId="77777777" w:rsidR="00C06738" w:rsidRPr="00066E25" w:rsidRDefault="00AF6B63" w:rsidP="00AF6B6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sodium greater than 20 mmol/L – consider syndrome of inappropriate anti-diuretic hormone (SIADH).</w:t>
            </w:r>
          </w:p>
          <w:p w14:paraId="0D99FE00" w14:textId="77777777" w:rsidR="00C06738" w:rsidRPr="00066E25" w:rsidRDefault="00AF6B63" w:rsidP="00AF6B6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osmolality less than 100 mmol/kg – consider primary polydipsia.</w:t>
            </w:r>
          </w:p>
          <w:p w14:paraId="48C3434C" w14:textId="08A06D9E" w:rsidR="00AF6B63" w:rsidRPr="00066E25" w:rsidRDefault="00AF6B63" w:rsidP="00AF6B63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9:00 am cortisol level if the patient is not on exogenous steroids.</w:t>
            </w:r>
          </w:p>
          <w:p w14:paraId="512D2485" w14:textId="77777777" w:rsidR="00C06738" w:rsidRPr="00066E25" w:rsidRDefault="00C06738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5F985D7" w14:textId="77777777" w:rsidR="00AF6B63" w:rsidRPr="00066E25" w:rsidRDefault="00AF6B63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8. Consider likely causes of hyponatraemia:</w:t>
            </w:r>
          </w:p>
          <w:p w14:paraId="50904AAB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Drugs causing hyponatraemia</w:t>
            </w:r>
          </w:p>
          <w:p w14:paraId="7963E43A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Thiazide diuretics are a common cause, particularly in the elderly and in those who are also on ACE inhibitors, or angiotensin II receptor blockers.</w:t>
            </w:r>
          </w:p>
          <w:p w14:paraId="1B0CA610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Many other drugs can also cause or contribute to hyponatraemia through various mechanisms. Examples include:</w:t>
            </w:r>
          </w:p>
          <w:p w14:paraId="7339C861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selective serotonin reuptake inhibitors (SSRIs)</w:t>
            </w:r>
          </w:p>
          <w:p w14:paraId="34C7EBF3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antipsychotics</w:t>
            </w:r>
          </w:p>
          <w:p w14:paraId="1E457278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nonsteroidal anti-inflammatory drugs (NSAIDs)</w:t>
            </w:r>
          </w:p>
          <w:p w14:paraId="017B8361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carbamazepine</w:t>
            </w:r>
          </w:p>
          <w:p w14:paraId="11C68BBC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sodium valproate</w:t>
            </w:r>
          </w:p>
          <w:p w14:paraId="18B7923B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tricyclic antidepressants (TCAs)</w:t>
            </w:r>
          </w:p>
          <w:p w14:paraId="3B91C854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proton pump inhibitors (PPIs)</w:t>
            </w:r>
          </w:p>
          <w:p w14:paraId="58742E2C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sulphonylureas</w:t>
            </w:r>
            <w:proofErr w:type="spellEnd"/>
          </w:p>
          <w:p w14:paraId="6C19AB12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some chemotherapeutic agents</w:t>
            </w:r>
          </w:p>
          <w:p w14:paraId="0D747828" w14:textId="77777777" w:rsidR="00C06738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opioids</w:t>
            </w:r>
          </w:p>
          <w:p w14:paraId="61A028C4" w14:textId="65F54567" w:rsidR="00AF6B63" w:rsidRPr="00066E25" w:rsidRDefault="00AF6B63" w:rsidP="00AF6B63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amiodarone.</w:t>
            </w:r>
          </w:p>
          <w:p w14:paraId="4DCF2F11" w14:textId="77777777" w:rsidR="00C06738" w:rsidRPr="00066E25" w:rsidRDefault="00C06738" w:rsidP="00C06738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848E468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 any new agents, or agents that were commenced at the time of onset of hyponatraemia, and review fluid chart.</w:t>
            </w:r>
          </w:p>
          <w:p w14:paraId="5A9238CF" w14:textId="77777777" w:rsidR="00C06738" w:rsidRPr="00066E25" w:rsidRDefault="00C06738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F6F579F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Syndrome of inappropriate anti-diuretic hormone (SIADH) secretion</w:t>
            </w:r>
          </w:p>
          <w:p w14:paraId="6D8179E7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Patients produce an inappropriately concentrated urine in the absence of an appropriate stimulus for the release of antidiuretic hormone.</w:t>
            </w:r>
          </w:p>
          <w:p w14:paraId="1901A0A8" w14:textId="77777777" w:rsidR="00EA1CCC" w:rsidRPr="00066E25" w:rsidRDefault="00EA1CCC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B2E7899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Diagnostic criteria:</w:t>
            </w:r>
          </w:p>
          <w:p w14:paraId="2E3C05B1" w14:textId="77777777" w:rsidR="00EA1CCC" w:rsidRPr="00066E25" w:rsidRDefault="00AF6B63" w:rsidP="00AF6B63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Clinically </w:t>
            </w: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euvolaemic</w:t>
            </w:r>
            <w:proofErr w:type="spellEnd"/>
          </w:p>
          <w:p w14:paraId="2D965BCB" w14:textId="77777777" w:rsidR="00EA1CCC" w:rsidRPr="00066E25" w:rsidRDefault="00AF6B63" w:rsidP="00AF6B63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Urine osmolality exceeds 100 </w:t>
            </w: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mmoL</w:t>
            </w:r>
            <w:proofErr w:type="spellEnd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/kg in the absence of diuretics</w:t>
            </w:r>
          </w:p>
          <w:p w14:paraId="1C11E3ED" w14:textId="77777777" w:rsidR="00EA1CCC" w:rsidRPr="00066E25" w:rsidRDefault="00AF6B63" w:rsidP="00AF6B63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sodium greater than 20 mmol/L</w:t>
            </w:r>
          </w:p>
          <w:p w14:paraId="344CBFE8" w14:textId="77777777" w:rsidR="00EA1CCC" w:rsidRPr="00066E25" w:rsidRDefault="00AF6B63" w:rsidP="00AF6B63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Plasma osmolality less than 275 mmol/kg</w:t>
            </w:r>
          </w:p>
          <w:p w14:paraId="5A2C9EB2" w14:textId="77777777" w:rsidR="00EA1CCC" w:rsidRPr="00066E25" w:rsidRDefault="00AF6B63" w:rsidP="00AF6B63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Normal renal function with no hypokalaemia and no acid base disturbance</w:t>
            </w:r>
          </w:p>
          <w:p w14:paraId="51FE8C64" w14:textId="58EEBF45" w:rsidR="00AF6B63" w:rsidRPr="00066E25" w:rsidRDefault="00AF6B63" w:rsidP="00AF6B63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Adrenal insufficiency and hypothyroidism have been excluded</w:t>
            </w:r>
          </w:p>
          <w:p w14:paraId="75BA8648" w14:textId="77777777" w:rsidR="00EA1CCC" w:rsidRPr="00066E25" w:rsidRDefault="00EA1CCC" w:rsidP="00EA1CCC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D5CC188" w14:textId="77777777" w:rsidR="00AF6B63" w:rsidRPr="00066E25" w:rsidRDefault="00AF6B63" w:rsidP="00AF6B63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Causes of SIADH include:</w:t>
            </w:r>
          </w:p>
          <w:p w14:paraId="63064206" w14:textId="77777777" w:rsidR="00EA1CCC" w:rsidRPr="00066E25" w:rsidRDefault="00AF6B63" w:rsidP="00AF6B63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Drugs, e.g. carbamazepine, sodium valproate, selective serotonin reuptake inhibitors (SSRIs), tricyclic antidepressants (TCAs), haloperidol</w:t>
            </w:r>
          </w:p>
          <w:p w14:paraId="241528DF" w14:textId="77777777" w:rsidR="00EA1CCC" w:rsidRPr="00066E25" w:rsidRDefault="00AF6B63" w:rsidP="00AF6B63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Pulmonary conditions, e.g. neoplasm, infection including tuberculosis (TB), asthma</w:t>
            </w:r>
          </w:p>
          <w:p w14:paraId="0415AAE9" w14:textId="77777777" w:rsidR="00EA1CCC" w:rsidRPr="00066E25" w:rsidRDefault="00AF6B63" w:rsidP="00AF6B63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Central nervous system pathology, e.g. infection, bleed, mass, delirium tremens (DTs)</w:t>
            </w:r>
          </w:p>
          <w:p w14:paraId="1B229A2C" w14:textId="77777777" w:rsidR="00EA1CCC" w:rsidRPr="00066E25" w:rsidRDefault="00AF6B63" w:rsidP="00AF6B63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Malignancy, e.g. lung, mesothelioma, gastrointestinal, lymphoma, and urinary tract</w:t>
            </w:r>
          </w:p>
          <w:p w14:paraId="65C0AC0F" w14:textId="77777777" w:rsidR="00EA1CCC" w:rsidRPr="00066E25" w:rsidRDefault="00AF6B63" w:rsidP="00AF6B63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Postoperative pain</w:t>
            </w:r>
          </w:p>
          <w:p w14:paraId="40CAEBCB" w14:textId="77777777" w:rsidR="00EA1CCC" w:rsidRPr="00066E25" w:rsidRDefault="00AF6B63" w:rsidP="00AF6B63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Idiopathic – more common in the elderly.</w:t>
            </w:r>
          </w:p>
          <w:p w14:paraId="58562227" w14:textId="77777777" w:rsidR="00EA1CCC" w:rsidRPr="00066E25" w:rsidRDefault="00AF6B63" w:rsidP="00AF6B63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Adrenal insufficiency</w:t>
            </w:r>
          </w:p>
          <w:p w14:paraId="6ADDA980" w14:textId="77777777" w:rsidR="00EA1CCC" w:rsidRPr="00066E25" w:rsidRDefault="00AF6B63" w:rsidP="00AF6B63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Water intoxication (often associated with unstable mental health) – typically low urine osmolality less than 100 mmol/kg</w:t>
            </w:r>
          </w:p>
          <w:p w14:paraId="27AE2D11" w14:textId="4064820B" w:rsidR="00AF6B63" w:rsidRPr="00066E25" w:rsidRDefault="00AF6B63" w:rsidP="00AF6B63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Severe hypothyroidism</w:t>
            </w:r>
          </w:p>
          <w:p w14:paraId="5CD247BB" w14:textId="77777777" w:rsidR="00EA1CCC" w:rsidRPr="00066E25" w:rsidRDefault="00EA1CCC" w:rsidP="00EA1CCC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003ABAF" w14:textId="77777777" w:rsidR="00AF6B63" w:rsidRPr="00066E25" w:rsidRDefault="00AF6B63" w:rsidP="00AF6B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9. Consider further investigations depending on likely cause:</w:t>
            </w:r>
          </w:p>
          <w:p w14:paraId="6F7CF284" w14:textId="77777777" w:rsidR="00EA1CCC" w:rsidRPr="00066E25" w:rsidRDefault="00AF6B63" w:rsidP="00AF6B63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Short </w:t>
            </w: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synacthen</w:t>
            </w:r>
            <w:proofErr w:type="spellEnd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stimulation test (SST) if 9:00 am cortisol level is less than 400.</w:t>
            </w:r>
          </w:p>
          <w:p w14:paraId="5F607EF8" w14:textId="77777777" w:rsidR="00EA1CCC" w:rsidRPr="00066E25" w:rsidRDefault="00AF6B63" w:rsidP="00AF6B63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Chest X ray.</w:t>
            </w:r>
          </w:p>
          <w:p w14:paraId="0B682419" w14:textId="77777777" w:rsidR="00905FE8" w:rsidRPr="00066E25" w:rsidRDefault="00AF6B63" w:rsidP="00EF2BD4">
            <w:pPr>
              <w:pStyle w:val="ListParagraph"/>
              <w:numPr>
                <w:ilvl w:val="0"/>
                <w:numId w:val="1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CT chest – may help determine the cause of syndrome of inappropriate anti-diuretic hormone (SIADH).</w:t>
            </w:r>
          </w:p>
          <w:p w14:paraId="4A77C908" w14:textId="2A672FE6" w:rsidR="00AD4F17" w:rsidRPr="00066E25" w:rsidRDefault="00AD4F17" w:rsidP="00AD4F17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191EF4C" w14:textId="77777777" w:rsidR="00905FE8" w:rsidRPr="00066E25" w:rsidRDefault="00905FE8">
      <w:pPr>
        <w:rPr>
          <w:rFonts w:ascii="Arial" w:hAnsi="Arial" w:cs="Arial"/>
          <w:color w:val="FF0000"/>
        </w:rPr>
      </w:pPr>
    </w:p>
    <w:p w14:paraId="0F53B0ED" w14:textId="77777777" w:rsidR="00EA1CCC" w:rsidRPr="00066E25" w:rsidRDefault="00EA1CCC">
      <w:pPr>
        <w:rPr>
          <w:rFonts w:ascii="Arial" w:hAnsi="Arial" w:cs="Arial"/>
          <w:color w:val="FF0000"/>
        </w:rPr>
      </w:pPr>
    </w:p>
    <w:p w14:paraId="437C1AD6" w14:textId="77777777" w:rsidR="00EA1CCC" w:rsidRPr="00066E25" w:rsidRDefault="00EA1CCC">
      <w:pPr>
        <w:rPr>
          <w:rFonts w:ascii="Arial" w:hAnsi="Arial" w:cs="Arial"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6B63" w:rsidRPr="00066E25" w14:paraId="3245C3F8" w14:textId="77777777" w:rsidTr="00EF2BD4">
        <w:tc>
          <w:tcPr>
            <w:tcW w:w="9016" w:type="dxa"/>
            <w:shd w:val="clear" w:color="auto" w:fill="DAE9F7" w:themeFill="text2" w:themeFillTint="1A"/>
          </w:tcPr>
          <w:p w14:paraId="51BCCA89" w14:textId="0CB1830E" w:rsidR="00AF6B63" w:rsidRPr="00066E25" w:rsidRDefault="00EA1CCC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Management</w:t>
            </w:r>
          </w:p>
          <w:p w14:paraId="52B2D943" w14:textId="77777777" w:rsidR="00AF6B63" w:rsidRPr="00066E25" w:rsidRDefault="00AF6B63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AF6B63" w:rsidRPr="00066E25" w14:paraId="6B273C2A" w14:textId="77777777" w:rsidTr="00EF2BD4">
        <w:trPr>
          <w:trHeight w:val="1555"/>
        </w:trPr>
        <w:tc>
          <w:tcPr>
            <w:tcW w:w="9016" w:type="dxa"/>
          </w:tcPr>
          <w:p w14:paraId="397BD8C3" w14:textId="77777777" w:rsidR="00AF6B63" w:rsidRPr="00066E25" w:rsidRDefault="00AF6B63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258A39D0" w14:textId="77777777" w:rsidR="00EA1CCC" w:rsidRPr="00066E25" w:rsidRDefault="00EA1CCC" w:rsidP="00EA1CC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Immediate management</w:t>
            </w:r>
          </w:p>
          <w:p w14:paraId="42D895D6" w14:textId="77777777" w:rsidR="00EA1CCC" w:rsidRPr="00066E25" w:rsidRDefault="00EA1CCC" w:rsidP="00EA1CC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1. Stop dextrose infusion and any medications known to cause hyponatraemia.</w:t>
            </w:r>
          </w:p>
          <w:p w14:paraId="743B1CB0" w14:textId="77777777" w:rsidR="00EA1CCC" w:rsidRPr="00066E25" w:rsidRDefault="00EA1CCC" w:rsidP="00EA1CC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9F91234" w14:textId="2C131CE7" w:rsidR="00EA1CCC" w:rsidRPr="00066E25" w:rsidRDefault="00EA1CCC" w:rsidP="00EA1CC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2. Seek acute 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general medicine advice</w:t>
            </w:r>
            <w:r w:rsidRPr="00066E25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for admission for symptomatic patients, along with starting initial treatment.</w:t>
            </w:r>
          </w:p>
          <w:p w14:paraId="110851EE" w14:textId="77777777" w:rsidR="00EA1CCC" w:rsidRPr="00066E25" w:rsidRDefault="00EA1CCC" w:rsidP="00EA1CCC">
            <w:pPr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</w:p>
          <w:p w14:paraId="333C181A" w14:textId="77777777" w:rsidR="00EA1CCC" w:rsidRPr="00066E25" w:rsidRDefault="00EA1CCC" w:rsidP="00EA1CC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3. Manage depending on the presence of Red Flags and the patient's clinical state, symptoms, and duration of hyponatraemia.</w:t>
            </w:r>
          </w:p>
          <w:p w14:paraId="237574AA" w14:textId="77777777" w:rsidR="00EA1CCC" w:rsidRPr="00066E25" w:rsidRDefault="00EA1CCC" w:rsidP="00EA1CC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C0961B7" w14:textId="77777777" w:rsidR="00EA1CCC" w:rsidRPr="00066E25" w:rsidRDefault="00EA1CCC" w:rsidP="00EA1CCC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Severely symptomatic (usually sodium less than 120 mmol/L)</w:t>
            </w:r>
          </w:p>
          <w:p w14:paraId="5776CC90" w14:textId="77777777" w:rsidR="00EA1CCC" w:rsidRPr="00066E25" w:rsidRDefault="00EA1CCC" w:rsidP="00EA1CCC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</w:p>
          <w:p w14:paraId="0D724C48" w14:textId="6DA807DF" w:rsidR="00EA1CCC" w:rsidRPr="00066E25" w:rsidRDefault="00EA1CCC" w:rsidP="00EA1CC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If severe hyponatraemia with seizure or coma, consider using </w:t>
            </w:r>
            <w:r w:rsidRPr="00066E25">
              <w:rPr>
                <w:rFonts w:ascii="Arial" w:hAnsi="Arial" w:cs="Arial"/>
                <w:sz w:val="24"/>
                <w:szCs w:val="24"/>
              </w:rPr>
              <w:t>sodium chloride 1.8%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,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 xml:space="preserve"> 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150 mL intravenously (IV) or via central venous access device over 15 minutes. Seek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sz w:val="24"/>
                <w:szCs w:val="24"/>
              </w:rPr>
              <w:t>urgent intensive care advice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about whether to transfer the patient to the ICU.</w:t>
            </w:r>
          </w:p>
          <w:p w14:paraId="179355AC" w14:textId="39E75C07" w:rsidR="00EA1CCC" w:rsidRPr="00066E25" w:rsidRDefault="00EA1CCC" w:rsidP="00EA1CC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Sodium chloride 1.8% has a high osmolarity (hypertonic) and may cause venous irritation and tissue damage in cases of extravasation. If a central venous access device is not available, administer via a large peripheral vein. Concentrations exceeding 1.8% should always be administered via a central venous access device. See Medusa – </w:t>
            </w:r>
            <w:r w:rsidRPr="00066E25">
              <w:rPr>
                <w:rFonts w:ascii="Arial" w:hAnsi="Arial" w:cs="Arial"/>
                <w:sz w:val="24"/>
                <w:szCs w:val="24"/>
              </w:rPr>
              <w:t>NHS Injectable Medicines Guide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.</w:t>
            </w:r>
          </w:p>
          <w:p w14:paraId="7956D355" w14:textId="66BA43F9" w:rsidR="00EA1CCC" w:rsidRPr="00066E25" w:rsidRDefault="00EA1CCC" w:rsidP="00EA1CC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Arrange urgent </w:t>
            </w:r>
            <w:r w:rsidRPr="00066E25">
              <w:rPr>
                <w:rFonts w:ascii="Arial" w:hAnsi="Arial" w:cs="Arial"/>
                <w:sz w:val="24"/>
                <w:szCs w:val="24"/>
              </w:rPr>
              <w:t>intensive care assessment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, if advised, but do not delay initiating further treatment.</w:t>
            </w:r>
          </w:p>
          <w:p w14:paraId="3C52A2FE" w14:textId="77777777" w:rsidR="00EA1CCC" w:rsidRPr="00066E25" w:rsidRDefault="00EA1CCC" w:rsidP="00EA1CC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Manage patient in an environment where close biochemical and clinical monitoring can be provided.</w:t>
            </w:r>
          </w:p>
          <w:p w14:paraId="1573DF60" w14:textId="77777777" w:rsidR="00EA1CCC" w:rsidRPr="00066E25" w:rsidRDefault="00EA1CCC" w:rsidP="00EA1CC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Aim to improve symptoms, not to correct sodium level back to normal.</w:t>
            </w:r>
          </w:p>
          <w:p w14:paraId="29AA2889" w14:textId="77777777" w:rsidR="00EA1CCC" w:rsidRPr="00066E25" w:rsidRDefault="00EA1CCC" w:rsidP="00EA1CC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Repeat serum sodium after 20 minutes if no clinical improvement (venous sample on blood gas analyser, if available).</w:t>
            </w:r>
          </w:p>
          <w:p w14:paraId="0D0BCCAE" w14:textId="77777777" w:rsidR="00EA1CCC" w:rsidRPr="00066E25" w:rsidRDefault="00EA1CCC" w:rsidP="00EA1CC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If sodium level remains the same, a repeat bolus dose of hypertonic saline can be given.</w:t>
            </w:r>
          </w:p>
          <w:p w14:paraId="244F56DD" w14:textId="1A2E70A9" w:rsidR="00EA1CCC" w:rsidRPr="00066E25" w:rsidRDefault="00EA1CCC" w:rsidP="00EA1CCC">
            <w:pPr>
              <w:pStyle w:val="ListParagraph"/>
              <w:numPr>
                <w:ilvl w:val="0"/>
                <w:numId w:val="1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Recheck serum sodium at 6, 12, 24, and 48 hours. Sodium should not rise greater than 6 mmol/L in first 6 hours or greater than 10 mmol/l in first 24 hours and 8 mmol/L in subsequent 24 hours. If rapid overcorrection, use IV 5% dextrose or consider desmopressin to reduce risk of osmotic demyelination, and seek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sz w:val="24"/>
                <w:szCs w:val="24"/>
              </w:rPr>
              <w:t>endocrinology advice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620485A9" w14:textId="77777777" w:rsidR="00EA1CCC" w:rsidRPr="00066E25" w:rsidRDefault="00EA1CCC" w:rsidP="00EA1CCC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2C41B4E" w14:textId="77777777" w:rsidR="00EA1CCC" w:rsidRPr="00066E25" w:rsidRDefault="00EA1CCC" w:rsidP="00EA1CCC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Non-severe symptoms or asymptomatic</w:t>
            </w:r>
          </w:p>
          <w:p w14:paraId="29A4925E" w14:textId="77777777" w:rsidR="00EA1CCC" w:rsidRPr="00066E25" w:rsidRDefault="00EA1CCC" w:rsidP="00EA1CCC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</w:p>
          <w:p w14:paraId="47011A35" w14:textId="77777777" w:rsidR="00EA1CCC" w:rsidRPr="00066E25" w:rsidRDefault="00EA1CCC" w:rsidP="00EA1CC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Cause-specific treatment is recommended, rather than aiming to increase sodium level. If thought to be drug induced, this may be all that is required.</w:t>
            </w:r>
          </w:p>
          <w:p w14:paraId="6F93025F" w14:textId="77777777" w:rsidR="00EA1CCC" w:rsidRPr="00066E25" w:rsidRDefault="00EA1CCC" w:rsidP="00EA1CC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If hypovolaemic, restore volume with an initial intravenous (IV) fluid challenge of 1 L isotonic saline over 8 hours</w:t>
            </w:r>
          </w:p>
          <w:p w14:paraId="04C9DA22" w14:textId="77777777" w:rsidR="00EA1CCC" w:rsidRPr="00066E25" w:rsidRDefault="00EA1CCC" w:rsidP="00EA1CC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hypervolaemic</w:t>
            </w:r>
            <w:proofErr w:type="spellEnd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, start fluid restriction</w:t>
            </w:r>
          </w:p>
          <w:p w14:paraId="686B8F24" w14:textId="77777777" w:rsidR="00EA1CCC" w:rsidRPr="00066E25" w:rsidRDefault="00EA1CCC" w:rsidP="00EA1CC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If thought to be drug induced, then stopping the causative drug may be all that is required – there is no need to do fluid restriction unless sodium is not improving.</w:t>
            </w:r>
          </w:p>
          <w:p w14:paraId="40E21392" w14:textId="045E96CF" w:rsidR="00EA1CCC" w:rsidRPr="00066E25" w:rsidRDefault="00EA1CCC" w:rsidP="00EA1CC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If </w:t>
            </w:r>
            <w:r w:rsidRPr="00066E25">
              <w:rPr>
                <w:rFonts w:ascii="Arial" w:hAnsi="Arial" w:cs="Arial"/>
                <w:sz w:val="24"/>
                <w:szCs w:val="24"/>
              </w:rPr>
              <w:t>SIADH secretion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is suspected or diagnostic criteria are met:</w:t>
            </w:r>
          </w:p>
          <w:p w14:paraId="6D24A7FB" w14:textId="77777777" w:rsidR="00EA1CCC" w:rsidRPr="00066E25" w:rsidRDefault="00EA1CCC" w:rsidP="00EA1CC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Syndrome of inappropriate anti-diuretic hormone (SIADH) secretion</w:t>
            </w:r>
          </w:p>
          <w:p w14:paraId="1719F566" w14:textId="5D6E57A1" w:rsidR="00EA1CCC" w:rsidRPr="00066E25" w:rsidRDefault="00EA1CCC" w:rsidP="00EA1CCC">
            <w:pPr>
              <w:pStyle w:val="ListParagraph"/>
              <w:numPr>
                <w:ilvl w:val="0"/>
                <w:numId w:val="2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Patients produce an inappropriately concentrated urine in the absence of an appropriate stimulus for the release of antidiuretic hormone.</w:t>
            </w:r>
          </w:p>
          <w:p w14:paraId="4134A7A6" w14:textId="77777777" w:rsidR="00EA1CCC" w:rsidRPr="00066E25" w:rsidRDefault="00EA1CCC" w:rsidP="00EA1CCC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9E80CF7" w14:textId="77777777" w:rsidR="00EA1CCC" w:rsidRPr="00066E25" w:rsidRDefault="00EA1CCC" w:rsidP="00EA1CC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Diagnostic criteria:</w:t>
            </w:r>
          </w:p>
          <w:p w14:paraId="7AC06E44" w14:textId="77777777" w:rsidR="00EA1CCC" w:rsidRPr="00066E25" w:rsidRDefault="00EA1CCC" w:rsidP="00EA1CC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Clinically </w:t>
            </w: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euvolaemic</w:t>
            </w:r>
            <w:proofErr w:type="spellEnd"/>
          </w:p>
          <w:p w14:paraId="17C961E8" w14:textId="77777777" w:rsidR="00EA1CCC" w:rsidRPr="00066E25" w:rsidRDefault="00EA1CCC" w:rsidP="00EA1CC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Urine osmolality exceeds 100 </w:t>
            </w:r>
            <w:proofErr w:type="spell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mmoL</w:t>
            </w:r>
            <w:proofErr w:type="spellEnd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/kg in the absence of diuretics</w:t>
            </w:r>
          </w:p>
          <w:p w14:paraId="000445CC" w14:textId="77777777" w:rsidR="00EA1CCC" w:rsidRPr="00066E25" w:rsidRDefault="00EA1CCC" w:rsidP="00EA1CC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 sodium greater than 20 mmol/L</w:t>
            </w:r>
          </w:p>
          <w:p w14:paraId="2514AA64" w14:textId="77777777" w:rsidR="00EA1CCC" w:rsidRPr="00066E25" w:rsidRDefault="00EA1CCC" w:rsidP="00EA1CC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Plasma osmolality less than 275 mmol/kg</w:t>
            </w:r>
          </w:p>
          <w:p w14:paraId="527D91BD" w14:textId="77777777" w:rsidR="00EA1CCC" w:rsidRPr="00066E25" w:rsidRDefault="00EA1CCC" w:rsidP="00EA1CC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Normal renal function with no hypokalaemia and no acid base disturbance</w:t>
            </w:r>
          </w:p>
          <w:p w14:paraId="13D3EA59" w14:textId="634E6B77" w:rsidR="00EA1CCC" w:rsidRPr="00066E25" w:rsidRDefault="00EA1CCC" w:rsidP="00EA1CCC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Adrenal insufficiency and hypothyroidism have been excluded</w:t>
            </w:r>
          </w:p>
          <w:p w14:paraId="3D07C279" w14:textId="77777777" w:rsidR="00EA1CCC" w:rsidRPr="00066E25" w:rsidRDefault="00EA1CCC" w:rsidP="00EA1CCC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3D217B9" w14:textId="77777777" w:rsidR="00EA1CCC" w:rsidRPr="00066E25" w:rsidRDefault="00EA1CCC" w:rsidP="00EA1CC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Causes of SIADH include:</w:t>
            </w:r>
          </w:p>
          <w:p w14:paraId="4CD1734C" w14:textId="77777777" w:rsidR="00EA1CCC" w:rsidRPr="00066E25" w:rsidRDefault="00EA1CCC" w:rsidP="00EA1CC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Drugs, e.g. carbamazepine, sodium valproate, selective serotonin reuptake inhibitors (SSRIs), tricyclic antidepressants (TCAs), haloperidol</w:t>
            </w:r>
          </w:p>
          <w:p w14:paraId="4DE22D51" w14:textId="77777777" w:rsidR="00EA1CCC" w:rsidRPr="00066E25" w:rsidRDefault="00EA1CCC" w:rsidP="00EA1CC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Pulmonary conditions, e.g. neoplasm, infection including tuberculosis (TB), asthma</w:t>
            </w:r>
          </w:p>
          <w:p w14:paraId="18CE447D" w14:textId="77777777" w:rsidR="00EA1CCC" w:rsidRPr="00066E25" w:rsidRDefault="00EA1CCC" w:rsidP="00EA1CC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Central nervous system pathology, e.g. infection, bleed, mass, delirium tremens (DTs)</w:t>
            </w:r>
          </w:p>
          <w:p w14:paraId="43D78B40" w14:textId="77777777" w:rsidR="00AD4F17" w:rsidRPr="00066E25" w:rsidRDefault="00EA1CCC" w:rsidP="00EA1CC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Malignancy, e.g. lung, mesothelioma, gastrointestinal, lymphoma, and urinary tract</w:t>
            </w:r>
          </w:p>
          <w:p w14:paraId="03859CA0" w14:textId="77777777" w:rsidR="00AD4F17" w:rsidRPr="00066E25" w:rsidRDefault="00EA1CCC" w:rsidP="00EA1CC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Postoperative pain</w:t>
            </w:r>
          </w:p>
          <w:p w14:paraId="6092B57C" w14:textId="77777777" w:rsidR="00AD4F17" w:rsidRPr="00066E25" w:rsidRDefault="00EA1CCC" w:rsidP="00EA1CC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Idiopathic – more common in the elderly.</w:t>
            </w:r>
          </w:p>
          <w:p w14:paraId="242E32B5" w14:textId="77777777" w:rsidR="00AD4F17" w:rsidRPr="00066E25" w:rsidRDefault="00EA1CCC" w:rsidP="00EA1CC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start fluid restriction</w:t>
            </w:r>
          </w:p>
          <w:p w14:paraId="1563626F" w14:textId="23018309" w:rsidR="00EA1CCC" w:rsidRPr="00066E25" w:rsidRDefault="00EA1CCC" w:rsidP="00EA1CCC">
            <w:pPr>
              <w:pStyle w:val="ListParagraph"/>
              <w:numPr>
                <w:ilvl w:val="0"/>
                <w:numId w:val="2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 seeking </w:t>
            </w:r>
            <w:r w:rsidRPr="00066E25">
              <w:rPr>
                <w:rFonts w:ascii="Arial" w:hAnsi="Arial" w:cs="Arial"/>
                <w:sz w:val="24"/>
                <w:szCs w:val="24"/>
              </w:rPr>
              <w:t>endocrinology advice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343C6487" w14:textId="77777777" w:rsidR="00AD4F17" w:rsidRPr="00066E25" w:rsidRDefault="00AD4F17" w:rsidP="00AD4F17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0C4018F" w14:textId="77777777" w:rsidR="00EA1CCC" w:rsidRPr="00066E25" w:rsidRDefault="00EA1CCC" w:rsidP="00EA1CC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Begin monitoring:</w:t>
            </w:r>
          </w:p>
          <w:p w14:paraId="57C3BEC3" w14:textId="77777777" w:rsidR="00AD4F17" w:rsidRPr="00066E25" w:rsidRDefault="00EA1CCC" w:rsidP="00EA1CCC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Strict fluid input and output charting with regular fluid balance is required</w:t>
            </w:r>
          </w:p>
          <w:p w14:paraId="39D935EB" w14:textId="65B7D06C" w:rsidR="00EA1CCC" w:rsidRPr="00066E25" w:rsidRDefault="00EA1CCC" w:rsidP="00EA1CCC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Urea and electrolytes must be checked every 24 hours initially.</w:t>
            </w:r>
          </w:p>
          <w:p w14:paraId="400FDC15" w14:textId="77777777" w:rsidR="00AF6B63" w:rsidRPr="00066E25" w:rsidRDefault="00AF6B63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78F50755" w14:textId="77777777" w:rsidR="00EA1CCC" w:rsidRPr="00066E25" w:rsidRDefault="00EA1CCC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0A9EAC4E" w14:textId="77777777" w:rsidR="00905FE8" w:rsidRPr="00066E25" w:rsidRDefault="00905FE8">
      <w:pPr>
        <w:rPr>
          <w:rFonts w:ascii="Arial" w:hAnsi="Arial" w:cs="Arial"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F6B63" w:rsidRPr="00066E25" w14:paraId="48B7DE99" w14:textId="77777777" w:rsidTr="00EF2BD4">
        <w:tc>
          <w:tcPr>
            <w:tcW w:w="9016" w:type="dxa"/>
            <w:shd w:val="clear" w:color="auto" w:fill="DAE9F7" w:themeFill="text2" w:themeFillTint="1A"/>
          </w:tcPr>
          <w:p w14:paraId="772E1BA3" w14:textId="5730D2F1" w:rsidR="00AF6B63" w:rsidRPr="00066E25" w:rsidRDefault="00FB1AFE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Ongoing Management</w:t>
            </w:r>
          </w:p>
          <w:p w14:paraId="3EE74110" w14:textId="77777777" w:rsidR="00AF6B63" w:rsidRPr="00066E25" w:rsidRDefault="00AF6B63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FB1AFE" w:rsidRPr="00066E25" w14:paraId="2D48D5F3" w14:textId="77777777" w:rsidTr="00EF2BD4">
        <w:trPr>
          <w:trHeight w:val="1555"/>
        </w:trPr>
        <w:tc>
          <w:tcPr>
            <w:tcW w:w="9016" w:type="dxa"/>
          </w:tcPr>
          <w:p w14:paraId="50E380FA" w14:textId="77777777" w:rsidR="00AF6B63" w:rsidRPr="00066E25" w:rsidRDefault="00AF6B63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4912B49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1. Treat any underlying cause identified.</w:t>
            </w:r>
          </w:p>
          <w:p w14:paraId="10C037CB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50364564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2. Ensure the rates of sodium correction stay within the safe limit (10 mmol/L in first 24 hours, 8 mmol/L in subsequent 24 hours). Over-rapid sodium replacement in chronic hyponatraemia can cause central pontine myelinolysis.</w:t>
            </w:r>
          </w:p>
          <w:p w14:paraId="6130D0BF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D10FE2B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3. If hypovolaemia, restore extracellular volume with intravenous (IV) infusion 0.9% saline at 0.5 to 1.0 mL/kg per hour</w:t>
            </w:r>
          </w:p>
          <w:p w14:paraId="2E2757E5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FF3A698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4. If </w:t>
            </w:r>
            <w:proofErr w:type="spellStart"/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euvolaemia</w:t>
            </w:r>
            <w:proofErr w:type="spellEnd"/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or hypervolaemia continue or start fluid restriction if needed. Be guided by the fluid balance chart</w:t>
            </w:r>
          </w:p>
          <w:p w14:paraId="2855A4C2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14AC911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5. In all cases, aim to restore plasma sodium to 125 to 130 mmol/L.</w:t>
            </w:r>
          </w:p>
          <w:p w14:paraId="71C4CB15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D1085B1" w14:textId="72107C22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6. If 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SIADH secretion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 diagnosed or suspected, seek 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endocrinology advice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 for consideration of 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tolvaptan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 or demeclocycline hydrochloride if poor response after 24 to 48 of fluid restriction.</w:t>
            </w:r>
          </w:p>
          <w:p w14:paraId="639AC2C9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DE59C16" w14:textId="77777777" w:rsidR="00FB1AFE" w:rsidRPr="00066E25" w:rsidRDefault="00FB1AFE" w:rsidP="00FB1AFE">
            <w:pPr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  <w:u w:val="single"/>
              </w:rPr>
              <w:t>Tolvaptan</w:t>
            </w:r>
          </w:p>
          <w:p w14:paraId="01B4C34E" w14:textId="77777777" w:rsidR="00FB1AFE" w:rsidRPr="00066E25" w:rsidRDefault="00FB1AFE" w:rsidP="00FB1AFE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Prescription is authorised by an endocrinology consultant only and reviewed daily (including weekends).</w:t>
            </w:r>
          </w:p>
          <w:p w14:paraId="76097EF2" w14:textId="77777777" w:rsidR="00FB1AFE" w:rsidRPr="00066E25" w:rsidRDefault="00FB1AFE" w:rsidP="00FB1AFE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Remove any fluid restriction.</w:t>
            </w:r>
          </w:p>
          <w:p w14:paraId="7101CA64" w14:textId="77777777" w:rsidR="00FB1AFE" w:rsidRPr="00066E25" w:rsidRDefault="00FB1AFE" w:rsidP="00FB1AFE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Allow the patient to drink to thirst response.</w:t>
            </w:r>
          </w:p>
          <w:p w14:paraId="73EFCA89" w14:textId="77777777" w:rsidR="00FB1AFE" w:rsidRPr="00066E25" w:rsidRDefault="00FB1AFE" w:rsidP="00FB1AFE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Repeat serum sodium 6 hours later.</w:t>
            </w:r>
          </w:p>
          <w:p w14:paraId="4197DA15" w14:textId="77777777" w:rsidR="00FB1AFE" w:rsidRPr="00066E25" w:rsidRDefault="00FB1AFE" w:rsidP="00FB1AFE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Repeat dose after discussion with endocrinology if no improvement after 24 hours (and if no improvement after second dose, reconsider diagnosis).</w:t>
            </w:r>
          </w:p>
          <w:p w14:paraId="48974111" w14:textId="77777777" w:rsidR="00FB1AFE" w:rsidRPr="00066E25" w:rsidRDefault="00FB1AFE" w:rsidP="00FB1AFE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Stop as soon sodium is greater than 125 mmol/L.</w:t>
            </w:r>
          </w:p>
          <w:p w14:paraId="3FA2433F" w14:textId="0E9A17FF" w:rsidR="00FB1AFE" w:rsidRPr="00066E25" w:rsidRDefault="00FB1AFE" w:rsidP="00FB1AFE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Do not use for ongoing control of chronic hyponatraemia.</w:t>
            </w:r>
          </w:p>
          <w:p w14:paraId="44D7D852" w14:textId="77777777" w:rsidR="00FB1AFE" w:rsidRPr="00066E25" w:rsidRDefault="00FB1AFE" w:rsidP="00FB1AFE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EFA9A4F" w14:textId="5AA8FC9C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7. If known Adrenal insufficiency and hyponatraemia is an incidental finding, seek 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endocrinology advice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 about glucocorticoid dosage.</w:t>
            </w:r>
          </w:p>
          <w:p w14:paraId="6168E38C" w14:textId="77777777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7EFE9B0B" w14:textId="4FDB3C04" w:rsidR="00FB1AFE" w:rsidRPr="00066E25" w:rsidRDefault="00FB1AFE" w:rsidP="00FB1AF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8. If the cause of hyponatraemia has not been identified, seek </w:t>
            </w: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t>endocrinology advice</w:t>
            </w: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37A41866" w14:textId="77777777" w:rsidR="00AF6B63" w:rsidRPr="00066E25" w:rsidRDefault="00AF6B63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2AD2E1D3" w14:textId="77777777" w:rsidR="00AF6B63" w:rsidRPr="00066E25" w:rsidRDefault="00AF6B63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1AFE" w:rsidRPr="00066E25" w14:paraId="67093E5D" w14:textId="77777777" w:rsidTr="00EF2BD4">
        <w:tc>
          <w:tcPr>
            <w:tcW w:w="9016" w:type="dxa"/>
            <w:shd w:val="clear" w:color="auto" w:fill="DAE9F7" w:themeFill="text2" w:themeFillTint="1A"/>
          </w:tcPr>
          <w:p w14:paraId="139C094F" w14:textId="5DE5FFCE" w:rsidR="00FB1AFE" w:rsidRPr="00066E25" w:rsidRDefault="00FB1AFE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Discharge and Follow Up.</w:t>
            </w:r>
          </w:p>
          <w:p w14:paraId="641DD1DF" w14:textId="77777777" w:rsidR="00FB1AFE" w:rsidRPr="00066E25" w:rsidRDefault="00FB1AFE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FB1AFE" w:rsidRPr="00066E25" w14:paraId="53440208" w14:textId="77777777" w:rsidTr="00EF2BD4">
        <w:trPr>
          <w:trHeight w:val="1555"/>
        </w:trPr>
        <w:tc>
          <w:tcPr>
            <w:tcW w:w="9016" w:type="dxa"/>
          </w:tcPr>
          <w:p w14:paraId="68AA5444" w14:textId="77777777" w:rsidR="00FB1AFE" w:rsidRPr="00066E25" w:rsidRDefault="00FB1AFE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EB1EC8A" w14:textId="77777777" w:rsidR="00FB1AFE" w:rsidRPr="00066E25" w:rsidRDefault="00FB1AFE" w:rsidP="00FB1AFE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Complete the patient's discharge summary:</w:t>
            </w:r>
          </w:p>
          <w:p w14:paraId="198C948C" w14:textId="77777777" w:rsidR="00891852" w:rsidRPr="00066E25" w:rsidRDefault="00FB1AFE" w:rsidP="00FB1AFE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provide clear information to the general practitioner about the </w:t>
            </w:r>
            <w:proofErr w:type="gramStart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patient's</w:t>
            </w:r>
            <w:proofErr w:type="gramEnd"/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</w:p>
          <w:p w14:paraId="4147EDEA" w14:textId="77777777" w:rsidR="00891852" w:rsidRPr="00066E25" w:rsidRDefault="00FB1AFE" w:rsidP="00FB1AFE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diagnosis</w:t>
            </w:r>
          </w:p>
          <w:p w14:paraId="1A7222A5" w14:textId="77777777" w:rsidR="00891852" w:rsidRPr="00066E25" w:rsidRDefault="00FB1AFE" w:rsidP="00FB1AFE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treatment given, alterations to medications</w:t>
            </w:r>
          </w:p>
          <w:p w14:paraId="33F75319" w14:textId="77777777" w:rsidR="00891852" w:rsidRPr="00066E25" w:rsidRDefault="00FB1AFE" w:rsidP="00FB1AFE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follow up arrangements.</w:t>
            </w:r>
          </w:p>
          <w:p w14:paraId="1132605D" w14:textId="6BE7BAD4" w:rsidR="00FB1AFE" w:rsidRPr="00066E25" w:rsidRDefault="00FB1AFE" w:rsidP="00FB1AFE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arrange repeat sodium level via phlebotomy hub after clinically appropriate interval (2 to 6 weeks).</w:t>
            </w:r>
          </w:p>
          <w:p w14:paraId="22E556EA" w14:textId="77777777" w:rsidR="00FB1AFE" w:rsidRPr="00066E25" w:rsidRDefault="00FB1AFE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0C73133B" w14:textId="77777777" w:rsidR="00FB1AFE" w:rsidRPr="00066E25" w:rsidRDefault="00FB1AFE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1AFE" w:rsidRPr="00066E25" w14:paraId="4D4E2A41" w14:textId="77777777" w:rsidTr="00EF2BD4">
        <w:tc>
          <w:tcPr>
            <w:tcW w:w="9016" w:type="dxa"/>
            <w:shd w:val="clear" w:color="auto" w:fill="DAE9F7" w:themeFill="text2" w:themeFillTint="1A"/>
          </w:tcPr>
          <w:p w14:paraId="60DC46E1" w14:textId="2CCEA3C5" w:rsidR="00FB1AFE" w:rsidRPr="00066E25" w:rsidRDefault="00891852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Advice and Referrals</w:t>
            </w:r>
          </w:p>
          <w:p w14:paraId="7D980D96" w14:textId="77777777" w:rsidR="00FB1AFE" w:rsidRPr="00066E25" w:rsidRDefault="00FB1AFE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FB1AFE" w:rsidRPr="00066E25" w14:paraId="719FD4B0" w14:textId="77777777" w:rsidTr="00EF2BD4">
        <w:trPr>
          <w:trHeight w:val="1555"/>
        </w:trPr>
        <w:tc>
          <w:tcPr>
            <w:tcW w:w="9016" w:type="dxa"/>
          </w:tcPr>
          <w:p w14:paraId="4AB7D5B5" w14:textId="77777777" w:rsidR="00FB1AFE" w:rsidRPr="00066E25" w:rsidRDefault="00FB1AFE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14:paraId="16F587E1" w14:textId="27343557" w:rsidR="00891852" w:rsidRPr="00066E25" w:rsidRDefault="00891852" w:rsidP="0089185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If severely symptomatic with seizure or coma, seek </w:t>
            </w:r>
            <w:r w:rsidRPr="00066E25">
              <w:rPr>
                <w:rFonts w:ascii="Arial" w:hAnsi="Arial" w:cs="Arial"/>
                <w:sz w:val="24"/>
                <w:szCs w:val="24"/>
              </w:rPr>
              <w:t>urgent intensive care advice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and arrange urgent </w:t>
            </w:r>
            <w:r w:rsidRPr="00066E25">
              <w:rPr>
                <w:rFonts w:ascii="Arial" w:hAnsi="Arial" w:cs="Arial"/>
                <w:sz w:val="24"/>
                <w:szCs w:val="24"/>
              </w:rPr>
              <w:t>intensive care assessment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if advised.</w:t>
            </w:r>
          </w:p>
          <w:p w14:paraId="5669B0F0" w14:textId="25062CC0" w:rsidR="00891852" w:rsidRPr="00066E25" w:rsidRDefault="00891852" w:rsidP="0089185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Seek acute </w:t>
            </w:r>
            <w:r w:rsidRPr="00066E25">
              <w:rPr>
                <w:rFonts w:ascii="Arial" w:hAnsi="Arial" w:cs="Arial"/>
                <w:sz w:val="24"/>
                <w:szCs w:val="24"/>
              </w:rPr>
              <w:t>general medicine advice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for admission for symptomatic patients, along with starting initial treatment.</w:t>
            </w:r>
          </w:p>
          <w:p w14:paraId="55142157" w14:textId="16CFB3F8" w:rsidR="00891852" w:rsidRPr="00066E25" w:rsidRDefault="00891852" w:rsidP="0089185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Seek </w:t>
            </w:r>
            <w:r w:rsidRPr="00066E25">
              <w:rPr>
                <w:rFonts w:ascii="Arial" w:hAnsi="Arial" w:cs="Arial"/>
                <w:sz w:val="24"/>
                <w:szCs w:val="24"/>
              </w:rPr>
              <w:t>endocrinology advice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:</w:t>
            </w:r>
          </w:p>
          <w:p w14:paraId="7DB3183D" w14:textId="77777777" w:rsidR="00891852" w:rsidRPr="00066E25" w:rsidRDefault="00891852" w:rsidP="0089185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for glucocorticoid dosage in patients with adrenal insufficiency.</w:t>
            </w:r>
          </w:p>
          <w:p w14:paraId="0CE0D29F" w14:textId="1549F64A" w:rsidR="00891852" w:rsidRPr="00066E25" w:rsidRDefault="00891852" w:rsidP="0089185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for consideration of </w:t>
            </w:r>
            <w:r w:rsidRPr="00066E25">
              <w:rPr>
                <w:rFonts w:ascii="Arial" w:hAnsi="Arial" w:cs="Arial"/>
                <w:sz w:val="24"/>
                <w:szCs w:val="24"/>
              </w:rPr>
              <w:t>tolvaptan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or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sz w:val="24"/>
                <w:szCs w:val="24"/>
              </w:rPr>
              <w:t>demeclocycline hydrochloride</w:t>
            </w:r>
            <w:r w:rsidRPr="00066E25">
              <w:rPr>
                <w:rFonts w:ascii="Arial" w:hAnsi="Arial" w:cs="Arial"/>
                <w:color w:val="FF0000"/>
                <w:sz w:val="24"/>
                <w:szCs w:val="24"/>
              </w:rPr>
              <w:t> 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to treat SIADH.</w:t>
            </w:r>
          </w:p>
          <w:p w14:paraId="72458335" w14:textId="77777777" w:rsidR="00891852" w:rsidRPr="00066E25" w:rsidRDefault="00891852" w:rsidP="0089185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for consideration of desmopressin to reduce risk of osmotic demyelination in severely symptomatic patients.</w:t>
            </w:r>
          </w:p>
          <w:p w14:paraId="3DC4E033" w14:textId="4DD7FE59" w:rsidR="00891852" w:rsidRPr="00066E25" w:rsidRDefault="00891852" w:rsidP="00891852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if the cause of hyponatraemia has not been identified.</w:t>
            </w:r>
          </w:p>
          <w:p w14:paraId="4A5673A8" w14:textId="77777777" w:rsidR="00FB1AFE" w:rsidRPr="00066E25" w:rsidRDefault="00FB1AFE" w:rsidP="00EF2BD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14:paraId="7D7B0C27" w14:textId="77777777" w:rsidR="00480B86" w:rsidRPr="00066E25" w:rsidRDefault="00480B86">
      <w:pPr>
        <w:rPr>
          <w:rFonts w:ascii="Arial" w:hAnsi="Arial" w:cs="Arial"/>
        </w:rPr>
      </w:pPr>
    </w:p>
    <w:p w14:paraId="18C80C01" w14:textId="77777777" w:rsidR="00557414" w:rsidRPr="00066E25" w:rsidRDefault="00557414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57414" w:rsidRPr="00066E25" w14:paraId="7F22BE57" w14:textId="77777777" w:rsidTr="00C2430A">
        <w:tc>
          <w:tcPr>
            <w:tcW w:w="9016" w:type="dxa"/>
            <w:shd w:val="clear" w:color="auto" w:fill="DAE9F7" w:themeFill="text2" w:themeFillTint="1A"/>
          </w:tcPr>
          <w:p w14:paraId="3EDC88C9" w14:textId="77777777" w:rsidR="00557414" w:rsidRPr="00066E25" w:rsidRDefault="00557414" w:rsidP="00C2430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Information and References</w:t>
            </w:r>
          </w:p>
          <w:p w14:paraId="2D786761" w14:textId="77777777" w:rsidR="00557414" w:rsidRPr="00066E25" w:rsidRDefault="00557414" w:rsidP="00C2430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557414" w:rsidRPr="00066E25" w14:paraId="1DF5005E" w14:textId="77777777" w:rsidTr="00C2430A">
        <w:tc>
          <w:tcPr>
            <w:tcW w:w="9016" w:type="dxa"/>
          </w:tcPr>
          <w:p w14:paraId="03FAE87F" w14:textId="77777777" w:rsidR="009D4370" w:rsidRPr="00066E25" w:rsidRDefault="009D4370" w:rsidP="009D437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9D24F35" w14:textId="31E6F2BC" w:rsidR="009D4370" w:rsidRPr="00066E25" w:rsidRDefault="009D4370" w:rsidP="009D4370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Health Care Professionals</w:t>
            </w:r>
          </w:p>
          <w:p w14:paraId="44359F5C" w14:textId="77777777" w:rsidR="009D4370" w:rsidRPr="00066E25" w:rsidRDefault="009D4370" w:rsidP="009D437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Further information</w:t>
            </w:r>
          </w:p>
          <w:p w14:paraId="582F76F8" w14:textId="77777777" w:rsidR="009D4370" w:rsidRPr="00066E25" w:rsidRDefault="009D4370" w:rsidP="009D4370">
            <w:pPr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European Journal of Endocrinology – </w:t>
            </w:r>
            <w:hyperlink r:id="rId7" w:tgtFrame="_blank" w:history="1">
              <w:r w:rsidRPr="00066E25">
                <w:rPr>
                  <w:rStyle w:val="Hyperlink"/>
                  <w:rFonts w:ascii="Arial" w:hAnsi="Arial" w:cs="Arial"/>
                  <w:sz w:val="24"/>
                  <w:szCs w:val="24"/>
                </w:rPr>
                <w:t>Clinical Practice Guideline on Diagnosis and Treatment of Hyponatraemia</w:t>
              </w:r>
            </w:hyperlink>
          </w:p>
          <w:p w14:paraId="2FF3ED2C" w14:textId="573A19C8" w:rsidR="009D4370" w:rsidRPr="00066E25" w:rsidRDefault="009D4370" w:rsidP="009D4370">
            <w:pPr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GGC Medicines Adult </w:t>
            </w:r>
            <w:r w:rsidR="00066E25"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Therapeutics</w:t>
            </w: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Handbook – </w:t>
            </w:r>
            <w:hyperlink r:id="rId8" w:tgtFrame="_blank" w:history="1">
              <w:r w:rsidRPr="00066E25">
                <w:rPr>
                  <w:rStyle w:val="Hyperlink"/>
                  <w:rFonts w:ascii="Arial" w:hAnsi="Arial" w:cs="Arial"/>
                  <w:sz w:val="24"/>
                  <w:szCs w:val="24"/>
                </w:rPr>
                <w:t>Flowchart 1: Investigations of Hyponatraemia in Adults</w:t>
              </w:r>
            </w:hyperlink>
          </w:p>
          <w:p w14:paraId="3BDE8C19" w14:textId="77777777" w:rsidR="009D4370" w:rsidRPr="00066E25" w:rsidRDefault="009D4370" w:rsidP="009D4370">
            <w:pPr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NICE Clinical Knowledge Summaries (CKS) – </w:t>
            </w:r>
            <w:hyperlink r:id="rId9" w:tgtFrame="_blank" w:history="1">
              <w:r w:rsidRPr="00066E25">
                <w:rPr>
                  <w:rStyle w:val="Hyperlink"/>
                  <w:rFonts w:ascii="Arial" w:hAnsi="Arial" w:cs="Arial"/>
                  <w:sz w:val="24"/>
                  <w:szCs w:val="24"/>
                </w:rPr>
                <w:t>Hyponatraemia</w:t>
              </w:r>
            </w:hyperlink>
          </w:p>
          <w:p w14:paraId="63B17020" w14:textId="77777777" w:rsidR="009D4370" w:rsidRPr="00066E25" w:rsidRDefault="009D4370" w:rsidP="009D4370">
            <w:pPr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North Cumbria Integrated Care NHS Foundation Trust – </w:t>
            </w:r>
            <w:hyperlink r:id="rId10" w:tgtFrame="_blank" w:history="1">
              <w:r w:rsidRPr="00066E25">
                <w:rPr>
                  <w:rStyle w:val="Hyperlink"/>
                  <w:rFonts w:ascii="Arial" w:hAnsi="Arial" w:cs="Arial"/>
                  <w:sz w:val="24"/>
                  <w:szCs w:val="24"/>
                </w:rPr>
                <w:t>Clinical Guideline: Hyponatraemia – Management of Adult Hospital Inpatient</w:t>
              </w:r>
            </w:hyperlink>
          </w:p>
          <w:p w14:paraId="631AAF3D" w14:textId="77777777" w:rsidR="009D4370" w:rsidRPr="00066E25" w:rsidRDefault="009D4370" w:rsidP="009D4370">
            <w:pPr>
              <w:ind w:left="72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233BE82" w14:textId="2BD38B91" w:rsidR="009D4370" w:rsidRPr="00066E25" w:rsidRDefault="009D4370" w:rsidP="009D4370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Patients</w:t>
            </w:r>
          </w:p>
          <w:p w14:paraId="65F51D2B" w14:textId="4BB60D94" w:rsidR="009D4370" w:rsidRPr="00066E25" w:rsidRDefault="009D4370" w:rsidP="009D437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66E25">
              <w:rPr>
                <w:rFonts w:ascii="Arial" w:hAnsi="Arial" w:cs="Arial"/>
                <w:color w:val="000000" w:themeColor="text1"/>
                <w:sz w:val="24"/>
                <w:szCs w:val="24"/>
              </w:rPr>
              <w:t>Patient – </w:t>
            </w:r>
            <w:hyperlink r:id="rId11" w:tgtFrame="_blank" w:history="1">
              <w:r w:rsidRPr="00066E25">
                <w:rPr>
                  <w:rStyle w:val="Hyperlink"/>
                  <w:rFonts w:ascii="Arial" w:hAnsi="Arial" w:cs="Arial"/>
                  <w:sz w:val="24"/>
                  <w:szCs w:val="24"/>
                </w:rPr>
                <w:t>Hyponatraemia</w:t>
              </w:r>
            </w:hyperlink>
          </w:p>
          <w:p w14:paraId="37283E91" w14:textId="77777777" w:rsidR="00557414" w:rsidRPr="00066E25" w:rsidRDefault="00557414" w:rsidP="00C2430A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497CE92" w14:textId="77777777" w:rsidR="00557414" w:rsidRPr="00066E25" w:rsidRDefault="00557414">
      <w:pPr>
        <w:rPr>
          <w:rFonts w:ascii="Arial" w:hAnsi="Arial" w:cs="Arial"/>
        </w:rPr>
      </w:pPr>
    </w:p>
    <w:p w14:paraId="71ECBFE9" w14:textId="77777777" w:rsidR="00557414" w:rsidRPr="00066E25" w:rsidRDefault="00557414">
      <w:pPr>
        <w:rPr>
          <w:rFonts w:ascii="Arial" w:hAnsi="Arial" w:cs="Arial"/>
        </w:rPr>
      </w:pPr>
    </w:p>
    <w:p w14:paraId="550291E8" w14:textId="77777777" w:rsidR="00557414" w:rsidRPr="00066E25" w:rsidRDefault="00557414">
      <w:pPr>
        <w:rPr>
          <w:rFonts w:ascii="Arial" w:hAnsi="Arial" w:cs="Arial"/>
        </w:rPr>
      </w:pPr>
    </w:p>
    <w:p w14:paraId="607B0F14" w14:textId="77777777" w:rsidR="00557414" w:rsidRPr="00066E25" w:rsidRDefault="00557414">
      <w:pPr>
        <w:rPr>
          <w:rFonts w:ascii="Arial" w:hAnsi="Arial" w:cs="Arial"/>
        </w:rPr>
      </w:pPr>
    </w:p>
    <w:p w14:paraId="176C85F4" w14:textId="77777777" w:rsidR="00557414" w:rsidRPr="00066E25" w:rsidRDefault="00557414">
      <w:pPr>
        <w:rPr>
          <w:rFonts w:ascii="Arial" w:hAnsi="Arial" w:cs="Arial"/>
        </w:rPr>
      </w:pPr>
    </w:p>
    <w:p w14:paraId="0DE0FE9F" w14:textId="77777777" w:rsidR="00557414" w:rsidRPr="00066E25" w:rsidRDefault="00557414">
      <w:pPr>
        <w:rPr>
          <w:rFonts w:ascii="Arial" w:hAnsi="Arial" w:cs="Arial"/>
        </w:rPr>
      </w:pPr>
    </w:p>
    <w:p w14:paraId="624C64A7" w14:textId="77777777" w:rsidR="009D4370" w:rsidRPr="00066E25" w:rsidRDefault="009D4370">
      <w:pPr>
        <w:rPr>
          <w:rFonts w:ascii="Arial" w:hAnsi="Arial" w:cs="Arial"/>
        </w:rPr>
      </w:pPr>
    </w:p>
    <w:p w14:paraId="4AEDA2FD" w14:textId="77777777" w:rsidR="009D4370" w:rsidRPr="00066E25" w:rsidRDefault="009D4370">
      <w:pPr>
        <w:rPr>
          <w:rFonts w:ascii="Arial" w:hAnsi="Arial" w:cs="Arial"/>
        </w:rPr>
      </w:pPr>
    </w:p>
    <w:p w14:paraId="27E30A20" w14:textId="77777777" w:rsidR="009D4370" w:rsidRPr="00066E25" w:rsidRDefault="009D4370">
      <w:pPr>
        <w:rPr>
          <w:rFonts w:ascii="Arial" w:hAnsi="Arial" w:cs="Arial"/>
        </w:rPr>
      </w:pPr>
    </w:p>
    <w:p w14:paraId="6F2CD124" w14:textId="77777777" w:rsidR="009D4370" w:rsidRPr="00066E25" w:rsidRDefault="009D4370">
      <w:pPr>
        <w:rPr>
          <w:rFonts w:ascii="Arial" w:hAnsi="Arial" w:cs="Arial"/>
        </w:rPr>
      </w:pPr>
    </w:p>
    <w:p w14:paraId="787B65C5" w14:textId="77777777" w:rsidR="009D4370" w:rsidRPr="00066E25" w:rsidRDefault="009D4370">
      <w:pPr>
        <w:rPr>
          <w:rFonts w:ascii="Arial" w:hAnsi="Arial" w:cs="Arial"/>
        </w:rPr>
      </w:pPr>
    </w:p>
    <w:p w14:paraId="540DB512" w14:textId="77777777" w:rsidR="009D4370" w:rsidRPr="00066E25" w:rsidRDefault="009D4370">
      <w:pPr>
        <w:rPr>
          <w:rFonts w:ascii="Arial" w:hAnsi="Arial" w:cs="Arial"/>
        </w:rPr>
      </w:pPr>
    </w:p>
    <w:p w14:paraId="6AC7478D" w14:textId="77777777" w:rsidR="009D4370" w:rsidRPr="00066E25" w:rsidRDefault="009D4370">
      <w:pPr>
        <w:rPr>
          <w:rFonts w:ascii="Arial" w:hAnsi="Arial" w:cs="Arial"/>
        </w:rPr>
      </w:pPr>
    </w:p>
    <w:p w14:paraId="715CFC0A" w14:textId="77777777" w:rsidR="009D4370" w:rsidRPr="00066E25" w:rsidRDefault="009D4370">
      <w:pPr>
        <w:rPr>
          <w:rFonts w:ascii="Arial" w:hAnsi="Arial" w:cs="Arial"/>
        </w:rPr>
      </w:pPr>
    </w:p>
    <w:p w14:paraId="433358A9" w14:textId="77777777" w:rsidR="009D4370" w:rsidRPr="00066E25" w:rsidRDefault="009D4370">
      <w:pPr>
        <w:rPr>
          <w:rFonts w:ascii="Arial" w:hAnsi="Arial" w:cs="Arial"/>
        </w:rPr>
      </w:pPr>
    </w:p>
    <w:p w14:paraId="75F2E014" w14:textId="77777777" w:rsidR="009D4370" w:rsidRPr="00066E25" w:rsidRDefault="009D4370">
      <w:pPr>
        <w:rPr>
          <w:rFonts w:ascii="Arial" w:hAnsi="Arial" w:cs="Arial"/>
        </w:rPr>
      </w:pPr>
    </w:p>
    <w:p w14:paraId="58EEC661" w14:textId="77777777" w:rsidR="009D4370" w:rsidRPr="00066E25" w:rsidRDefault="009D4370">
      <w:pPr>
        <w:rPr>
          <w:rFonts w:ascii="Arial" w:hAnsi="Arial" w:cs="Arial"/>
        </w:rPr>
      </w:pPr>
    </w:p>
    <w:p w14:paraId="64A40513" w14:textId="77777777" w:rsidR="00557414" w:rsidRPr="00066E25" w:rsidRDefault="00557414">
      <w:pPr>
        <w:rPr>
          <w:rFonts w:ascii="Arial" w:hAnsi="Arial" w:cs="Arial"/>
        </w:rPr>
      </w:pPr>
    </w:p>
    <w:p w14:paraId="1E6E02EB" w14:textId="77777777" w:rsidR="00557414" w:rsidRPr="00066E25" w:rsidRDefault="00557414">
      <w:pPr>
        <w:rPr>
          <w:rFonts w:ascii="Arial" w:hAnsi="Arial" w:cs="Arial"/>
        </w:rPr>
      </w:pPr>
    </w:p>
    <w:tbl>
      <w:tblPr>
        <w:tblW w:w="9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6203"/>
      </w:tblGrid>
      <w:tr w:rsidR="00480B86" w:rsidRPr="00066E25" w14:paraId="5845017A" w14:textId="77777777" w:rsidTr="00EF2BD4">
        <w:trPr>
          <w:trHeight w:val="425"/>
        </w:trPr>
        <w:tc>
          <w:tcPr>
            <w:tcW w:w="9288" w:type="dxa"/>
            <w:gridSpan w:val="2"/>
          </w:tcPr>
          <w:p w14:paraId="3839E1BE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</w:rPr>
            </w:pPr>
            <w:r w:rsidRPr="00066E25">
              <w:rPr>
                <w:rFonts w:ascii="Arial" w:hAnsi="Arial" w:cs="Arial"/>
              </w:rPr>
              <w:lastRenderedPageBreak/>
              <w:t xml:space="preserve">CLINICAL GUIDELINE TITLE </w:t>
            </w:r>
          </w:p>
          <w:p w14:paraId="1F95FE2F" w14:textId="77777777" w:rsidR="00480B86" w:rsidRPr="00066E25" w:rsidRDefault="00480B86" w:rsidP="00EF2BD4">
            <w:pPr>
              <w:spacing w:before="81"/>
              <w:jc w:val="both"/>
              <w:rPr>
                <w:rFonts w:ascii="Arial" w:eastAsia="Arial" w:hAnsi="Arial" w:cs="Arial"/>
              </w:rPr>
            </w:pPr>
            <w:r w:rsidRPr="00066E25">
              <w:rPr>
                <w:rFonts w:ascii="Arial" w:hAnsi="Arial" w:cs="Arial"/>
              </w:rPr>
              <w:t>Hyponatraemia</w:t>
            </w:r>
            <w:r w:rsidRPr="00066E25">
              <w:rPr>
                <w:rFonts w:ascii="Arial" w:hAnsi="Arial" w:cs="Arial"/>
                <w:spacing w:val="-17"/>
              </w:rPr>
              <w:t xml:space="preserve"> </w:t>
            </w:r>
            <w:r w:rsidRPr="00066E25">
              <w:rPr>
                <w:rFonts w:ascii="Arial" w:hAnsi="Arial" w:cs="Arial"/>
              </w:rPr>
              <w:t>Assessment</w:t>
            </w:r>
            <w:r w:rsidRPr="00066E25">
              <w:rPr>
                <w:rFonts w:ascii="Arial" w:hAnsi="Arial" w:cs="Arial"/>
                <w:spacing w:val="-6"/>
              </w:rPr>
              <w:t xml:space="preserve"> </w:t>
            </w:r>
            <w:r w:rsidRPr="00066E25">
              <w:rPr>
                <w:rFonts w:ascii="Arial" w:hAnsi="Arial" w:cs="Arial"/>
              </w:rPr>
              <w:t>&amp;</w:t>
            </w:r>
            <w:r w:rsidRPr="00066E25">
              <w:rPr>
                <w:rFonts w:ascii="Arial" w:hAnsi="Arial" w:cs="Arial"/>
                <w:spacing w:val="-6"/>
              </w:rPr>
              <w:t xml:space="preserve"> </w:t>
            </w:r>
            <w:r w:rsidRPr="00066E25">
              <w:rPr>
                <w:rFonts w:ascii="Arial" w:hAnsi="Arial" w:cs="Arial"/>
                <w:spacing w:val="-2"/>
              </w:rPr>
              <w:t>Treatment</w:t>
            </w:r>
            <w:r w:rsidRPr="00066E25">
              <w:rPr>
                <w:rFonts w:ascii="Arial" w:hAnsi="Arial" w:cs="Arial"/>
                <w:spacing w:val="-17"/>
              </w:rPr>
              <w:t xml:space="preserve"> </w:t>
            </w:r>
            <w:r w:rsidRPr="00066E25">
              <w:rPr>
                <w:rFonts w:ascii="Arial" w:hAnsi="Arial" w:cs="Arial"/>
              </w:rPr>
              <w:t>Algorithm</w:t>
            </w:r>
          </w:p>
        </w:tc>
      </w:tr>
      <w:tr w:rsidR="00480B86" w:rsidRPr="00066E25" w14:paraId="5012A20A" w14:textId="77777777" w:rsidTr="00EF2BD4">
        <w:trPr>
          <w:trHeight w:val="425"/>
        </w:trPr>
        <w:tc>
          <w:tcPr>
            <w:tcW w:w="3085" w:type="dxa"/>
          </w:tcPr>
          <w:p w14:paraId="6A568C32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 xml:space="preserve">Directorate </w:t>
            </w:r>
          </w:p>
        </w:tc>
        <w:tc>
          <w:tcPr>
            <w:tcW w:w="6203" w:type="dxa"/>
          </w:tcPr>
          <w:p w14:paraId="154D4311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</w:rPr>
            </w:pPr>
            <w:r w:rsidRPr="00066E25">
              <w:rPr>
                <w:rFonts w:ascii="Arial" w:hAnsi="Arial" w:cs="Arial"/>
              </w:rPr>
              <w:t>Medicine</w:t>
            </w:r>
          </w:p>
        </w:tc>
      </w:tr>
      <w:tr w:rsidR="00480B86" w:rsidRPr="00066E25" w14:paraId="613143C1" w14:textId="77777777" w:rsidTr="00EF2BD4">
        <w:trPr>
          <w:trHeight w:val="425"/>
        </w:trPr>
        <w:tc>
          <w:tcPr>
            <w:tcW w:w="3085" w:type="dxa"/>
          </w:tcPr>
          <w:p w14:paraId="75DF42AE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b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Guideline Reference</w:t>
            </w:r>
          </w:p>
        </w:tc>
        <w:tc>
          <w:tcPr>
            <w:tcW w:w="6203" w:type="dxa"/>
          </w:tcPr>
          <w:p w14:paraId="110E0061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i/>
              </w:rPr>
            </w:pPr>
            <w:r w:rsidRPr="00066E25">
              <w:rPr>
                <w:rFonts w:ascii="Arial" w:hAnsi="Arial" w:cs="Arial"/>
              </w:rPr>
              <w:t>CG 0302</w:t>
            </w:r>
          </w:p>
        </w:tc>
      </w:tr>
      <w:tr w:rsidR="00480B86" w:rsidRPr="00066E25" w14:paraId="086CD63D" w14:textId="77777777" w:rsidTr="00EF2BD4">
        <w:trPr>
          <w:trHeight w:val="425"/>
        </w:trPr>
        <w:tc>
          <w:tcPr>
            <w:tcW w:w="3085" w:type="dxa"/>
          </w:tcPr>
          <w:p w14:paraId="3A013DFF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Author(s) of the Guideline</w:t>
            </w:r>
          </w:p>
        </w:tc>
        <w:tc>
          <w:tcPr>
            <w:tcW w:w="6203" w:type="dxa"/>
          </w:tcPr>
          <w:p w14:paraId="5CB43547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</w:rPr>
            </w:pPr>
            <w:r w:rsidRPr="00066E25">
              <w:rPr>
                <w:rFonts w:ascii="Arial" w:hAnsi="Arial" w:cs="Arial"/>
              </w:rPr>
              <w:t>Ashwin Joshi, Rahul Nayar, David Bishop</w:t>
            </w:r>
          </w:p>
        </w:tc>
      </w:tr>
      <w:tr w:rsidR="00480B86" w:rsidRPr="00066E25" w14:paraId="3BA834A3" w14:textId="77777777" w:rsidTr="00EF2BD4">
        <w:trPr>
          <w:trHeight w:val="425"/>
        </w:trPr>
        <w:tc>
          <w:tcPr>
            <w:tcW w:w="3085" w:type="dxa"/>
          </w:tcPr>
          <w:p w14:paraId="526395C9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Ratifying Group</w:t>
            </w:r>
          </w:p>
        </w:tc>
        <w:tc>
          <w:tcPr>
            <w:tcW w:w="6203" w:type="dxa"/>
          </w:tcPr>
          <w:p w14:paraId="51761FA1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</w:rPr>
            </w:pPr>
            <w:r w:rsidRPr="00066E25">
              <w:rPr>
                <w:rFonts w:ascii="Arial" w:hAnsi="Arial" w:cs="Arial"/>
              </w:rPr>
              <w:t>Metabolic Medicine Clinical Governance Group</w:t>
            </w:r>
          </w:p>
        </w:tc>
      </w:tr>
      <w:tr w:rsidR="00480B86" w:rsidRPr="00066E25" w14:paraId="6E07B6B8" w14:textId="77777777" w:rsidTr="00EF2BD4">
        <w:trPr>
          <w:trHeight w:val="425"/>
        </w:trPr>
        <w:tc>
          <w:tcPr>
            <w:tcW w:w="3085" w:type="dxa"/>
          </w:tcPr>
          <w:p w14:paraId="3EF82031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Clinical Director Approval</w:t>
            </w:r>
          </w:p>
        </w:tc>
        <w:tc>
          <w:tcPr>
            <w:tcW w:w="6203" w:type="dxa"/>
          </w:tcPr>
          <w:p w14:paraId="4FF7BC82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</w:rPr>
            </w:pPr>
            <w:r w:rsidRPr="00066E25">
              <w:rPr>
                <w:rFonts w:ascii="Arial" w:hAnsi="Arial" w:cs="Arial"/>
              </w:rPr>
              <w:t>John Painter</w:t>
            </w:r>
          </w:p>
        </w:tc>
      </w:tr>
      <w:tr w:rsidR="00480B86" w:rsidRPr="00066E25" w14:paraId="38551367" w14:textId="77777777" w:rsidTr="00EF2BD4">
        <w:tc>
          <w:tcPr>
            <w:tcW w:w="3085" w:type="dxa"/>
          </w:tcPr>
          <w:p w14:paraId="38F99579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Date of Ratification</w:t>
            </w:r>
          </w:p>
        </w:tc>
        <w:tc>
          <w:tcPr>
            <w:tcW w:w="6203" w:type="dxa"/>
          </w:tcPr>
          <w:p w14:paraId="59E81AB2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</w:rPr>
            </w:pPr>
            <w:r w:rsidRPr="00066E25">
              <w:rPr>
                <w:rFonts w:ascii="Arial" w:hAnsi="Arial" w:cs="Arial"/>
              </w:rPr>
              <w:t>10/08/2020</w:t>
            </w:r>
          </w:p>
        </w:tc>
      </w:tr>
      <w:tr w:rsidR="00480B86" w:rsidRPr="00066E25" w14:paraId="505256EA" w14:textId="77777777" w:rsidTr="00EF2BD4">
        <w:tc>
          <w:tcPr>
            <w:tcW w:w="3085" w:type="dxa"/>
          </w:tcPr>
          <w:p w14:paraId="32D6301C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Date of Implementation</w:t>
            </w:r>
          </w:p>
        </w:tc>
        <w:tc>
          <w:tcPr>
            <w:tcW w:w="6203" w:type="dxa"/>
          </w:tcPr>
          <w:p w14:paraId="5E0065E8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</w:rPr>
            </w:pPr>
            <w:r w:rsidRPr="00066E25">
              <w:rPr>
                <w:rFonts w:ascii="Arial" w:hAnsi="Arial" w:cs="Arial"/>
              </w:rPr>
              <w:t>10/08/2020</w:t>
            </w:r>
          </w:p>
        </w:tc>
      </w:tr>
      <w:tr w:rsidR="00480B86" w:rsidRPr="00066E25" w14:paraId="3726944C" w14:textId="77777777" w:rsidTr="00EF2BD4">
        <w:tc>
          <w:tcPr>
            <w:tcW w:w="3085" w:type="dxa"/>
          </w:tcPr>
          <w:p w14:paraId="01DD1C7D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Date for Review</w:t>
            </w:r>
          </w:p>
        </w:tc>
        <w:tc>
          <w:tcPr>
            <w:tcW w:w="6203" w:type="dxa"/>
          </w:tcPr>
          <w:p w14:paraId="1A9A93D8" w14:textId="77777777" w:rsidR="00480B86" w:rsidRPr="00066E25" w:rsidRDefault="00480B86" w:rsidP="00EF2BD4">
            <w:pPr>
              <w:pStyle w:val="NICEnormal"/>
              <w:autoSpaceDE/>
              <w:autoSpaceDN/>
              <w:adjustRightInd/>
              <w:spacing w:before="120" w:after="120"/>
              <w:rPr>
                <w:rFonts w:cs="Arial"/>
                <w:lang w:val="en-GB"/>
              </w:rPr>
            </w:pPr>
            <w:r w:rsidRPr="00066E25">
              <w:rPr>
                <w:rFonts w:cs="Arial"/>
                <w:lang w:val="en-GB"/>
              </w:rPr>
              <w:t>28/02/2026</w:t>
            </w:r>
          </w:p>
        </w:tc>
      </w:tr>
    </w:tbl>
    <w:p w14:paraId="5E13F562" w14:textId="77777777" w:rsidR="00480B86" w:rsidRPr="00066E25" w:rsidRDefault="00480B86" w:rsidP="00480B86">
      <w:pPr>
        <w:rPr>
          <w:rFonts w:ascii="Arial" w:hAnsi="Arial" w:cs="Arial"/>
        </w:rPr>
      </w:pPr>
    </w:p>
    <w:tbl>
      <w:tblPr>
        <w:tblW w:w="9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6203"/>
      </w:tblGrid>
      <w:tr w:rsidR="00480B86" w:rsidRPr="00066E25" w14:paraId="507DAA33" w14:textId="77777777" w:rsidTr="00EF2BD4">
        <w:tc>
          <w:tcPr>
            <w:tcW w:w="3085" w:type="dxa"/>
          </w:tcPr>
          <w:p w14:paraId="3EB99F45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Guideline Statement</w:t>
            </w:r>
          </w:p>
        </w:tc>
        <w:tc>
          <w:tcPr>
            <w:tcW w:w="6203" w:type="dxa"/>
          </w:tcPr>
          <w:p w14:paraId="721FFEC4" w14:textId="77777777" w:rsidR="00480B86" w:rsidRPr="00066E25" w:rsidRDefault="00480B86" w:rsidP="00EF2BD4">
            <w:pPr>
              <w:pStyle w:val="NICEnormal"/>
              <w:autoSpaceDE/>
              <w:autoSpaceDN/>
              <w:adjustRightInd/>
              <w:spacing w:before="120" w:after="120"/>
              <w:rPr>
                <w:rFonts w:cs="Arial"/>
                <w:lang w:val="en-GB"/>
              </w:rPr>
            </w:pPr>
            <w:r w:rsidRPr="00066E25">
              <w:rPr>
                <w:rFonts w:cs="Arial"/>
                <w:lang w:val="en-GB"/>
              </w:rPr>
              <w:t>A guideline to the assessment and management of inpatients with hyponatraemia</w:t>
            </w:r>
          </w:p>
        </w:tc>
      </w:tr>
      <w:tr w:rsidR="00480B86" w:rsidRPr="00066E25" w14:paraId="07ED2DA7" w14:textId="77777777" w:rsidTr="00EF2BD4">
        <w:tc>
          <w:tcPr>
            <w:tcW w:w="3085" w:type="dxa"/>
          </w:tcPr>
          <w:p w14:paraId="7FF7503F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Applies to</w:t>
            </w:r>
          </w:p>
        </w:tc>
        <w:tc>
          <w:tcPr>
            <w:tcW w:w="6203" w:type="dxa"/>
          </w:tcPr>
          <w:p w14:paraId="4DCE8C67" w14:textId="77777777" w:rsidR="00480B86" w:rsidRPr="00066E25" w:rsidRDefault="00480B86" w:rsidP="00EF2BD4">
            <w:pPr>
              <w:spacing w:before="120" w:after="120"/>
              <w:rPr>
                <w:rFonts w:ascii="Arial" w:hAnsi="Arial" w:cs="Arial"/>
                <w:i/>
              </w:rPr>
            </w:pPr>
            <w:r w:rsidRPr="00066E25">
              <w:rPr>
                <w:rFonts w:ascii="Arial" w:hAnsi="Arial" w:cs="Arial"/>
              </w:rPr>
              <w:t>All inpatients</w:t>
            </w:r>
          </w:p>
        </w:tc>
      </w:tr>
    </w:tbl>
    <w:p w14:paraId="30FD182A" w14:textId="77777777" w:rsidR="00480B86" w:rsidRPr="00066E25" w:rsidRDefault="00480B86" w:rsidP="00480B86">
      <w:pPr>
        <w:rPr>
          <w:rFonts w:ascii="Arial" w:hAnsi="Arial" w:cs="Arial"/>
        </w:rPr>
      </w:pPr>
    </w:p>
    <w:p w14:paraId="7894DB72" w14:textId="77777777" w:rsidR="00480B86" w:rsidRPr="00066E25" w:rsidRDefault="00480B86" w:rsidP="00480B86">
      <w:pPr>
        <w:rPr>
          <w:rFonts w:ascii="Arial" w:hAnsi="Arial" w:cs="Arial"/>
        </w:rPr>
      </w:pPr>
    </w:p>
    <w:tbl>
      <w:tblPr>
        <w:tblW w:w="9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1842"/>
        <w:gridCol w:w="2977"/>
        <w:gridCol w:w="3368"/>
      </w:tblGrid>
      <w:tr w:rsidR="00480B86" w:rsidRPr="00066E25" w14:paraId="3C31B981" w14:textId="77777777" w:rsidTr="00EF2BD4">
        <w:trPr>
          <w:trHeight w:val="387"/>
        </w:trPr>
        <w:tc>
          <w:tcPr>
            <w:tcW w:w="1101" w:type="dxa"/>
            <w:shd w:val="clear" w:color="auto" w:fill="C0C0C0"/>
          </w:tcPr>
          <w:p w14:paraId="01B39C9A" w14:textId="77777777" w:rsidR="00480B86" w:rsidRPr="00066E25" w:rsidRDefault="00480B86" w:rsidP="00EF2BD4">
            <w:pPr>
              <w:spacing w:before="120" w:after="120" w:line="24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066E25">
              <w:rPr>
                <w:rFonts w:ascii="Arial" w:hAnsi="Arial" w:cs="Arial"/>
                <w:b/>
                <w:color w:val="000000"/>
              </w:rPr>
              <w:t>Version</w:t>
            </w:r>
          </w:p>
        </w:tc>
        <w:tc>
          <w:tcPr>
            <w:tcW w:w="1842" w:type="dxa"/>
            <w:shd w:val="clear" w:color="auto" w:fill="C0C0C0"/>
          </w:tcPr>
          <w:p w14:paraId="628B80E8" w14:textId="77777777" w:rsidR="00480B86" w:rsidRPr="00066E25" w:rsidRDefault="00480B86" w:rsidP="00EF2BD4">
            <w:pPr>
              <w:spacing w:before="120" w:after="120" w:line="24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066E25">
              <w:rPr>
                <w:rFonts w:ascii="Arial" w:hAnsi="Arial" w:cs="Arial"/>
                <w:b/>
                <w:color w:val="000000"/>
              </w:rPr>
              <w:t>Revision date</w:t>
            </w:r>
          </w:p>
        </w:tc>
        <w:tc>
          <w:tcPr>
            <w:tcW w:w="2977" w:type="dxa"/>
            <w:shd w:val="clear" w:color="auto" w:fill="C0C0C0"/>
          </w:tcPr>
          <w:p w14:paraId="1CDD30A2" w14:textId="77777777" w:rsidR="00480B86" w:rsidRPr="00066E25" w:rsidRDefault="00480B86" w:rsidP="00EF2BD4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</w:rPr>
            </w:pPr>
            <w:r w:rsidRPr="00066E25">
              <w:rPr>
                <w:rFonts w:ascii="Arial" w:hAnsi="Arial" w:cs="Arial"/>
                <w:b/>
                <w:color w:val="000000"/>
              </w:rPr>
              <w:t>Author</w:t>
            </w:r>
          </w:p>
        </w:tc>
        <w:tc>
          <w:tcPr>
            <w:tcW w:w="3368" w:type="dxa"/>
            <w:shd w:val="clear" w:color="auto" w:fill="C0C0C0"/>
          </w:tcPr>
          <w:p w14:paraId="6C9F73FE" w14:textId="77777777" w:rsidR="00480B86" w:rsidRPr="00066E25" w:rsidRDefault="00480B86" w:rsidP="00EF2BD4">
            <w:pPr>
              <w:pStyle w:val="Footer"/>
              <w:spacing w:before="120" w:after="120"/>
              <w:jc w:val="center"/>
              <w:rPr>
                <w:rFonts w:ascii="Arial" w:hAnsi="Arial" w:cs="Arial"/>
                <w:b/>
                <w:color w:val="000000"/>
              </w:rPr>
            </w:pPr>
            <w:r w:rsidRPr="00066E25">
              <w:rPr>
                <w:rFonts w:ascii="Arial" w:hAnsi="Arial" w:cs="Arial"/>
                <w:b/>
                <w:color w:val="000000"/>
              </w:rPr>
              <w:t>Update comments</w:t>
            </w:r>
          </w:p>
        </w:tc>
      </w:tr>
      <w:tr w:rsidR="00480B86" w:rsidRPr="00066E25" w14:paraId="078255BF" w14:textId="77777777" w:rsidTr="00EF2BD4">
        <w:tc>
          <w:tcPr>
            <w:tcW w:w="1101" w:type="dxa"/>
          </w:tcPr>
          <w:p w14:paraId="5AA668CC" w14:textId="77777777" w:rsidR="00480B86" w:rsidRPr="00066E25" w:rsidRDefault="00480B86" w:rsidP="00EF2BD4">
            <w:pPr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1.1</w:t>
            </w:r>
          </w:p>
        </w:tc>
        <w:tc>
          <w:tcPr>
            <w:tcW w:w="1842" w:type="dxa"/>
          </w:tcPr>
          <w:p w14:paraId="3D0F3945" w14:textId="77777777" w:rsidR="00480B86" w:rsidRPr="00066E25" w:rsidRDefault="00480B86" w:rsidP="00EF2BD4">
            <w:pPr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December 2025</w:t>
            </w:r>
          </w:p>
        </w:tc>
        <w:tc>
          <w:tcPr>
            <w:tcW w:w="2977" w:type="dxa"/>
          </w:tcPr>
          <w:p w14:paraId="0C14D9C5" w14:textId="77777777" w:rsidR="00480B86" w:rsidRPr="00066E25" w:rsidRDefault="00480B86" w:rsidP="00EF2BD4">
            <w:pPr>
              <w:jc w:val="center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-</w:t>
            </w:r>
          </w:p>
        </w:tc>
        <w:tc>
          <w:tcPr>
            <w:tcW w:w="3368" w:type="dxa"/>
          </w:tcPr>
          <w:p w14:paraId="16F31BE8" w14:textId="77777777" w:rsidR="00480B86" w:rsidRPr="00066E25" w:rsidRDefault="00480B86" w:rsidP="00EF2BD4">
            <w:pPr>
              <w:pStyle w:val="Footer"/>
              <w:rPr>
                <w:rFonts w:ascii="Arial" w:hAnsi="Arial" w:cs="Arial"/>
                <w:color w:val="000000"/>
              </w:rPr>
            </w:pPr>
            <w:r w:rsidRPr="00066E25">
              <w:rPr>
                <w:rFonts w:ascii="Arial" w:hAnsi="Arial" w:cs="Arial"/>
                <w:color w:val="000000"/>
              </w:rPr>
              <w:t>Date for review extended to 28/02/2026</w:t>
            </w:r>
          </w:p>
        </w:tc>
      </w:tr>
    </w:tbl>
    <w:p w14:paraId="2E203849" w14:textId="77777777" w:rsidR="00480B86" w:rsidRPr="00066E25" w:rsidRDefault="00480B86" w:rsidP="00480B86">
      <w:pPr>
        <w:rPr>
          <w:rFonts w:ascii="Arial" w:hAnsi="Arial" w:cs="Arial"/>
        </w:rPr>
      </w:pPr>
    </w:p>
    <w:p w14:paraId="251C0F54" w14:textId="77777777" w:rsidR="00480B86" w:rsidRPr="00066E25" w:rsidRDefault="00480B86" w:rsidP="00480B86">
      <w:pPr>
        <w:rPr>
          <w:rFonts w:ascii="Arial" w:hAnsi="Arial" w:cs="Arial"/>
        </w:rPr>
      </w:pPr>
    </w:p>
    <w:p w14:paraId="4084D5F1" w14:textId="77777777" w:rsidR="00480B86" w:rsidRPr="00066E25" w:rsidRDefault="00480B86" w:rsidP="00480B86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1032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480B86" w:rsidRPr="00066E25" w14:paraId="4409B015" w14:textId="77777777" w:rsidTr="00EF2BD4">
        <w:trPr>
          <w:trHeight w:val="1134"/>
        </w:trPr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14:paraId="431062E1" w14:textId="77777777" w:rsidR="00480B86" w:rsidRPr="00066E25" w:rsidRDefault="00480B86" w:rsidP="00EF2BD4">
            <w:pPr>
              <w:pStyle w:val="Default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66E25">
              <w:rPr>
                <w:rFonts w:ascii="Arial" w:hAnsi="Arial" w:cs="Arial"/>
                <w:sz w:val="24"/>
                <w:szCs w:val="24"/>
              </w:rPr>
              <w:t xml:space="preserve">Document Status:  This is a controlled document. Whilst this document may be printed, the electronic version posted on the intranet is the controlled copy. Any printed copies of this document are not controlled. As a controlled document, this document should not be saved onto local or network drives but should always be accessed from the intranet. </w:t>
            </w:r>
          </w:p>
          <w:p w14:paraId="66AE33E4" w14:textId="77777777" w:rsidR="00480B86" w:rsidRPr="00066E25" w:rsidRDefault="00480B86" w:rsidP="00EF2BD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07E7B30" w14:textId="77777777" w:rsidR="00480B86" w:rsidRPr="00066E25" w:rsidRDefault="00480B86">
      <w:pPr>
        <w:rPr>
          <w:rFonts w:ascii="Arial" w:hAnsi="Arial" w:cs="Arial"/>
        </w:rPr>
      </w:pPr>
    </w:p>
    <w:p w14:paraId="7F174166" w14:textId="77777777" w:rsidR="00480B86" w:rsidRPr="00066E25" w:rsidRDefault="00480B86">
      <w:pPr>
        <w:rPr>
          <w:rFonts w:ascii="Arial" w:hAnsi="Arial" w:cs="Arial"/>
        </w:rPr>
      </w:pPr>
    </w:p>
    <w:p w14:paraId="3667D8BB" w14:textId="77777777" w:rsidR="00480B86" w:rsidRPr="00066E25" w:rsidRDefault="00480B86">
      <w:pPr>
        <w:rPr>
          <w:rFonts w:ascii="Arial" w:hAnsi="Arial" w:cs="Arial"/>
        </w:rPr>
      </w:pPr>
    </w:p>
    <w:sectPr w:rsidR="00480B86" w:rsidRPr="00066E25" w:rsidSect="002F341B"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E06D" w14:textId="77777777" w:rsidR="00480B86" w:rsidRDefault="00480B86" w:rsidP="00480B86">
      <w:pPr>
        <w:spacing w:after="0" w:line="240" w:lineRule="auto"/>
      </w:pPr>
      <w:r>
        <w:separator/>
      </w:r>
    </w:p>
  </w:endnote>
  <w:endnote w:type="continuationSeparator" w:id="0">
    <w:p w14:paraId="54FBEDEC" w14:textId="77777777" w:rsidR="00480B86" w:rsidRDefault="00480B86" w:rsidP="00480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7181944"/>
      <w:docPartObj>
        <w:docPartGallery w:val="Page Numbers (Bottom of Page)"/>
        <w:docPartUnique/>
      </w:docPartObj>
    </w:sdtPr>
    <w:sdtEndPr/>
    <w:sdtContent>
      <w:p w14:paraId="225190E3" w14:textId="2F9B1F0E" w:rsidR="009964BE" w:rsidRDefault="009964B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477B37" w14:textId="77777777" w:rsidR="009964BE" w:rsidRDefault="009964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2220794"/>
      <w:docPartObj>
        <w:docPartGallery w:val="Page Numbers (Bottom of Page)"/>
        <w:docPartUnique/>
      </w:docPartObj>
    </w:sdtPr>
    <w:sdtEndPr/>
    <w:sdtContent>
      <w:p w14:paraId="124CB496" w14:textId="588DE872" w:rsidR="002F341B" w:rsidRDefault="002F341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D49CD4" w14:textId="77777777" w:rsidR="002F341B" w:rsidRDefault="002F34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F729A" w14:textId="77777777" w:rsidR="00480B86" w:rsidRDefault="00480B86" w:rsidP="00480B86">
      <w:pPr>
        <w:spacing w:after="0" w:line="240" w:lineRule="auto"/>
      </w:pPr>
      <w:r>
        <w:separator/>
      </w:r>
    </w:p>
  </w:footnote>
  <w:footnote w:type="continuationSeparator" w:id="0">
    <w:p w14:paraId="7F40DD66" w14:textId="77777777" w:rsidR="00480B86" w:rsidRDefault="00480B86" w:rsidP="00480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178C6" w14:textId="0C6EF990" w:rsidR="00066E25" w:rsidRDefault="00066E25" w:rsidP="00066E25">
    <w:pPr>
      <w:pStyle w:val="Header"/>
      <w:jc w:val="right"/>
      <w:rPr>
        <w:rFonts w:ascii="Arial" w:hAnsi="Arial" w:cs="Arial"/>
        <w:b/>
        <w:bCs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B73A43" w14:paraId="05EF88D1" w14:textId="77777777" w:rsidTr="003904DF">
      <w:trPr>
        <w:trHeight w:val="708"/>
      </w:trPr>
      <w:tc>
        <w:tcPr>
          <w:tcW w:w="4508" w:type="dxa"/>
        </w:tcPr>
        <w:p w14:paraId="1868B29A" w14:textId="77777777" w:rsidR="00B73A43" w:rsidRDefault="00B73A43" w:rsidP="00B73A43">
          <w:pPr>
            <w:pStyle w:val="Header"/>
            <w:rPr>
              <w:rFonts w:ascii="Arial" w:hAnsi="Arial" w:cs="Arial"/>
              <w:b/>
              <w:bCs/>
            </w:rPr>
          </w:pPr>
        </w:p>
        <w:p w14:paraId="039874A6" w14:textId="299B9BC8" w:rsidR="00B73A43" w:rsidRPr="00A91F33" w:rsidRDefault="00B73A43" w:rsidP="00B73A43">
          <w:pPr>
            <w:pStyle w:val="Header"/>
            <w:rPr>
              <w:rFonts w:ascii="Arial" w:hAnsi="Arial" w:cs="Arial"/>
              <w:b/>
              <w:bCs/>
            </w:rPr>
          </w:pPr>
          <w:r w:rsidRPr="00AF6B63">
            <w:rPr>
              <w:rFonts w:ascii="Arial" w:hAnsi="Arial" w:cs="Arial"/>
              <w:b/>
              <w:bCs/>
            </w:rPr>
            <w:t>Reference</w:t>
          </w:r>
          <w:r w:rsidRPr="00AF6B63">
            <w:rPr>
              <w:rFonts w:ascii="Arial" w:hAnsi="Arial" w:cs="Arial"/>
            </w:rPr>
            <w:t xml:space="preserve">: </w:t>
          </w:r>
          <w:r>
            <w:rPr>
              <w:rFonts w:ascii="Arial" w:hAnsi="Arial" w:cs="Arial"/>
            </w:rPr>
            <w:t>CG 0302</w:t>
          </w:r>
        </w:p>
        <w:p w14:paraId="0ABFA859" w14:textId="01479E5A" w:rsidR="00B73A43" w:rsidRPr="00A91F33" w:rsidRDefault="00B73A43" w:rsidP="00B73A43">
          <w:pPr>
            <w:pStyle w:val="Head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Date for R</w:t>
          </w:r>
          <w:r w:rsidRPr="00AF6B63">
            <w:rPr>
              <w:rFonts w:ascii="Arial" w:hAnsi="Arial" w:cs="Arial"/>
              <w:b/>
              <w:bCs/>
            </w:rPr>
            <w:t>eview:</w:t>
          </w:r>
          <w:r w:rsidRPr="00AF6B63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t>28/02/2026</w:t>
          </w:r>
        </w:p>
        <w:p w14:paraId="75AA1FF7" w14:textId="77777777" w:rsidR="00B73A43" w:rsidRDefault="00B73A43" w:rsidP="00B73A43">
          <w:pPr>
            <w:pStyle w:val="Header"/>
            <w:rPr>
              <w:rFonts w:ascii="Arial" w:hAnsi="Arial" w:cs="Arial"/>
              <w:b/>
              <w:bCs/>
            </w:rPr>
          </w:pPr>
        </w:p>
      </w:tc>
      <w:tc>
        <w:tcPr>
          <w:tcW w:w="4508" w:type="dxa"/>
        </w:tcPr>
        <w:p w14:paraId="1A994B6E" w14:textId="77777777" w:rsidR="00B73A43" w:rsidRDefault="00B73A43" w:rsidP="00B73A43">
          <w:pPr>
            <w:pStyle w:val="Header"/>
            <w:jc w:val="right"/>
            <w:rPr>
              <w:rFonts w:ascii="Arial" w:hAnsi="Arial" w:cs="Arial"/>
              <w:b/>
              <w:bCs/>
            </w:rPr>
          </w:pPr>
          <w:r>
            <w:rPr>
              <w:noProof/>
            </w:rPr>
            <w:drawing>
              <wp:inline distT="0" distB="0" distL="0" distR="0" wp14:anchorId="516062D6" wp14:editId="79BC8C52">
                <wp:extent cx="2457450" cy="571500"/>
                <wp:effectExtent l="0" t="0" r="0" b="0"/>
                <wp:docPr id="13" name="Picture 1" descr="A close up of a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close up of a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74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F8F7F68" w14:textId="77777777" w:rsidR="00480B86" w:rsidRDefault="00480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74A"/>
    <w:multiLevelType w:val="hybridMultilevel"/>
    <w:tmpl w:val="9E70B5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43B23"/>
    <w:multiLevelType w:val="hybridMultilevel"/>
    <w:tmpl w:val="DF3EF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978E2"/>
    <w:multiLevelType w:val="hybridMultilevel"/>
    <w:tmpl w:val="865CDD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1150B"/>
    <w:multiLevelType w:val="hybridMultilevel"/>
    <w:tmpl w:val="04AE0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A6165"/>
    <w:multiLevelType w:val="hybridMultilevel"/>
    <w:tmpl w:val="3910A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B71CF"/>
    <w:multiLevelType w:val="hybridMultilevel"/>
    <w:tmpl w:val="D8D2A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7738F"/>
    <w:multiLevelType w:val="hybridMultilevel"/>
    <w:tmpl w:val="0BAE7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41CFC"/>
    <w:multiLevelType w:val="hybridMultilevel"/>
    <w:tmpl w:val="68B8E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A491A"/>
    <w:multiLevelType w:val="hybridMultilevel"/>
    <w:tmpl w:val="FB220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03FDB"/>
    <w:multiLevelType w:val="hybridMultilevel"/>
    <w:tmpl w:val="D00E4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7E192C"/>
    <w:multiLevelType w:val="hybridMultilevel"/>
    <w:tmpl w:val="D8A6F7A2"/>
    <w:lvl w:ilvl="0" w:tplc="88828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A7E64"/>
    <w:multiLevelType w:val="hybridMultilevel"/>
    <w:tmpl w:val="5AB8C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B4205"/>
    <w:multiLevelType w:val="hybridMultilevel"/>
    <w:tmpl w:val="E9EA6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3F74DE"/>
    <w:multiLevelType w:val="hybridMultilevel"/>
    <w:tmpl w:val="85A8F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A22F3"/>
    <w:multiLevelType w:val="hybridMultilevel"/>
    <w:tmpl w:val="1D9EA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D03037"/>
    <w:multiLevelType w:val="hybridMultilevel"/>
    <w:tmpl w:val="B1BC2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C73CD"/>
    <w:multiLevelType w:val="hybridMultilevel"/>
    <w:tmpl w:val="B6AE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23534"/>
    <w:multiLevelType w:val="hybridMultilevel"/>
    <w:tmpl w:val="AD9812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2C0A55"/>
    <w:multiLevelType w:val="hybridMultilevel"/>
    <w:tmpl w:val="FE3839E6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9" w15:restartNumberingAfterBreak="0">
    <w:nsid w:val="5B6E4A9C"/>
    <w:multiLevelType w:val="hybridMultilevel"/>
    <w:tmpl w:val="FBC67F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C550017"/>
    <w:multiLevelType w:val="hybridMultilevel"/>
    <w:tmpl w:val="30E07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C37BFF"/>
    <w:multiLevelType w:val="hybridMultilevel"/>
    <w:tmpl w:val="74FA3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14299"/>
    <w:multiLevelType w:val="multilevel"/>
    <w:tmpl w:val="351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CB6B53"/>
    <w:multiLevelType w:val="hybridMultilevel"/>
    <w:tmpl w:val="404CF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E264ED"/>
    <w:multiLevelType w:val="hybridMultilevel"/>
    <w:tmpl w:val="57B66F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CE4501"/>
    <w:multiLevelType w:val="hybridMultilevel"/>
    <w:tmpl w:val="E0584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D87262"/>
    <w:multiLevelType w:val="hybridMultilevel"/>
    <w:tmpl w:val="EEE21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44250">
    <w:abstractNumId w:val="15"/>
  </w:num>
  <w:num w:numId="2" w16cid:durableId="2060204203">
    <w:abstractNumId w:val="11"/>
  </w:num>
  <w:num w:numId="3" w16cid:durableId="469445099">
    <w:abstractNumId w:val="18"/>
  </w:num>
  <w:num w:numId="4" w16cid:durableId="461727089">
    <w:abstractNumId w:val="21"/>
  </w:num>
  <w:num w:numId="5" w16cid:durableId="1865317492">
    <w:abstractNumId w:val="13"/>
  </w:num>
  <w:num w:numId="6" w16cid:durableId="90053979">
    <w:abstractNumId w:val="19"/>
  </w:num>
  <w:num w:numId="7" w16cid:durableId="365757029">
    <w:abstractNumId w:val="4"/>
  </w:num>
  <w:num w:numId="8" w16cid:durableId="878518214">
    <w:abstractNumId w:val="8"/>
  </w:num>
  <w:num w:numId="9" w16cid:durableId="673848314">
    <w:abstractNumId w:val="1"/>
  </w:num>
  <w:num w:numId="10" w16cid:durableId="56130277">
    <w:abstractNumId w:val="25"/>
  </w:num>
  <w:num w:numId="11" w16cid:durableId="1386492644">
    <w:abstractNumId w:val="6"/>
  </w:num>
  <w:num w:numId="12" w16cid:durableId="1008169453">
    <w:abstractNumId w:val="24"/>
  </w:num>
  <w:num w:numId="13" w16cid:durableId="625280947">
    <w:abstractNumId w:val="2"/>
  </w:num>
  <w:num w:numId="14" w16cid:durableId="791290032">
    <w:abstractNumId w:val="9"/>
  </w:num>
  <w:num w:numId="15" w16cid:durableId="1275795955">
    <w:abstractNumId w:val="12"/>
  </w:num>
  <w:num w:numId="16" w16cid:durableId="1905143893">
    <w:abstractNumId w:val="26"/>
  </w:num>
  <w:num w:numId="17" w16cid:durableId="1624580801">
    <w:abstractNumId w:val="0"/>
  </w:num>
  <w:num w:numId="18" w16cid:durableId="397940754">
    <w:abstractNumId w:val="5"/>
  </w:num>
  <w:num w:numId="19" w16cid:durableId="1479878690">
    <w:abstractNumId w:val="14"/>
  </w:num>
  <w:num w:numId="20" w16cid:durableId="313535704">
    <w:abstractNumId w:val="7"/>
  </w:num>
  <w:num w:numId="21" w16cid:durableId="822428578">
    <w:abstractNumId w:val="23"/>
  </w:num>
  <w:num w:numId="22" w16cid:durableId="1170636765">
    <w:abstractNumId w:val="3"/>
  </w:num>
  <w:num w:numId="23" w16cid:durableId="71200277">
    <w:abstractNumId w:val="20"/>
  </w:num>
  <w:num w:numId="24" w16cid:durableId="861746131">
    <w:abstractNumId w:val="17"/>
  </w:num>
  <w:num w:numId="25" w16cid:durableId="104665914">
    <w:abstractNumId w:val="16"/>
  </w:num>
  <w:num w:numId="26" w16cid:durableId="58021634">
    <w:abstractNumId w:val="10"/>
  </w:num>
  <w:num w:numId="27" w16cid:durableId="7346211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CD"/>
    <w:rsid w:val="00011DDF"/>
    <w:rsid w:val="00066E25"/>
    <w:rsid w:val="0009703A"/>
    <w:rsid w:val="000F5051"/>
    <w:rsid w:val="001D486D"/>
    <w:rsid w:val="002F341B"/>
    <w:rsid w:val="003D17CA"/>
    <w:rsid w:val="003E1986"/>
    <w:rsid w:val="00480B86"/>
    <w:rsid w:val="004861DD"/>
    <w:rsid w:val="00557414"/>
    <w:rsid w:val="005933CD"/>
    <w:rsid w:val="00653E7A"/>
    <w:rsid w:val="007C37D2"/>
    <w:rsid w:val="00891852"/>
    <w:rsid w:val="00905FE8"/>
    <w:rsid w:val="00967533"/>
    <w:rsid w:val="009964BE"/>
    <w:rsid w:val="009C399D"/>
    <w:rsid w:val="009D4370"/>
    <w:rsid w:val="00AD4F17"/>
    <w:rsid w:val="00AF6B63"/>
    <w:rsid w:val="00B13760"/>
    <w:rsid w:val="00B73A43"/>
    <w:rsid w:val="00B83EB5"/>
    <w:rsid w:val="00C06738"/>
    <w:rsid w:val="00C6446C"/>
    <w:rsid w:val="00E26F77"/>
    <w:rsid w:val="00E47B05"/>
    <w:rsid w:val="00EA1CCC"/>
    <w:rsid w:val="00FB1AFE"/>
    <w:rsid w:val="00FC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79B5DE1"/>
  <w15:chartTrackingRefBased/>
  <w15:docId w15:val="{3E98936E-DB6C-48BE-A460-852AB95A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B86"/>
  </w:style>
  <w:style w:type="paragraph" w:styleId="Heading1">
    <w:name w:val="heading 1"/>
    <w:basedOn w:val="Normal"/>
    <w:next w:val="Normal"/>
    <w:link w:val="Heading1Char"/>
    <w:uiPriority w:val="9"/>
    <w:qFormat/>
    <w:rsid w:val="0059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3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B86"/>
  </w:style>
  <w:style w:type="paragraph" w:styleId="Footer">
    <w:name w:val="footer"/>
    <w:basedOn w:val="Normal"/>
    <w:link w:val="FooterChar"/>
    <w:uiPriority w:val="99"/>
    <w:unhideWhenUsed/>
    <w:rsid w:val="00480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B86"/>
  </w:style>
  <w:style w:type="paragraph" w:customStyle="1" w:styleId="NICEnormal">
    <w:name w:val="NICE normal"/>
    <w:basedOn w:val="Normal"/>
    <w:next w:val="Normal"/>
    <w:rsid w:val="00480B86"/>
    <w:pPr>
      <w:autoSpaceDE w:val="0"/>
      <w:autoSpaceDN w:val="0"/>
      <w:adjustRightInd w:val="0"/>
      <w:spacing w:after="240" w:line="240" w:lineRule="auto"/>
    </w:pPr>
    <w:rPr>
      <w:rFonts w:ascii="Arial" w:eastAsia="Times New Roman" w:hAnsi="Arial" w:cs="Times New Roman"/>
      <w:kern w:val="0"/>
      <w:lang w:val="en-US"/>
      <w14:ligatures w14:val="none"/>
    </w:rPr>
  </w:style>
  <w:style w:type="table" w:styleId="TableGrid">
    <w:name w:val="Table Grid"/>
    <w:basedOn w:val="TableNormal"/>
    <w:rsid w:val="00480B8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basedOn w:val="Normal"/>
    <w:rsid w:val="00480B86"/>
    <w:pPr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05F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F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FE8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918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18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185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ndbook.ggcmedicines.org.uk/media/1099/195-hyponatraemia-flowchart-1-final-200717e.pdf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ic.oup.com/ejendo/article/170/3/G1/6668028?login=fals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tient.info/treatment-medication/hyponatraemia-leaflet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staff.cumbria.nhs.uk/applicatiohttps:/stsdraft.hospitalhealthpathways.org/files/4116/3828/5328/Hyponatraemia_Adult_v4_MED06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ks.nice.org.uk/topics/hyponatraemia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2320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Tyneside &amp; Sunderland NHS Foundation Trust</Company>
  <LinksUpToDate>false</LinksUpToDate>
  <CharactersWithSpaces>15516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SOULSBY, Daniel (SOUTH TYNESIDE AND SUNDERLAND NHS FOUNDATION TRUST)</dc:creator>
  <cp:keywords/>
  <dc:description/>
  <cp:lastModifiedBy>SOULSBY, Daniel (SOUTH TYNESIDE AND SUNDERLAND NHS FOUNDATION TRUST)</cp:lastModifiedBy>
  <cp:revision>12</cp:revision>
  <dcterms:created xsi:type="dcterms:W3CDTF">2026-01-27T10:50:00Z</dcterms:created>
  <dcterms:modified xsi:type="dcterms:W3CDTF">2026-01-30T15:11:00Z</dcterms:modified>
</cp:coreProperties>
</file>