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Alineación Rápida — Parte 2</w:t>
        <w:br/>
        <w:t>(NOM-022 a NOM-032)</w:t>
      </w:r>
    </w:p>
    <w:p>
      <w:r>
        <w:t>Proyecto: EHS SMART AI — Diagnóstico normativo STPS</w:t>
      </w:r>
    </w:p>
    <w:p>
      <w:r>
        <w:t>Propósito: resumir qué evalúa la app y la base normativa para cada NOM de esta entrega.</w:t>
      </w:r>
    </w:p>
    <w:p>
      <w:pPr>
        <w:pStyle w:val="Heading2"/>
      </w:pPr>
      <w:r>
        <w:t>NOM-022-STPS-2015 — Electricidad estática en los centros de trabajo — Condiciones de seguridad</w:t>
      </w:r>
    </w:p>
    <w:p>
      <w:r>
        <w:rPr>
          <w:b/>
        </w:rPr>
        <w:t xml:space="preserve">Fechas clave: </w:t>
      </w:r>
      <w:r>
        <w:t>Publicación: 01/abr/2016 • Entrada en vigor: 01/oct/2016 • Estado: VIGENTE</w:t>
      </w:r>
    </w:p>
    <w:p>
      <w:r>
        <w:rPr>
          <w:b/>
        </w:rPr>
        <w:t xml:space="preserve">Objetivo: </w:t>
      </w:r>
      <w:r>
        <w:t>Establecer condiciones de seguridad para prevenir riesgos por electricidad estática y descargas.</w:t>
      </w:r>
    </w:p>
    <w:p>
      <w:r>
        <w:rPr>
          <w:b/>
        </w:rPr>
        <w:t xml:space="preserve">Alcance: </w:t>
      </w:r>
      <w:r>
        <w:t>Aplica en centros donde se almacenen, manejen o transporten sustancias inflamables o se generen cargas electrostáticas.</w:t>
      </w:r>
    </w:p>
    <w:p>
      <w:r>
        <w:t>¿Qué evalúa la app?</w:t>
      </w:r>
    </w:p>
    <w:p>
      <w:pPr>
        <w:pStyle w:val="ListBullet"/>
      </w:pPr>
      <w:r>
        <w:t>Aplicabilidad y responsables (política/alcance).</w:t>
      </w:r>
    </w:p>
    <w:p>
      <w:pPr>
        <w:pStyle w:val="ListBullet"/>
      </w:pPr>
      <w:r>
        <w:t>Evaluación de riesgos por electricidad estática (áreas, materiales, procesos).</w:t>
      </w:r>
    </w:p>
    <w:p>
      <w:pPr>
        <w:pStyle w:val="ListBullet"/>
      </w:pPr>
      <w:r>
        <w:t>Medidas de control: puesta a tierra, unión equipotencial, control de humedad y velocidades de flujo, pisos/calzado antiestático, manejo de envases/trasvase.</w:t>
      </w:r>
    </w:p>
    <w:p>
      <w:pPr>
        <w:pStyle w:val="ListBullet"/>
      </w:pPr>
      <w:r>
        <w:t>Señalización y prohibiciones; capacitación y registros.</w:t>
      </w:r>
    </w:p>
    <w:p>
      <w:r>
        <w:t>Puntos operativos y documentación clave:</w:t>
      </w:r>
    </w:p>
    <w:p>
      <w:pPr>
        <w:pStyle w:val="ListBullet"/>
      </w:pPr>
      <w:r>
        <w:t>Procedimientos para trasiego/mezcla de inflamables; verificación de continuidad y resistencia de puesta a tierra.</w:t>
      </w:r>
    </w:p>
    <w:p>
      <w:pPr>
        <w:pStyle w:val="ListBullet"/>
      </w:pPr>
      <w:r>
        <w:t>Programa de mantenimiento/inspecciones de sistemas antiestáticos.</w:t>
      </w:r>
    </w:p>
    <w:p>
      <w:pPr>
        <w:pStyle w:val="ListBullet"/>
      </w:pPr>
      <w:r>
        <w:t>Registros de capacitación, listas de verificación y mediciones cuando aplique.</w:t>
      </w:r>
    </w:p>
    <w:p/>
    <w:p>
      <w:pPr>
        <w:pStyle w:val="Heading2"/>
      </w:pPr>
      <w:r>
        <w:t>NOM-023-STPS-2012 — Minas subterráneas y minas a cielo abierto — Condiciones de seguridad y salud en el trabajo</w:t>
      </w:r>
    </w:p>
    <w:p>
      <w:r>
        <w:rPr>
          <w:b/>
        </w:rPr>
        <w:t xml:space="preserve">Fechas clave: </w:t>
      </w:r>
      <w:r>
        <w:t>Publicación: 11/oct/2012 • Entrada en vigor: 11/oct/2013 • Estado: VIGENTE</w:t>
      </w:r>
    </w:p>
    <w:p>
      <w:r>
        <w:rPr>
          <w:b/>
        </w:rPr>
        <w:t xml:space="preserve">Objetivo: </w:t>
      </w:r>
      <w:r>
        <w:t>Establecer condiciones de S&amp;ST para prevenir riesgos en minas subterráneas y a cielo abierto.</w:t>
      </w:r>
    </w:p>
    <w:p>
      <w:r>
        <w:rPr>
          <w:b/>
        </w:rPr>
        <w:t xml:space="preserve">Alcance: </w:t>
      </w:r>
      <w:r>
        <w:t>Aplica a todas las minas subterráneas y a cielo abierto en territorio nacional.</w:t>
      </w:r>
    </w:p>
    <w:p>
      <w:r>
        <w:t>¿Qué evalúa la app?</w:t>
      </w:r>
    </w:p>
    <w:p>
      <w:pPr>
        <w:pStyle w:val="ListBullet"/>
      </w:pPr>
      <w:r>
        <w:t>Obligaciones del patrón y trabajadores; registro/seguimiento de personal en mina.</w:t>
      </w:r>
    </w:p>
    <w:p>
      <w:pPr>
        <w:pStyle w:val="ListBullet"/>
      </w:pPr>
      <w:r>
        <w:t>Análisis de riesgos; ventilación; explosivos; transporte y maquinaria; emergencias; capacitación.</w:t>
      </w:r>
    </w:p>
    <w:p>
      <w:r>
        <w:t>Puntos operativos y documentación clave:</w:t>
      </w:r>
    </w:p>
    <w:p>
      <w:pPr>
        <w:pStyle w:val="ListBullet"/>
      </w:pPr>
      <w:r>
        <w:t>Planos e identificación; ventilación adecuada; control de explosivos; comunicación y alarma.</w:t>
      </w:r>
    </w:p>
    <w:p>
      <w:pPr>
        <w:pStyle w:val="ListBullet"/>
      </w:pPr>
      <w:r>
        <w:t>Formatos de autorización/permisos; registros de capacitación y simulacros.</w:t>
      </w:r>
    </w:p>
    <w:p>
      <w:pPr>
        <w:pStyle w:val="ListBullet"/>
      </w:pPr>
      <w:r>
        <w:t>Opcional: UV y dictamen conforme a la Norma.</w:t>
      </w:r>
    </w:p>
    <w:p/>
    <w:p>
      <w:pPr>
        <w:pStyle w:val="Heading2"/>
      </w:pPr>
      <w:r>
        <w:t>NOM-024-STPS-2001 — Vibraciones — Condiciones de seguridad e higiene en los centros de trabajo</w:t>
      </w:r>
    </w:p>
    <w:p>
      <w:r>
        <w:rPr>
          <w:b/>
        </w:rPr>
        <w:t xml:space="preserve">Fechas clave: </w:t>
      </w:r>
      <w:r>
        <w:t>Publicación: 11/ene/2002 • Entrada en vigor: 10/jul/2002 • Estado: VIGENTE</w:t>
      </w:r>
    </w:p>
    <w:p>
      <w:r>
        <w:rPr>
          <w:b/>
        </w:rPr>
        <w:t xml:space="preserve">Objetivo: </w:t>
      </w:r>
      <w:r>
        <w:t>Establecer límites máximos permisibles de exposición y condiciones mínimas de S&amp;H donde se generen vibraciones que puedan afectar la salud.</w:t>
      </w:r>
    </w:p>
    <w:p>
      <w:r>
        <w:rPr>
          <w:b/>
        </w:rPr>
        <w:t xml:space="preserve">Alcance: </w:t>
      </w:r>
      <w:r>
        <w:t>Aplica a centros donde existan vibraciones de cuerpo entero o mano-brazo.</w:t>
      </w:r>
    </w:p>
    <w:p>
      <w:r>
        <w:t>¿Qué evalúa la app?</w:t>
      </w:r>
    </w:p>
    <w:p>
      <w:pPr>
        <w:pStyle w:val="ListBullet"/>
      </w:pPr>
      <w:r>
        <w:t>Reconocimiento de fuentes de vibración por puesto/proceso.</w:t>
      </w:r>
    </w:p>
    <w:p>
      <w:pPr>
        <w:pStyle w:val="ListBullet"/>
      </w:pPr>
      <w:r>
        <w:t>Evaluación con métodos/instrumentación; comparación contra límites.</w:t>
      </w:r>
    </w:p>
    <w:p>
      <w:pPr>
        <w:pStyle w:val="ListBullet"/>
      </w:pPr>
      <w:r>
        <w:t>Controles técnicos/administrativos; vigilancia a la salud y capacitación.</w:t>
      </w:r>
    </w:p>
    <w:p>
      <w:r>
        <w:t>Puntos operativos y documentación clave:</w:t>
      </w:r>
    </w:p>
    <w:p>
      <w:pPr>
        <w:pStyle w:val="ListBullet"/>
      </w:pPr>
      <w:r>
        <w:t>Programas de medición y mantenimiento; registros de evaluación y control.</w:t>
      </w:r>
    </w:p>
    <w:p>
      <w:pPr>
        <w:pStyle w:val="ListBullet"/>
      </w:pPr>
      <w:r>
        <w:t>Matriz de EPP (guantes amortiguadores/aislamiento cuando aplique).</w:t>
      </w:r>
    </w:p>
    <w:p/>
    <w:p>
      <w:pPr>
        <w:pStyle w:val="Heading2"/>
      </w:pPr>
      <w:r>
        <w:t>NOM-025-STPS-2008 — Condiciones de iluminación en los centros de trabajo</w:t>
      </w:r>
    </w:p>
    <w:p>
      <w:r>
        <w:rPr>
          <w:b/>
        </w:rPr>
        <w:t xml:space="preserve">Fechas clave: </w:t>
      </w:r>
      <w:r>
        <w:t>Publicación: 30/dic/2008 • Entrada en vigor: 28/feb/2009 • Modificación DOF 20/ago/2015 (se suprime el método de la constante del salón) • Estado: VIGENTE</w:t>
      </w:r>
    </w:p>
    <w:p>
      <w:r>
        <w:rPr>
          <w:b/>
        </w:rPr>
        <w:t xml:space="preserve">Objetivo: </w:t>
      </w:r>
      <w:r>
        <w:t>Establecer condiciones de iluminación adecuadas para preservar la salud y seguridad en las áreas de trabajo.</w:t>
      </w:r>
    </w:p>
    <w:p>
      <w:r>
        <w:rPr>
          <w:b/>
        </w:rPr>
        <w:t xml:space="preserve">Alcance: </w:t>
      </w:r>
      <w:r>
        <w:t>Aplica a todos los centros de trabajo.</w:t>
      </w:r>
    </w:p>
    <w:p>
      <w:r>
        <w:t>¿Qué evalúa la app?</w:t>
      </w:r>
    </w:p>
    <w:p>
      <w:pPr>
        <w:pStyle w:val="ListBullet"/>
      </w:pPr>
      <w:r>
        <w:t>Identificación de áreas/tareas y niveles requeridos de iluminación.</w:t>
      </w:r>
    </w:p>
    <w:p>
      <w:pPr>
        <w:pStyle w:val="ListBullet"/>
      </w:pPr>
      <w:r>
        <w:t>Evaluación en plano de trabajo y comparación con tablas de la Norma.</w:t>
      </w:r>
    </w:p>
    <w:p>
      <w:pPr>
        <w:pStyle w:val="ListBullet"/>
      </w:pPr>
      <w:r>
        <w:t>Plan de mejoras (luminarias, mantenimiento, limpieza), capacitación y señalización.</w:t>
      </w:r>
    </w:p>
    <w:p>
      <w:r>
        <w:t>Puntos operativos y documentación clave:</w:t>
      </w:r>
    </w:p>
    <w:p>
      <w:pPr>
        <w:pStyle w:val="ListBullet"/>
      </w:pPr>
      <w:r>
        <w:t>Registros de medición de iluminancia; planos/catálogos de luminarias.</w:t>
      </w:r>
    </w:p>
    <w:p>
      <w:pPr>
        <w:pStyle w:val="ListBullet"/>
      </w:pPr>
      <w:r>
        <w:t>Evidencia de limpieza/mantenimiento; bitácoras de reemplazos; comunicación al personal.</w:t>
      </w:r>
    </w:p>
    <w:p/>
    <w:p>
      <w:pPr>
        <w:pStyle w:val="Heading2"/>
      </w:pPr>
      <w:r>
        <w:t>NOM-026-STPS-2008 — Colores y señales de seguridad e higiene e identificación de riesgos por fluidos en tuberías</w:t>
      </w:r>
    </w:p>
    <w:p>
      <w:r>
        <w:rPr>
          <w:b/>
        </w:rPr>
        <w:t xml:space="preserve">Fechas clave: </w:t>
      </w:r>
      <w:r>
        <w:t>Publicación: 25/nov/2008 • Entrada en vigor: 24/ene/2009 • Estado: VIGENTE</w:t>
      </w:r>
    </w:p>
    <w:p>
      <w:r>
        <w:rPr>
          <w:b/>
        </w:rPr>
        <w:t xml:space="preserve">Objetivo: </w:t>
      </w:r>
      <w:r>
        <w:t>Establecer requerimientos de colores y señales de S&amp;H e identificación de riesgos por fluidos en tuberías.</w:t>
      </w:r>
    </w:p>
    <w:p>
      <w:r>
        <w:rPr>
          <w:b/>
        </w:rPr>
        <w:t xml:space="preserve">Alcance: </w:t>
      </w:r>
      <w:r>
        <w:t>Aplica a todos los centros de trabajo, con exclusiones específicas (p. ej., transporte SCT; tuberías ocultas, etc.).</w:t>
      </w:r>
    </w:p>
    <w:p>
      <w:r>
        <w:t>¿Qué evalúa la app?</w:t>
      </w:r>
    </w:p>
    <w:p>
      <w:pPr>
        <w:pStyle w:val="ListBullet"/>
      </w:pPr>
      <w:r>
        <w:t>Sistema de señalización (formas, colores, símbolos, texto complementario).</w:t>
      </w:r>
    </w:p>
    <w:p>
      <w:pPr>
        <w:pStyle w:val="ListBullet"/>
      </w:pPr>
      <w:r>
        <w:t>Iluminación mínima de señales; dimensiones/tamaño vs. distancia.</w:t>
      </w:r>
    </w:p>
    <w:p>
      <w:pPr>
        <w:pStyle w:val="ListBullet"/>
      </w:pPr>
      <w:r>
        <w:t>Código de colores para tuberías; bandas/etiquetas; flecha de flujo; intervalos de identificación.</w:t>
      </w:r>
    </w:p>
    <w:p>
      <w:r>
        <w:t>Puntos operativos y documentación clave:</w:t>
      </w:r>
    </w:p>
    <w:p>
      <w:pPr>
        <w:pStyle w:val="ListBullet"/>
      </w:pPr>
      <w:r>
        <w:t>Catálogo de señales y croquis; evidencia fotográfica en sitio.</w:t>
      </w:r>
    </w:p>
    <w:p>
      <w:pPr>
        <w:pStyle w:val="ListBullet"/>
      </w:pPr>
      <w:r>
        <w:t>Inventario/croquis de tuberías por color/servicio; verificación de porcentajes de color y contrastes; mediciones de lux cuando aplique.</w:t>
      </w:r>
    </w:p>
    <w:p/>
    <w:p>
      <w:pPr>
        <w:pStyle w:val="Heading2"/>
      </w:pPr>
      <w:r>
        <w:t>NOM-027-STPS-2008 — Actividades de soldadura y corte — Condiciones de seguridad e higiene</w:t>
      </w:r>
    </w:p>
    <w:p>
      <w:r>
        <w:rPr>
          <w:b/>
        </w:rPr>
        <w:t xml:space="preserve">Fechas clave: </w:t>
      </w:r>
      <w:r>
        <w:t>Publicación: 07/nov/2008 • Entrada en vigor: 06/ene/2009 • Estado: VIGENTE</w:t>
      </w:r>
    </w:p>
    <w:p>
      <w:r>
        <w:rPr>
          <w:b/>
        </w:rPr>
        <w:t xml:space="preserve">Objetivo: </w:t>
      </w:r>
      <w:r>
        <w:t>Establecer medidas para prevenir riesgos en actividades de soldadura y corte.</w:t>
      </w:r>
    </w:p>
    <w:p>
      <w:r>
        <w:rPr>
          <w:b/>
        </w:rPr>
        <w:t xml:space="preserve">Alcance: </w:t>
      </w:r>
      <w:r>
        <w:t>Aplica a centros donde se realicen actividades de soldadura/corte (permanentes o temporales).</w:t>
      </w:r>
    </w:p>
    <w:p>
      <w:r>
        <w:t>¿Qué evalúa la app?</w:t>
      </w:r>
    </w:p>
    <w:p>
      <w:pPr>
        <w:pStyle w:val="ListBullet"/>
      </w:pPr>
      <w:r>
        <w:t>Análisis de riesgos; información al personal (≥2 veces/año); capacitación anual.</w:t>
      </w:r>
    </w:p>
    <w:p>
      <w:pPr>
        <w:pStyle w:val="ListBullet"/>
      </w:pPr>
      <w:r>
        <w:t>Programa 9.1 con contenido mínimo; permisos/autorización por escrito.</w:t>
      </w:r>
    </w:p>
    <w:p>
      <w:pPr>
        <w:pStyle w:val="ListBullet"/>
      </w:pPr>
      <w:r>
        <w:t>Controles en áreas con atmósferas peligrosas (detección/ventilación/rescate).</w:t>
      </w:r>
    </w:p>
    <w:p>
      <w:r>
        <w:t>Puntos operativos y documentación clave:</w:t>
      </w:r>
    </w:p>
    <w:p>
      <w:pPr>
        <w:pStyle w:val="ListBullet"/>
      </w:pPr>
      <w:r>
        <w:t>Extintor ABC a ≤7 m; casetas/mamparas; limpieza/orden; señalización y bloqueo/etiquetado.</w:t>
      </w:r>
    </w:p>
    <w:p>
      <w:pPr>
        <w:pStyle w:val="ListBullet"/>
      </w:pPr>
      <w:r>
        <w:t>Permisos antes de trabajos fuera de áreas designadas o con riesgo; registros de medición cuando aplique.</w:t>
      </w:r>
    </w:p>
    <w:p/>
    <w:p>
      <w:pPr>
        <w:pStyle w:val="Heading2"/>
      </w:pPr>
      <w:r>
        <w:t>NOM-028-STPS-2012 — Sistema para la administración del trabajo — Seguridad en procesos y equipos críticos con sustancias químicas peligrosas</w:t>
      </w:r>
    </w:p>
    <w:p>
      <w:r>
        <w:rPr>
          <w:b/>
        </w:rPr>
        <w:t xml:space="preserve">Fechas clave: </w:t>
      </w:r>
      <w:r>
        <w:t>Publicación: 06/sep/2012 • Entrada en vigor: 06/mar/2014 • Modificación Apéndice A (Tabla A.1): 10/sep/2014 • Estado: VIGENTE</w:t>
      </w:r>
    </w:p>
    <w:p>
      <w:r>
        <w:rPr>
          <w:b/>
        </w:rPr>
        <w:t xml:space="preserve">Objetivo: </w:t>
      </w:r>
      <w:r>
        <w:t>Establecer elementos de un sistema de administración para prevenir accidentes mayores en procesos/equipos críticos con sustancias químicas peligrosas.</w:t>
      </w:r>
    </w:p>
    <w:p>
      <w:r>
        <w:rPr>
          <w:b/>
        </w:rPr>
        <w:t xml:space="preserve">Alcance: </w:t>
      </w:r>
      <w:r>
        <w:t>Aplica a centros con procesos/equipos críticos y a quienes manejen sustancias por encima de umbrales del Apéndice A.</w:t>
      </w:r>
    </w:p>
    <w:p>
      <w:r>
        <w:t>¿Qué evalúa la app?</w:t>
      </w:r>
    </w:p>
    <w:p>
      <w:pPr>
        <w:pStyle w:val="ListBullet"/>
      </w:pPr>
      <w:r>
        <w:t>Política y sistema; análisis de riesgos (actualización ≤5 años y ante cambios); permisos de trabajos peligrosos.</w:t>
      </w:r>
    </w:p>
    <w:p>
      <w:pPr>
        <w:pStyle w:val="ListBullet"/>
      </w:pPr>
      <w:r>
        <w:t>Integridad mecánica; administración de cambios; emergencias; auditorías; investigación de accidentes mayores.</w:t>
      </w:r>
    </w:p>
    <w:p>
      <w:pPr>
        <w:pStyle w:val="ListBullet"/>
      </w:pPr>
      <w:r>
        <w:t>Información de proceso; contratistas; capacitación; documentación y PEC/UV.</w:t>
      </w:r>
    </w:p>
    <w:p>
      <w:r>
        <w:t>Puntos operativos y documentación clave:</w:t>
      </w:r>
    </w:p>
    <w:p>
      <w:pPr>
        <w:pStyle w:val="ListBullet"/>
      </w:pPr>
      <w:r>
        <w:t>Inventario vs. Apéndice A; evidencia de AR (HAZOP/What-If/LOPA) y planes de mitigación.</w:t>
      </w:r>
    </w:p>
    <w:p>
      <w:pPr>
        <w:pStyle w:val="ListBullet"/>
      </w:pPr>
      <w:r>
        <w:t>Programas de integridad mecánica y auditorías; plan de emergencias y simulacros; MOC y permisos documentados.</w:t>
      </w:r>
    </w:p>
    <w:p/>
    <w:p>
      <w:pPr>
        <w:pStyle w:val="Heading2"/>
      </w:pPr>
      <w:r>
        <w:t>NOM-029-STPS-2011 — Mantenimiento de las instalaciones eléctricas en los centros de trabajo — Condiciones de seguridad</w:t>
      </w:r>
    </w:p>
    <w:p>
      <w:r>
        <w:rPr>
          <w:b/>
        </w:rPr>
        <w:t xml:space="preserve">Fechas clave: </w:t>
      </w:r>
      <w:r>
        <w:t>Publicación: 29/dic/2011 • Entrada en vigor: 29/mar/2012 • Estado: VIGENTE</w:t>
      </w:r>
    </w:p>
    <w:p>
      <w:r>
        <w:rPr>
          <w:b/>
        </w:rPr>
        <w:t xml:space="preserve">Objetivo: </w:t>
      </w:r>
      <w:r>
        <w:t>Establecer condiciones de seguridad para la realización de actividades de mantenimiento de instalaciones eléctricas.</w:t>
      </w:r>
    </w:p>
    <w:p>
      <w:r>
        <w:rPr>
          <w:b/>
        </w:rPr>
        <w:t xml:space="preserve">Alcance: </w:t>
      </w:r>
      <w:r>
        <w:t>Aplica a trabajos de mantenimiento eléctrico en instalaciones permanentes/provisionales, líneas aéreas/subterráneas, con o sin energía.</w:t>
      </w:r>
    </w:p>
    <w:p>
      <w:r>
        <w:t>¿Qué evalúa la app?</w:t>
      </w:r>
    </w:p>
    <w:p>
      <w:pPr>
        <w:pStyle w:val="ListBullet"/>
      </w:pPr>
      <w:r>
        <w:t>Planos unifilares e identificación; permisos/autorizaciones; análisis de riesgos.</w:t>
      </w:r>
    </w:p>
    <w:p>
      <w:pPr>
        <w:pStyle w:val="ListBullet"/>
      </w:pPr>
      <w:r>
        <w:t>Procedimientos: LOTO; trabajos con tensión; tierras/descargas; señalización y resguardo.</w:t>
      </w:r>
    </w:p>
    <w:p>
      <w:pPr>
        <w:pStyle w:val="ListBullet"/>
      </w:pPr>
      <w:r>
        <w:t>Herramientas/equipos y EPP dieléctrico; instrumentos con calibración; capacitación/competencia.</w:t>
      </w:r>
    </w:p>
    <w:p>
      <w:r>
        <w:t>Puntos operativos y documentación clave:</w:t>
      </w:r>
    </w:p>
    <w:p>
      <w:pPr>
        <w:pStyle w:val="ListBullet"/>
      </w:pPr>
      <w:r>
        <w:t>Programa de mantenimiento e inspecciones antes–durante–después; registros fotográficos y checklists.</w:t>
      </w:r>
    </w:p>
    <w:p>
      <w:pPr>
        <w:pStyle w:val="ListBullet"/>
      </w:pPr>
      <w:r>
        <w:t>Control de contratistas; carpeta documental lista para inspección.</w:t>
      </w:r>
    </w:p>
    <w:p/>
    <w:p>
      <w:pPr>
        <w:pStyle w:val="Heading2"/>
      </w:pPr>
      <w:r>
        <w:t>NOM-030-STPS-2009 — Servicios preventivos de S&amp;ST — Funciones y actividades</w:t>
      </w:r>
    </w:p>
    <w:p>
      <w:r>
        <w:rPr>
          <w:b/>
        </w:rPr>
        <w:t xml:space="preserve">Fechas clave: </w:t>
      </w:r>
      <w:r>
        <w:t>Publicación: 22/dic/2009 • Entrada en vigor: 22/mar/2010 • Estado: VIGENTE (revisión sistemática 20/feb/2025)</w:t>
      </w:r>
    </w:p>
    <w:p>
      <w:r>
        <w:rPr>
          <w:b/>
        </w:rPr>
        <w:t xml:space="preserve">Objetivo: </w:t>
      </w:r>
      <w:r>
        <w:t>Definir funciones y actividades de los servicios preventivos de seguridad y salud para prevenir accidentes y enfermedades.</w:t>
      </w:r>
    </w:p>
    <w:p>
      <w:r>
        <w:rPr>
          <w:b/>
        </w:rPr>
        <w:t xml:space="preserve">Alcance: </w:t>
      </w:r>
      <w:r>
        <w:t>Aplica a todos los centros; permite servicios internos, externos o mixtos.</w:t>
      </w:r>
    </w:p>
    <w:p>
      <w:r>
        <w:t>¿Qué evalúa la app?</w:t>
      </w:r>
    </w:p>
    <w:p>
      <w:pPr>
        <w:pStyle w:val="ListBullet"/>
      </w:pPr>
      <w:r>
        <w:t>Designación del responsable; diagnóstico de S&amp;ST (integral o por área); programa anual basado en diagnóstico.</w:t>
      </w:r>
    </w:p>
    <w:p>
      <w:pPr>
        <w:pStyle w:val="ListBullet"/>
      </w:pPr>
      <w:r>
        <w:t>Centros &lt;100 trabajadores: relación de acciones en lugar de programa (actualización ≥ anual).</w:t>
      </w:r>
    </w:p>
    <w:p>
      <w:pPr>
        <w:pStyle w:val="ListBullet"/>
      </w:pPr>
      <w:r>
        <w:t>Comunicación a CSH/trabajadores; seguimiento; capacitación al personal de S&amp;ST; conservación documental ≥2 años.</w:t>
      </w:r>
    </w:p>
    <w:p>
      <w:r>
        <w:t>Puntos operativos y documentación clave:</w:t>
      </w:r>
    </w:p>
    <w:p>
      <w:pPr>
        <w:pStyle w:val="ListBullet"/>
      </w:pPr>
      <w:r>
        <w:t>Informes de seguimiento ≥ anual al patrón; procedimientos/registros de soporte; carpeta PEC lista para inspección/UV.</w:t>
      </w:r>
    </w:p>
    <w:p/>
    <w:p>
      <w:pPr>
        <w:pStyle w:val="Heading2"/>
      </w:pPr>
      <w:r>
        <w:t>NOM-031-STPS-2011 — Construcción — Condiciones de seguridad y salud en el trabajo</w:t>
      </w:r>
    </w:p>
    <w:p>
      <w:r>
        <w:rPr>
          <w:b/>
        </w:rPr>
        <w:t xml:space="preserve">Fechas clave: </w:t>
      </w:r>
      <w:r>
        <w:t>Publicación: 04/may/2011 • Entrada en vigor: 6 meses después (≈ 04/nov/2011) • Estado: VIGENTE</w:t>
      </w:r>
    </w:p>
    <w:p>
      <w:r>
        <w:rPr>
          <w:b/>
        </w:rPr>
        <w:t xml:space="preserve">Objetivo: </w:t>
      </w:r>
      <w:r>
        <w:t>Establecer condiciones de S&amp;ST en obras de construcción para prevenir riesgos.</w:t>
      </w:r>
    </w:p>
    <w:p>
      <w:r>
        <w:rPr>
          <w:b/>
        </w:rPr>
        <w:t xml:space="preserve">Alcance: </w:t>
      </w:r>
      <w:r>
        <w:t>Aplica a todas las obras de construcción; exceptúa mantenimiento que no requiera licencia/aviso.</w:t>
      </w:r>
    </w:p>
    <w:p>
      <w:r>
        <w:t>¿Qué evalúa la app?</w:t>
      </w:r>
    </w:p>
    <w:p>
      <w:pPr>
        <w:pStyle w:val="ListBullet"/>
      </w:pPr>
      <w:r>
        <w:t>Clasificación del tamaño de obra; Sistema de S&amp;ST (9.1–9.3).</w:t>
      </w:r>
    </w:p>
    <w:p>
      <w:pPr>
        <w:pStyle w:val="ListBullet"/>
      </w:pPr>
      <w:r>
        <w:t>Trabajos críticos: excavaciones, espacios confinados, soldadura/corte, altura, transporte, demoliciones, prefabricados, etc.</w:t>
      </w:r>
    </w:p>
    <w:p>
      <w:pPr>
        <w:pStyle w:val="ListBullet"/>
      </w:pPr>
      <w:r>
        <w:t>Maquinaria y equipo; herramientas; plan de emergencias; capacitación; registro e investigación de accidentes.</w:t>
      </w:r>
    </w:p>
    <w:p>
      <w:r>
        <w:t>Puntos operativos y documentación clave:</w:t>
      </w:r>
    </w:p>
    <w:p>
      <w:pPr>
        <w:pStyle w:val="ListBullet"/>
      </w:pPr>
      <w:r>
        <w:t>Carpeta del sistema por obra con programas, AR por actividad, organigrama y procedimientos específicos (según tamaño).</w:t>
      </w:r>
    </w:p>
    <w:p>
      <w:pPr>
        <w:pStyle w:val="ListBullet"/>
      </w:pPr>
      <w:r>
        <w:t>Evidencias: permisos, listas de verificación, DC-3, reportes e informes.</w:t>
      </w:r>
    </w:p>
    <w:p/>
    <w:p>
      <w:pPr>
        <w:pStyle w:val="Heading2"/>
      </w:pPr>
      <w:r>
        <w:t>NOM-032-STPS-2008 — Seguridad para minas subterráneas de carbón</w:t>
      </w:r>
    </w:p>
    <w:p>
      <w:r>
        <w:rPr>
          <w:b/>
        </w:rPr>
        <w:t xml:space="preserve">Fechas clave: </w:t>
      </w:r>
      <w:r>
        <w:t>Publicación: 23/dic/2008 • Entrada en vigor: 23/mar/2009 • Estado: VIGENTE (modificación 2011: esquema UV)</w:t>
      </w:r>
    </w:p>
    <w:p>
      <w:r>
        <w:rPr>
          <w:b/>
        </w:rPr>
        <w:t xml:space="preserve">Objetivo: </w:t>
      </w:r>
      <w:r>
        <w:t>Establecer condiciones y requisitos de seguridad en instalaciones y funcionamiento de minas subterráneas de carbón.</w:t>
      </w:r>
    </w:p>
    <w:p>
      <w:r>
        <w:rPr>
          <w:b/>
        </w:rPr>
        <w:t xml:space="preserve">Alcance: </w:t>
      </w:r>
      <w:r>
        <w:t>Aplica a todas las minas subterráneas de carbón.</w:t>
      </w:r>
    </w:p>
    <w:p>
      <w:r>
        <w:t>¿Qué evalúa la app?</w:t>
      </w:r>
    </w:p>
    <w:p>
      <w:pPr>
        <w:pStyle w:val="ListBullet"/>
      </w:pPr>
      <w:r>
        <w:t>Ventilación: parámetros mínimos (velocidad, CH4, T y HR); instrumentación intrínsecamente segura.</w:t>
      </w:r>
    </w:p>
    <w:p>
      <w:pPr>
        <w:pStyle w:val="ListBullet"/>
      </w:pPr>
      <w:r>
        <w:t>Explosivos: disparos con límites de CH4; avisos/desalojo; autorización.</w:t>
      </w:r>
    </w:p>
    <w:p>
      <w:pPr>
        <w:pStyle w:val="ListBullet"/>
      </w:pPr>
      <w:r>
        <w:t>Instalaciones eléctricas; soldadura/corte con restricciones; incendios/explosiones; desprendimientos instantáneos; inundaciones; transporte.</w:t>
      </w:r>
    </w:p>
    <w:p>
      <w:r>
        <w:t>Puntos operativos y documentación clave:</w:t>
      </w:r>
    </w:p>
    <w:p>
      <w:pPr>
        <w:pStyle w:val="ListBullet"/>
      </w:pPr>
      <w:r>
        <w:t>Planos y sistemas de ventilación; bitácoras de medición y calibración; sistemas de alarma y autorrescatadores.</w:t>
      </w:r>
    </w:p>
    <w:p>
      <w:pPr>
        <w:pStyle w:val="ListBullet"/>
      </w:pPr>
      <w:r>
        <w:t>UV/PEC: dictamen y vigencia conforme versión vigente tras modificación 2011; mantenimiento de registros y planes.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