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D45" w:rsidRPr="00404D45" w:rsidRDefault="00404D45" w:rsidP="00404D45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bookmarkStart w:id="0" w:name="_GoBack"/>
      <w:proofErr w:type="spellStart"/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Gas</w:t>
      </w:r>
      <w:proofErr w:type="spellEnd"/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Market</w:t>
      </w:r>
      <w:proofErr w:type="spellEnd"/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Report</w:t>
      </w:r>
      <w:proofErr w:type="spellEnd"/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, Q1-2026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bookmarkEnd w:id="0"/>
      <w:r w:rsidRPr="00404D45">
        <w:rPr>
          <w:rFonts w:ascii="Times New Roman" w:hAnsi="Times New Roman" w:cs="Times New Roman"/>
          <w:color w:val="1F1F1F"/>
          <w:sz w:val="28"/>
          <w:szCs w:val="28"/>
        </w:rPr>
        <w:t>от Международного энергетического агентства (IEA).</w:t>
      </w:r>
    </w:p>
    <w:p w:rsidR="00404D45" w:rsidRPr="00404D45" w:rsidRDefault="00404D45" w:rsidP="00404D4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404D45" w:rsidRPr="00404D45" w:rsidRDefault="00404D45" w:rsidP="00404D45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Executive</w:t>
      </w:r>
      <w:proofErr w:type="spellEnd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Summary</w:t>
      </w:r>
      <w:proofErr w:type="spellEnd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(для топ-менеджмента)</w:t>
      </w:r>
    </w:p>
    <w:p w:rsidR="00404D45" w:rsidRDefault="00404D45" w:rsidP="00404D45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2026 год знаменует начало </w:t>
      </w: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«второй волны СПГ»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, которая фундаментально меняет баланс сил на мировом энергетическом рынке. После периода турбулентности и высоких цен (2022–2025 гг.) рынок переходит в фазу избыточного предложения. Рост мощностей по сжижению (преимущественно в США, Катаре и Канаде) обгоняет темпы роста спроса, что ведет к снижению цен и усилению конкуренции между поставщиками. Однако этот «медвежий» тренд соседствует с экстремальной волатильностью, вызванной геополитическими шоками на Ближнем Востоке и растущей корреляцией между региональными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хабами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(TTF и JKM).</w:t>
      </w:r>
    </w:p>
    <w:p w:rsidR="00404D45" w:rsidRPr="00404D45" w:rsidRDefault="00404D45" w:rsidP="00404D45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:rsidR="00404D45" w:rsidRPr="00404D45" w:rsidRDefault="00404D45" w:rsidP="00404D4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404D45" w:rsidRPr="00404D45" w:rsidRDefault="00404D45" w:rsidP="00404D45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Strategic</w:t>
      </w:r>
      <w:proofErr w:type="spellEnd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Insights</w:t>
      </w:r>
      <w:proofErr w:type="spellEnd"/>
    </w:p>
    <w:p w:rsidR="00404D45" w:rsidRPr="00404D45" w:rsidRDefault="00404D45" w:rsidP="00404D45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Рекордное расширение предложения: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В 2026 году ожидается самый быстрый рост мировых поставок СПГ с 2019 года (более 7%, или +40 млрд куб. м). Основной драйвер — Северная Америка (85% прироста).</w:t>
      </w:r>
    </w:p>
    <w:p w:rsidR="00404D45" w:rsidRPr="00404D45" w:rsidRDefault="00404D45" w:rsidP="00404D45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Глобальная интеграция рынков: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Благодаря росту объемов гибкого (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destination-flexible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>) СПГ из США, корреляция цен между Европой и Азией достигла исторического максимума (95,5%). Теперь локальный шок в одном регионе мгновенно транслируется на весь мир.</w:t>
      </w:r>
    </w:p>
    <w:p w:rsidR="00404D45" w:rsidRPr="00404D45" w:rsidRDefault="00404D45" w:rsidP="00404D45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Закат российского трубного газа в ЕС: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Евросоюз закрепил стратегическое решение о полном отказе от импорта из РФ к ноябрю 2027 года, что окончательно превращает Европу в премиальный рынок для мировых поставщиков СПГ.</w:t>
      </w:r>
    </w:p>
    <w:p w:rsidR="00404D45" w:rsidRPr="00404D45" w:rsidRDefault="00404D45" w:rsidP="00404D45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Азия как двигатель спроса: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Китай и развивающиеся страны Азии остаются единственными регионами со значимым ростом потребления, в то время как спрос в Европе и Северной Америке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стагнирует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или снижается.</w:t>
      </w:r>
    </w:p>
    <w:p w:rsidR="00404D45" w:rsidRPr="00404D45" w:rsidRDefault="00404D45" w:rsidP="00404D4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404D45" w:rsidRPr="00404D45" w:rsidRDefault="00404D45" w:rsidP="00404D45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Market</w:t>
      </w:r>
      <w:proofErr w:type="spellEnd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Implications</w:t>
      </w:r>
      <w:proofErr w:type="spellEnd"/>
    </w:p>
    <w:p w:rsidR="00404D45" w:rsidRPr="00404D45" w:rsidRDefault="00404D45" w:rsidP="00404D45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Ценовое давление: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Избыток предложения способствует снижению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спотовых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цен. Прогнозы для Азии (JKM) и Европы (TTF) колеблются в диапазоне </w:t>
      </w: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$9–11 за млн БТЕ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(против пиковых значений прошлых лет).</w:t>
      </w:r>
    </w:p>
    <w:p w:rsidR="00404D45" w:rsidRPr="00404D45" w:rsidRDefault="00404D45" w:rsidP="00404D45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Конкуренция за покупателя: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Поставщики вынуждены предлагать более гибкие условия контрактов, чтобы стимулировать спрос в чувствительных к цене секторах (промышленность и электроэнергетика Азии).</w:t>
      </w:r>
    </w:p>
    <w:p w:rsidR="00404D45" w:rsidRPr="00404D45" w:rsidRDefault="00404D45" w:rsidP="00404D45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Инфраструктурный сдвиг: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США становятся крупнейшим в мире экспортером СПГ, что усиливает роль долларового ценообразования и американской регуляторной политики на мировом рынке.</w:t>
      </w:r>
    </w:p>
    <w:p w:rsidR="00404D45" w:rsidRPr="00404D45" w:rsidRDefault="00404D45" w:rsidP="00404D4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404D45" w:rsidRPr="00404D45" w:rsidRDefault="00404D45" w:rsidP="00404D45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Risk</w:t>
      </w:r>
      <w:proofErr w:type="spellEnd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Assessment</w:t>
      </w:r>
      <w:proofErr w:type="spellEnd"/>
    </w:p>
    <w:p w:rsidR="00404D45" w:rsidRPr="00404D45" w:rsidRDefault="00404D45" w:rsidP="00404D45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Геополитический форс-мажор (Критический риск):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Атаки на энергетическую инфраструктуру (например, комплекс Рас-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Лаффан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в Катаре в 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lastRenderedPageBreak/>
        <w:t>марте 2026 г.) способны мгновенно «сжечь» весь профицит предложения, вызывая скачки цен до уровня кризисных 2022 года.</w:t>
      </w:r>
    </w:p>
    <w:p w:rsidR="00404D45" w:rsidRPr="00404D45" w:rsidRDefault="00404D45" w:rsidP="00404D45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Зависимость от погоды: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При низких запасах в хранилищах экстремально холодная зима в Северном полушарии остается главным фактором риска для физической безопасности поставок.</w:t>
      </w:r>
    </w:p>
    <w:p w:rsidR="00404D45" w:rsidRPr="00404D45" w:rsidRDefault="00404D45" w:rsidP="00404D45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Риски энергетического перехода: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Высокая волатильность цен на газ может ускорить инвестиции в ВИЭ в Европе, что приведет к более резкому падению спроса на газ в долгосрочной перспективе, чем прогнозировалось.</w:t>
      </w:r>
    </w:p>
    <w:p w:rsidR="00404D45" w:rsidRPr="00404D45" w:rsidRDefault="00404D45" w:rsidP="00404D4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404D45" w:rsidRPr="00404D45" w:rsidRDefault="00404D45" w:rsidP="00404D4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404D45" w:rsidRPr="00404D45" w:rsidRDefault="00404D45" w:rsidP="00404D45">
      <w:pPr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</w:t>
      </w:r>
      <w:proofErr w:type="spellEnd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Facts</w:t>
      </w:r>
      <w:proofErr w:type="spellEnd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&amp; </w:t>
      </w: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Outlook</w:t>
      </w:r>
      <w:proofErr w:type="spellEnd"/>
    </w:p>
    <w:p w:rsidR="00404D45" w:rsidRPr="00404D45" w:rsidRDefault="00404D45" w:rsidP="00404D45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</w:t>
      </w:r>
      <w:proofErr w:type="spellEnd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Facts</w:t>
      </w:r>
      <w:proofErr w:type="spellEnd"/>
    </w:p>
    <w:p w:rsidR="00404D45" w:rsidRPr="00404D45" w:rsidRDefault="00404D45" w:rsidP="00404D45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Рост предложения СПГ: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+7% в 2026 году (быстрейший темп за 7 лет).</w:t>
      </w:r>
    </w:p>
    <w:p w:rsidR="00404D45" w:rsidRPr="00404D45" w:rsidRDefault="00404D45" w:rsidP="00404D45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Спрос: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Ожидаемый рост мирового спроса на газ — </w:t>
      </w: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около 2%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(после менее 1% в 2025 г.).</w:t>
      </w:r>
    </w:p>
    <w:p w:rsidR="00404D45" w:rsidRPr="00404D45" w:rsidRDefault="00404D45" w:rsidP="00404D45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Лидеры роста: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США, Канада и Мексика обеспечат основную долю нового экспорта.</w:t>
      </w:r>
    </w:p>
    <w:p w:rsidR="00404D45" w:rsidRPr="00404D45" w:rsidRDefault="00404D45" w:rsidP="00404D45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Цены: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Прогноз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Henry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Hub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— </w:t>
      </w: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$3.50–3.80 за млн БТЕ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; TTF — около </w:t>
      </w: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€30/</w:t>
      </w:r>
      <w:proofErr w:type="spellStart"/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МВтч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:rsidR="00404D45" w:rsidRPr="00404D45" w:rsidRDefault="00404D45" w:rsidP="00404D45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Trends</w:t>
      </w:r>
      <w:proofErr w:type="spellEnd"/>
    </w:p>
    <w:p w:rsidR="00404D45" w:rsidRPr="00404D45" w:rsidRDefault="00404D45" w:rsidP="00404D45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«Мега-волна» СПГ: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Запуск проектов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Plaquemines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(фаза 2),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Corpus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Christi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(стадия 3) и LNG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Canada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создает избыток предложения.</w:t>
      </w:r>
    </w:p>
    <w:p w:rsidR="00404D45" w:rsidRPr="00404D45" w:rsidRDefault="00404D45" w:rsidP="00404D45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Гибкость поставок: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Рекордное количество контрактов (130 млрд куб. м в 2025 г.) подписано без жесткой привязки к пункту назначения.</w:t>
      </w:r>
    </w:p>
    <w:p w:rsidR="00404D45" w:rsidRPr="00404D45" w:rsidRDefault="00404D45" w:rsidP="00404D45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Газ и ИИ: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Рост энергопотребления дата-центрами становится новым фактором поддержки спроса на газ в США и Европе.</w:t>
      </w:r>
    </w:p>
    <w:p w:rsidR="00404D45" w:rsidRPr="00404D45" w:rsidRDefault="00404D45" w:rsidP="00404D45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Risks</w:t>
      </w:r>
      <w:proofErr w:type="spellEnd"/>
    </w:p>
    <w:p w:rsidR="00404D45" w:rsidRPr="00404D45" w:rsidRDefault="00404D45" w:rsidP="00404D45">
      <w:pPr>
        <w:numPr>
          <w:ilvl w:val="0"/>
          <w:numId w:val="6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Задержки в Катаре: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Возможные сдвиги в запуске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North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Field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East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из-за региональных конфликтов.</w:t>
      </w:r>
    </w:p>
    <w:p w:rsidR="00404D45" w:rsidRPr="00404D45" w:rsidRDefault="00404D45" w:rsidP="00404D45">
      <w:pPr>
        <w:numPr>
          <w:ilvl w:val="0"/>
          <w:numId w:val="6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Ценовая война: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Риск демпинга со стороны традиционных производителей для сохранения доли рынка.</w:t>
      </w:r>
    </w:p>
    <w:p w:rsidR="00404D45" w:rsidRPr="00404D45" w:rsidRDefault="00404D45" w:rsidP="00404D45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Opportunities</w:t>
      </w:r>
      <w:proofErr w:type="spellEnd"/>
    </w:p>
    <w:p w:rsidR="00404D45" w:rsidRPr="00404D45" w:rsidRDefault="00404D45" w:rsidP="00404D45">
      <w:pPr>
        <w:numPr>
          <w:ilvl w:val="0"/>
          <w:numId w:val="7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Арбитражные сделки: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Высокая связность рынков открывает возможности для трейдеров на разнице цен между </w:t>
      </w:r>
      <w:proofErr w:type="spellStart"/>
      <w:r w:rsidRPr="00404D45">
        <w:rPr>
          <w:rFonts w:ascii="Times New Roman" w:hAnsi="Times New Roman" w:cs="Times New Roman"/>
          <w:color w:val="1F1F1F"/>
          <w:sz w:val="28"/>
          <w:szCs w:val="28"/>
        </w:rPr>
        <w:t>хабами</w:t>
      </w:r>
      <w:proofErr w:type="spellEnd"/>
      <w:r w:rsidRPr="00404D45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:rsidR="00404D45" w:rsidRPr="00404D45" w:rsidRDefault="00404D45" w:rsidP="00404D45">
      <w:pPr>
        <w:numPr>
          <w:ilvl w:val="0"/>
          <w:numId w:val="7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Переход с угля на газ: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 Низкие цены на газ в 2026 году делают его более конкурентоспособным по сравнению с углем в энергетике Китая и Индии.</w:t>
      </w:r>
    </w:p>
    <w:p w:rsidR="00404D45" w:rsidRPr="00404D45" w:rsidRDefault="00404D45" w:rsidP="00404D45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404D4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Conclusion</w:t>
      </w:r>
      <w:proofErr w:type="spellEnd"/>
    </w:p>
    <w:p w:rsidR="00404D45" w:rsidRPr="00404D45" w:rsidRDefault="00404D45" w:rsidP="00404D45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404D45">
        <w:rPr>
          <w:rFonts w:ascii="Times New Roman" w:hAnsi="Times New Roman" w:cs="Times New Roman"/>
          <w:color w:val="1F1F1F"/>
          <w:sz w:val="28"/>
          <w:szCs w:val="28"/>
        </w:rPr>
        <w:t xml:space="preserve">2026 год — это год </w:t>
      </w:r>
      <w:r w:rsidRPr="00404D45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перехода к рынку покупателя</w:t>
      </w:r>
      <w:r w:rsidRPr="00404D45">
        <w:rPr>
          <w:rFonts w:ascii="Times New Roman" w:hAnsi="Times New Roman" w:cs="Times New Roman"/>
          <w:color w:val="1F1F1F"/>
          <w:sz w:val="28"/>
          <w:szCs w:val="28"/>
        </w:rPr>
        <w:t>. Стратегическое преимущество получат компании, обладающие гибким портфелем поставок и способные эффективно хеджировать геополитические риски. Несмотря на фундаментальный избыток ресурса, рынок останется «нервным» и крайне чувствительным к новостям из зон конфликтов.</w:t>
      </w:r>
    </w:p>
    <w:p w:rsidR="00404D45" w:rsidRPr="00404D45" w:rsidRDefault="00404D45" w:rsidP="00404D45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A70BBC" w:rsidRPr="00404D45" w:rsidRDefault="00A70BBC" w:rsidP="00404D45">
      <w:pPr>
        <w:jc w:val="both"/>
        <w:rPr>
          <w:sz w:val="28"/>
          <w:szCs w:val="28"/>
        </w:rPr>
      </w:pPr>
    </w:p>
    <w:sectPr w:rsidR="00A70BBC" w:rsidRPr="00404D45" w:rsidSect="00A70BB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30411"/>
    <w:multiLevelType w:val="multilevel"/>
    <w:tmpl w:val="406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5C32A2"/>
    <w:multiLevelType w:val="multilevel"/>
    <w:tmpl w:val="4C74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9B6892"/>
    <w:multiLevelType w:val="multilevel"/>
    <w:tmpl w:val="E66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2244C5"/>
    <w:multiLevelType w:val="multilevel"/>
    <w:tmpl w:val="ED6E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CE0B82"/>
    <w:multiLevelType w:val="multilevel"/>
    <w:tmpl w:val="5ED2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6F04BC"/>
    <w:multiLevelType w:val="multilevel"/>
    <w:tmpl w:val="89A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3D4E20"/>
    <w:multiLevelType w:val="multilevel"/>
    <w:tmpl w:val="CD7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D45"/>
    <w:rsid w:val="00404D45"/>
    <w:rsid w:val="00A7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190629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04D45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04D45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4D45"/>
    <w:rPr>
      <w:rFonts w:ascii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04D45"/>
    <w:rPr>
      <w:rFonts w:ascii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04D4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04D45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04D45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4D45"/>
    <w:rPr>
      <w:rFonts w:ascii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04D45"/>
    <w:rPr>
      <w:rFonts w:ascii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04D4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68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641</Words>
  <Characters>3659</Characters>
  <Application>Microsoft Macintosh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Пустовойт</dc:creator>
  <cp:keywords/>
  <dc:description/>
  <cp:lastModifiedBy>Евгений Пустовойт</cp:lastModifiedBy>
  <cp:revision>1</cp:revision>
  <dcterms:created xsi:type="dcterms:W3CDTF">2026-03-25T11:40:00Z</dcterms:created>
  <dcterms:modified xsi:type="dcterms:W3CDTF">2026-03-25T11:42:00Z</dcterms:modified>
</cp:coreProperties>
</file>