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315" w:rsidRPr="004C1315" w:rsidRDefault="004C1315" w:rsidP="004C1315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IEEFA «</w:t>
      </w:r>
      <w:bookmarkStart w:id="0" w:name="_GoBack"/>
      <w:proofErr w:type="spellStart"/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Global</w:t>
      </w:r>
      <w:proofErr w:type="spellEnd"/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LNG </w:t>
      </w:r>
      <w:proofErr w:type="spellStart"/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Outlook</w:t>
      </w:r>
      <w:proofErr w:type="spellEnd"/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2023–2027</w:t>
      </w:r>
      <w:bookmarkEnd w:id="0"/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»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:rsidR="004C1315" w:rsidRPr="004C1315" w:rsidRDefault="004C1315" w:rsidP="004C1315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5" style="width:0;height:1.5pt" o:hralign="center" o:hrstd="t" o:hrnoshade="t" o:hr="t" fillcolor="#1f1f1f" stroked="f"/>
        </w:pict>
      </w:r>
    </w:p>
    <w:p w:rsidR="004C1315" w:rsidRPr="004C1315" w:rsidRDefault="004C1315" w:rsidP="004C1315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Executive</w:t>
      </w:r>
      <w:proofErr w:type="spellEnd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Summary</w:t>
      </w:r>
      <w:proofErr w:type="spellEnd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</w:p>
    <w:p w:rsidR="004C1315" w:rsidRPr="004C1315" w:rsidRDefault="004C1315" w:rsidP="004C1315">
      <w:pPr>
        <w:ind w:firstLine="708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Мировой рынок СПГ вошел в фазу структурной неопределенности. После ценовых шоков, вызванных геополитическими факторами, наметился фундаментальный разрыв между агрессивным расширением мощностей по сжижению и стагнацией долгосрочного спроса на ключевых рынках. В то время как предложение готовится к рекордному росту после 2025 года, «зрелые» импортеры (Европа, Япония, Южная Корея) ускоряют 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энергопереход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, а «развивающиеся» рынки Азии демонстрируют высокую чувствительность к ценам, отдавая предпочтение углю или ВИЭ. Мы прогнозируем переход от дефицита к потенциальному </w:t>
      </w: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структурному профициту к 2026–2027 годам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>, что несет значительные риски для окупаемости новых мега-проектов.</w:t>
      </w:r>
    </w:p>
    <w:p w:rsidR="004C1315" w:rsidRPr="004C1315" w:rsidRDefault="004C1315" w:rsidP="004C1315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6" style="width:0;height:1.5pt" o:hralign="center" o:hrstd="t" o:hrnoshade="t" o:hr="t" fillcolor="#1f1f1f" stroked="f"/>
        </w:pict>
      </w:r>
    </w:p>
    <w:p w:rsidR="004C1315" w:rsidRPr="004C1315" w:rsidRDefault="004C1315" w:rsidP="004C1315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Strategic</w:t>
      </w:r>
      <w:proofErr w:type="spellEnd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Insights</w:t>
      </w:r>
      <w:proofErr w:type="spellEnd"/>
    </w:p>
    <w:p w:rsidR="004C1315" w:rsidRPr="004C1315" w:rsidRDefault="004C1315" w:rsidP="004C1315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Эрозия спроса в развитой Азии: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Япония и Южная Корея — традиционные столпы рынка СПГ — пересматривают балансы в пользу атомной энергетики и возобновляемых источников. Спрос в этом регионе прошел свой пик.</w:t>
      </w:r>
    </w:p>
    <w:p w:rsidR="004C1315" w:rsidRPr="004C1315" w:rsidRDefault="004C1315" w:rsidP="004C1315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Европа как «временный» якорь: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Резкий рост импорта СПГ в ЕС является вынужденной мерой безопасности, а не долгосрочным трендом. Политика 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REPowerEU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и цели по декарбонизации к 2030 году делают долгосрочные (20+ лет) контракты на поставку газа стратегически рискованными.</w:t>
      </w:r>
    </w:p>
    <w:p w:rsidR="004C1315" w:rsidRPr="004C1315" w:rsidRDefault="004C1315" w:rsidP="004C1315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Китайская неопределенность: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Китай восстановил позиции крупнейшего импортера, но его стратегия опирается на диверсификацию. Рост собственной добычи и трубопроводных поставок из России снижает зависимость Пекина от 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волатильного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спотового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рынка СПГ.</w:t>
      </w:r>
    </w:p>
    <w:p w:rsidR="004C1315" w:rsidRPr="004C1315" w:rsidRDefault="004C1315" w:rsidP="004C1315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Разрушение имиджа газа как «топлива-моста»: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В странах Южной и Юго-Восточной Азии (Пакистан, Бангладеш, Вьетнам) СПГ перестал восприниматься как дешевая альтернатива углю. Репутация газа как «дорогого и ненадежного» ресурса замедляет развитие инфраструктуры в этом регионе.</w:t>
      </w:r>
    </w:p>
    <w:p w:rsidR="004C1315" w:rsidRPr="004C1315" w:rsidRDefault="004C1315" w:rsidP="004C1315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7" style="width:0;height:1.5pt" o:hralign="center" o:hrstd="t" o:hrnoshade="t" o:hr="t" fillcolor="#1f1f1f" stroked="f"/>
        </w:pict>
      </w:r>
    </w:p>
    <w:p w:rsidR="004C1315" w:rsidRPr="004C1315" w:rsidRDefault="004C1315" w:rsidP="004C1315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Market</w:t>
      </w:r>
      <w:proofErr w:type="spellEnd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Implications</w:t>
      </w:r>
      <w:proofErr w:type="spellEnd"/>
    </w:p>
    <w:p w:rsidR="004C1315" w:rsidRPr="004C1315" w:rsidRDefault="004C1315" w:rsidP="004C1315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Риск «избыточных мощностей»: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Ожидаемый ввод более 100 млн тонн новых мощностей к 2027 году (преимущественно в США и Катаре) может привести к обвалу цен в конце прогнозного периода.</w:t>
      </w:r>
    </w:p>
    <w:p w:rsidR="004C1315" w:rsidRPr="004C1315" w:rsidRDefault="004C1315" w:rsidP="004C1315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Трансформация контрактных моделей: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Покупатели все чаще избегают жестких условий "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take-or-pay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>" и длительных сроков, требуя гибкости по пунктам назначения (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destination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flexibility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>) и гибридного ценообразования.</w:t>
      </w:r>
    </w:p>
    <w:p w:rsidR="004C1315" w:rsidRDefault="004C1315" w:rsidP="004C1315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Смена ролей: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Трейдеры и портфельные игроки (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Shell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TotalEnergies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>, BP) становятся ключевыми посредниками, принимая на себя риски сбыта, которые ранее несли конечные потребители.</w:t>
      </w:r>
    </w:p>
    <w:p w:rsidR="004C1315" w:rsidRPr="004C1315" w:rsidRDefault="004C1315" w:rsidP="004C1315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:rsidR="004C1315" w:rsidRPr="004C1315" w:rsidRDefault="004C1315" w:rsidP="004C1315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8" style="width:0;height:1.5pt" o:hralign="center" o:hrstd="t" o:hrnoshade="t" o:hr="t" fillcolor="#1f1f1f" stroked="f"/>
        </w:pict>
      </w:r>
    </w:p>
    <w:p w:rsidR="004C1315" w:rsidRPr="004C1315" w:rsidRDefault="004C1315" w:rsidP="004C1315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lastRenderedPageBreak/>
        <w:t>Risk</w:t>
      </w:r>
      <w:proofErr w:type="spellEnd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Assessment</w:t>
      </w:r>
      <w:proofErr w:type="spellEnd"/>
    </w:p>
    <w:p w:rsidR="004C1315" w:rsidRPr="004C1315" w:rsidRDefault="004C1315" w:rsidP="004C1315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Риск «бесхозных активов» (</w:t>
      </w:r>
      <w:proofErr w:type="spellStart"/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Stranded</w:t>
      </w:r>
      <w:proofErr w:type="spellEnd"/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Assets</w:t>
      </w:r>
      <w:proofErr w:type="spellEnd"/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Новые терминалы 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регазификации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в Европе и проекты сжижения в США могут не окупиться, если темпы снижения потребления газа ускорятся.</w:t>
      </w:r>
    </w:p>
    <w:p w:rsidR="004C1315" w:rsidRPr="004C1315" w:rsidRDefault="004C1315" w:rsidP="004C1315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Валютные и долговые риски: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Для развивающихся экономик Азии закупки СПГ в долларах создают критическую нагрузку на платежный баланс, что ведет к дефициту электроэнергии и социальной нестабильности.</w:t>
      </w:r>
    </w:p>
    <w:p w:rsidR="004C1315" w:rsidRPr="004C1315" w:rsidRDefault="004C1315" w:rsidP="004C1315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Скрытый риск метановых выбросов: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Ужесточение экологического регулирования в ЕС может привести к введению «углеродных пошлин» на импортный СПГ, что снизит конкурентоспособность американских проектов с высоким углеродным следом.</w:t>
      </w:r>
    </w:p>
    <w:p w:rsidR="004C1315" w:rsidRPr="004C1315" w:rsidRDefault="004C1315" w:rsidP="004C1315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9" style="width:0;height:1.5pt" o:hralign="center" o:hrstd="t" o:hrnoshade="t" o:hr="t" fillcolor="#1f1f1f" stroked="f"/>
        </w:pict>
      </w:r>
    </w:p>
    <w:p w:rsidR="004C1315" w:rsidRPr="004C1315" w:rsidRDefault="004C1315" w:rsidP="004C1315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Key</w:t>
      </w:r>
      <w:proofErr w:type="spellEnd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Facts</w:t>
      </w:r>
      <w:proofErr w:type="spellEnd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&amp; </w:t>
      </w: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Outlook</w:t>
      </w:r>
      <w:proofErr w:type="spellEnd"/>
    </w:p>
    <w:p w:rsidR="004C1315" w:rsidRPr="004C1315" w:rsidRDefault="004C1315" w:rsidP="004C1315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Key</w:t>
      </w:r>
      <w:proofErr w:type="spellEnd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Facts</w:t>
      </w:r>
      <w:proofErr w:type="spellEnd"/>
    </w:p>
    <w:p w:rsidR="004C1315" w:rsidRPr="004C1315" w:rsidRDefault="004C1315" w:rsidP="004C1315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Прогноз предложения: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Резкий рост объемов сжижения ожидается в 2025–2027 гг.</w:t>
      </w:r>
    </w:p>
    <w:p w:rsidR="004C1315" w:rsidRPr="004C1315" w:rsidRDefault="004C1315" w:rsidP="004C1315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Европа: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Потребление газа в ЕС упало на 13% в 2022 году; тренд на снижение сохраняется.</w:t>
      </w:r>
    </w:p>
    <w:p w:rsidR="004C1315" w:rsidRPr="004C1315" w:rsidRDefault="004C1315" w:rsidP="004C1315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Азия: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Высокие цены (выше $20 за млн БТЕ) делают газ недоступным для промышленного сектора Индии и Юго-Восточной Азии.</w:t>
      </w:r>
    </w:p>
    <w:p w:rsidR="004C1315" w:rsidRPr="004C1315" w:rsidRDefault="004C1315" w:rsidP="004C1315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Trends</w:t>
      </w:r>
      <w:proofErr w:type="spellEnd"/>
    </w:p>
    <w:p w:rsidR="004C1315" w:rsidRPr="004C1315" w:rsidRDefault="004C1315" w:rsidP="004C1315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Глобализация цен: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Рынок окончательно стал единым; события в Австралии или Норвегии мгновенно отражаются на котировках во всем мире.</w:t>
      </w:r>
    </w:p>
    <w:p w:rsidR="004C1315" w:rsidRPr="004C1315" w:rsidRDefault="004C1315" w:rsidP="004C1315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Агрессивный маркетинг США: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Соединенные Штаты становятся доминирующим экспортером, используя гибкость своих контрактов как главное рыночное преимущество.</w:t>
      </w:r>
    </w:p>
    <w:p w:rsidR="004C1315" w:rsidRPr="004C1315" w:rsidRDefault="004C1315" w:rsidP="004C1315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Risks</w:t>
      </w:r>
      <w:proofErr w:type="spellEnd"/>
    </w:p>
    <w:p w:rsidR="004C1315" w:rsidRPr="004C1315" w:rsidRDefault="004C1315" w:rsidP="004C1315">
      <w:pPr>
        <w:numPr>
          <w:ilvl w:val="0"/>
          <w:numId w:val="6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Политическое давление: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Возможное вмешательство правительств в экспортную политику (например, ограничения в Австралии для внутреннего рынка).</w:t>
      </w:r>
    </w:p>
    <w:p w:rsidR="004C1315" w:rsidRPr="004C1315" w:rsidRDefault="004C1315" w:rsidP="004C1315">
      <w:pPr>
        <w:numPr>
          <w:ilvl w:val="0"/>
          <w:numId w:val="6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Конкуренция со стороны LDES: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Развитие технологий долгосрочного хранения энергии (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Long-duration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energy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storage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>) подрывает роль газа как балансирующей мощности для ВИЭ.</w:t>
      </w:r>
    </w:p>
    <w:p w:rsidR="004C1315" w:rsidRPr="004C1315" w:rsidRDefault="004C1315" w:rsidP="004C1315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Opportunities</w:t>
      </w:r>
      <w:proofErr w:type="spellEnd"/>
    </w:p>
    <w:p w:rsidR="004C1315" w:rsidRPr="004C1315" w:rsidRDefault="004C1315" w:rsidP="004C1315">
      <w:pPr>
        <w:numPr>
          <w:ilvl w:val="0"/>
          <w:numId w:val="7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Малотоннажный СПГ (</w:t>
      </w:r>
      <w:proofErr w:type="spellStart"/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Small-scale</w:t>
      </w:r>
      <w:proofErr w:type="spellEnd"/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LNG):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Бункеровка судов и газификация удаленных регионов остаются нишами с потенциалом роста.</w:t>
      </w:r>
    </w:p>
    <w:p w:rsidR="004C1315" w:rsidRPr="004C1315" w:rsidRDefault="004C1315" w:rsidP="004C1315">
      <w:pPr>
        <w:numPr>
          <w:ilvl w:val="0"/>
          <w:numId w:val="7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Оптимизация портфеля: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Использование избыточных мощностей по 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регазификации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в Европе для создания региональных газовых </w:t>
      </w:r>
      <w:proofErr w:type="spellStart"/>
      <w:r w:rsidRPr="004C1315">
        <w:rPr>
          <w:rFonts w:ascii="Times New Roman" w:hAnsi="Times New Roman" w:cs="Times New Roman"/>
          <w:color w:val="1F1F1F"/>
          <w:sz w:val="28"/>
          <w:szCs w:val="28"/>
        </w:rPr>
        <w:t>хабов</w:t>
      </w:r>
      <w:proofErr w:type="spellEnd"/>
      <w:r w:rsidRPr="004C1315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:rsidR="004C1315" w:rsidRPr="004C1315" w:rsidRDefault="004C1315" w:rsidP="004C1315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C131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Conclusion</w:t>
      </w:r>
      <w:proofErr w:type="spellEnd"/>
    </w:p>
    <w:p w:rsidR="00A70BBC" w:rsidRPr="004C1315" w:rsidRDefault="004C1315" w:rsidP="004C1315">
      <w:pPr>
        <w:jc w:val="both"/>
        <w:rPr>
          <w:sz w:val="28"/>
          <w:szCs w:val="28"/>
        </w:rPr>
      </w:pP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Мировая индустрия СПГ находится на перепутье. </w:t>
      </w:r>
      <w:r w:rsidRPr="004C131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Золотой век газа под угрозой.</w:t>
      </w:r>
      <w:r w:rsidRPr="004C1315">
        <w:rPr>
          <w:rFonts w:ascii="Times New Roman" w:hAnsi="Times New Roman" w:cs="Times New Roman"/>
          <w:color w:val="1F1F1F"/>
          <w:sz w:val="28"/>
          <w:szCs w:val="28"/>
        </w:rPr>
        <w:t xml:space="preserve"> Стратегический успех в ближайшие три года будет зависеть не от способности добыть газ, а от способности найти для него стабильный платежеспособный спрос в условиях глобального стремления к чистой энергии. Инвесторам следует проявлять крайнюю осторожность в отношении новых долгосрочных капиталоемких проектов.</w:t>
      </w:r>
      <w:r w:rsidRPr="004C1315">
        <w:rPr>
          <w:sz w:val="28"/>
          <w:szCs w:val="28"/>
        </w:rPr>
        <w:t xml:space="preserve"> </w:t>
      </w:r>
    </w:p>
    <w:sectPr w:rsidR="00A70BBC" w:rsidRPr="004C1315" w:rsidSect="00A70BB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42297"/>
    <w:multiLevelType w:val="multilevel"/>
    <w:tmpl w:val="53BE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A95289"/>
    <w:multiLevelType w:val="multilevel"/>
    <w:tmpl w:val="525A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45DD2"/>
    <w:multiLevelType w:val="multilevel"/>
    <w:tmpl w:val="0218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674C74"/>
    <w:multiLevelType w:val="multilevel"/>
    <w:tmpl w:val="6DF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BA609C"/>
    <w:multiLevelType w:val="multilevel"/>
    <w:tmpl w:val="006A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04383A"/>
    <w:multiLevelType w:val="multilevel"/>
    <w:tmpl w:val="8960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9A640E"/>
    <w:multiLevelType w:val="multilevel"/>
    <w:tmpl w:val="4C48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315"/>
    <w:rsid w:val="004C1315"/>
    <w:rsid w:val="00A7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190629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C1315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C1315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C1315"/>
    <w:rPr>
      <w:rFonts w:ascii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C1315"/>
    <w:rPr>
      <w:rFonts w:ascii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C131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C1315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C1315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C1315"/>
    <w:rPr>
      <w:rFonts w:ascii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C1315"/>
    <w:rPr>
      <w:rFonts w:ascii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C131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45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677</Words>
  <Characters>3860</Characters>
  <Application>Microsoft Macintosh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Пустовойт</dc:creator>
  <cp:keywords/>
  <dc:description/>
  <cp:lastModifiedBy>Евгений Пустовойт</cp:lastModifiedBy>
  <cp:revision>1</cp:revision>
  <dcterms:created xsi:type="dcterms:W3CDTF">2026-03-25T11:43:00Z</dcterms:created>
  <dcterms:modified xsi:type="dcterms:W3CDTF">2026-03-25T11:44:00Z</dcterms:modified>
</cp:coreProperties>
</file>