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AA" w:rsidRDefault="00DB2CAA" w:rsidP="00DB2CAA">
      <w:pPr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LNG </w:t>
      </w:r>
      <w:proofErr w:type="spellStart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Review</w:t>
      </w:r>
      <w:proofErr w:type="spellEnd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January</w:t>
      </w:r>
      <w:proofErr w:type="spellEnd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2026</w:t>
      </w:r>
    </w:p>
    <w:p w:rsidR="00DB2CAA" w:rsidRDefault="00DB2CAA" w:rsidP="00DB2CAA">
      <w:pPr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</w:p>
    <w:p w:rsid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DB2CAA" w:rsidRP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DB2CAA" w:rsidRP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Executive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Summary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</w:p>
    <w:p w:rsidR="00DB2CAA" w:rsidRPr="00DB2CAA" w:rsidRDefault="00DB2CAA" w:rsidP="00DB2CAA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По состоянию на начало 2026 года мировой рынок СПГ демонстрирует парадоксальную динамику: при общем росте мирового импорта до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420–430 млн тонн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в 2025 году, ключевые исторические драйверы — Япония и Китай — показывают годовое снижение объемов. Рынок переходит к новой архитектуре, где США закрепляют статус крупнейшего экспортера, а Европа (включая Великобританию) формирует устойчивый спрос на уровне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113 млн тонн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>. Основной фокус смещается с простого обеспечения физических поставок на долгосрочную фискальную и регуляторную стабильность (примеры Аргентины и Колумбии), что критически важно для запуска следующего цикла мега-проектов.</w:t>
      </w:r>
    </w:p>
    <w:p w:rsidR="00DB2CAA" w:rsidRP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6" style="width:0;height:1.5pt" o:hralign="center" o:hrstd="t" o:hrnoshade="t" o:hr="t" fillcolor="#1f1f1f" stroked="f"/>
        </w:pict>
      </w:r>
    </w:p>
    <w:p w:rsidR="00DB2CAA" w:rsidRP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Insights</w:t>
      </w:r>
      <w:proofErr w:type="spellEnd"/>
    </w:p>
    <w:p w:rsidR="00DB2CAA" w:rsidRPr="00DB2CAA" w:rsidRDefault="00DB2CAA" w:rsidP="00DB2CAA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Закат доминирования Северо-Восточной Азии: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Совокупный импорт «большой четверки» (Япония, Китай, Южная Корея, Тайвань) снизился на 2,9% в 2025 году. Япония обновила исторический минимум импорта (65 млн тонн), что подтверждает структурный сдвиг в ее энергобалансе.</w:t>
      </w:r>
    </w:p>
    <w:p w:rsidR="00DB2CAA" w:rsidRPr="00DB2CAA" w:rsidRDefault="00DB2CAA" w:rsidP="00DB2CAA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Американская экспансия и «узкие места»: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США достигли лидерства по объемам экспорта (91,4 млн тонн), однако отрасль сталкивается с регуляторными вызовами внутри страны (судебные решения по проекту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Rio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Grande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LNG) и необходимостью модернизации инфраструктуры.</w:t>
      </w:r>
    </w:p>
    <w:p w:rsidR="00DB2CAA" w:rsidRPr="00DB2CAA" w:rsidRDefault="00DB2CAA" w:rsidP="00DB2CAA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Институционализация новых рынков: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Латинская Америка (Аргентина) задает тренд на создание 30-летних стабилизационных режимов (RIGI) для привлечения инвестиций. Это становится «золотым стандартом» для стран, желающих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монетизировать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свои ресурсы в условиях жесткой конкуренции за капитал.</w:t>
      </w:r>
    </w:p>
    <w:p w:rsidR="00DB2CAA" w:rsidRPr="00DB2CAA" w:rsidRDefault="00DB2CAA" w:rsidP="00DB2CAA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Фрагментация спроса: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Рост рынка обеспечивается не за счет расширения традиционных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хабов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, а за счет появления малых и средних проектов (как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Caribe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LNG в Колумбии), ориентированных на локальную энергетическую безопасность.</w:t>
      </w:r>
    </w:p>
    <w:p w:rsidR="00DB2CAA" w:rsidRP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7" style="width:0;height:1.5pt" o:hralign="center" o:hrstd="t" o:hrnoshade="t" o:hr="t" fillcolor="#1f1f1f" stroked="f"/>
        </w:pict>
      </w:r>
    </w:p>
    <w:p w:rsidR="00DB2CAA" w:rsidRP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Implications</w:t>
      </w:r>
      <w:proofErr w:type="spellEnd"/>
    </w:p>
    <w:p w:rsidR="00DB2CAA" w:rsidRPr="00DB2CAA" w:rsidRDefault="00DB2CAA" w:rsidP="00DB2CAA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Перераспределение грузопотоков: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Снижение спроса в Японии и Китае высвобождает объемы для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спотового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рынка, что при отсутствии новых шоков может сдерживать рост цен в 2026 году.</w:t>
      </w:r>
    </w:p>
    <w:p w:rsidR="00DB2CAA" w:rsidRPr="00DB2CAA" w:rsidRDefault="00DB2CAA" w:rsidP="00DB2CAA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Конкуренция за инвестиции: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Проекты в Аргентине и на Ближнем Востоке вступают в прямую конкуренцию с американскими СПГ-заводами, которые обременены экологическими судебными исками.</w:t>
      </w:r>
    </w:p>
    <w:p w:rsidR="00DB2CAA" w:rsidRPr="00DB2CAA" w:rsidRDefault="00DB2CAA" w:rsidP="00DB2CAA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Роль малых игроков: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Участие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нишевых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трейдеров (например,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Six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One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Commodities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) в малых проектах (0,36 млн тонн в год) указывает на 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lastRenderedPageBreak/>
        <w:t>децентрализацию рынка и рост спроса на гибкие, мелкомасштабные поставки.</w:t>
      </w:r>
    </w:p>
    <w:p w:rsidR="00DB2CAA" w:rsidRP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8" style="width:0;height:1.5pt" o:hralign="center" o:hrstd="t" o:hrnoshade="t" o:hr="t" fillcolor="#1f1f1f" stroked="f"/>
        </w:pict>
      </w:r>
    </w:p>
    <w:p w:rsidR="00DB2CAA" w:rsidRP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Assessment</w:t>
      </w:r>
      <w:proofErr w:type="spellEnd"/>
    </w:p>
    <w:p w:rsidR="00DB2CAA" w:rsidRPr="00DB2CAA" w:rsidRDefault="00DB2CAA" w:rsidP="00DB2CAA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Регуляторный и юридический </w:t>
      </w:r>
      <w:proofErr w:type="spellStart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активизм</w:t>
      </w:r>
      <w:proofErr w:type="spellEnd"/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Отмена разрешений на строительство (как в случае с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Rio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Grande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LNG в США) создает опасный прецедент «зависания» многомиллиардных инвестиций на продвинутых стадиях реализации.</w:t>
      </w:r>
    </w:p>
    <w:p w:rsidR="00DB2CAA" w:rsidRPr="00DB2CAA" w:rsidRDefault="00DB2CAA" w:rsidP="00DB2CAA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Геополитика транзита: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Сохраняется риск сбоев в узких местах (Суэцкий канал, Красное море), что вынуждает трейдеров закладывать более длинные и дорогие маршруты в обход Африки.</w:t>
      </w:r>
    </w:p>
    <w:p w:rsidR="00DB2CAA" w:rsidRPr="00DB2CAA" w:rsidRDefault="00DB2CAA" w:rsidP="00DB2CAA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Скрытый риск «затоваривания» в Китае: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Несмотря на рекордные закупки в декабре 2025 года, общий годовой спад импорта в КНР может указывать на успешное замещение газа углем и ВИЭ, что ставит под вопрос прогнозы бесконечного роста китайского спроса.</w:t>
      </w:r>
    </w:p>
    <w:p w:rsidR="00DB2CAA" w:rsidRPr="00DB2CAA" w:rsidRDefault="00DB2CAA" w:rsidP="00DB2CAA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9" style="width:0;height:1.5pt" o:hralign="center" o:hrstd="t" o:hrnoshade="t" o:hr="t" fillcolor="#1f1f1f" stroked="f"/>
        </w:pict>
      </w:r>
    </w:p>
    <w:p w:rsid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</w:p>
    <w:p w:rsidR="00DB2CAA" w:rsidRPr="00DB2CAA" w:rsidRDefault="00DB2CAA" w:rsidP="00DB2CAA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Outlook</w:t>
      </w:r>
      <w:proofErr w:type="spellEnd"/>
    </w:p>
    <w:p w:rsidR="00DB2CAA" w:rsidRPr="00DB2CAA" w:rsidRDefault="00DB2CAA" w:rsidP="00DB2CAA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</w:p>
    <w:p w:rsidR="00DB2CAA" w:rsidRPr="00DB2CAA" w:rsidRDefault="00DB2CAA" w:rsidP="00DB2CAA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Мировой импорт 2025: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420–430 млн тонн (+5-7% к 2024 г.).</w:t>
      </w:r>
    </w:p>
    <w:p w:rsidR="00DB2CAA" w:rsidRPr="00DB2CAA" w:rsidRDefault="00DB2CAA" w:rsidP="00DB2CAA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Япония: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Импорт упал до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64,98 млн тонн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(минимум с 2009 года).</w:t>
      </w:r>
    </w:p>
    <w:p w:rsidR="00DB2CAA" w:rsidRPr="00DB2CAA" w:rsidRDefault="00DB2CAA" w:rsidP="00DB2CAA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США: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Крупнейший экспортер мира —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91,44 млн тонн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DB2CAA" w:rsidRPr="00DB2CAA" w:rsidRDefault="00DB2CAA" w:rsidP="00DB2CAA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Европа (ЕС+UK):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Импорт составил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113 млн тонн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DB2CAA" w:rsidRPr="00DB2CAA" w:rsidRDefault="00DB2CAA" w:rsidP="00DB2CAA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</w:p>
    <w:p w:rsidR="00DB2CAA" w:rsidRPr="00DB2CAA" w:rsidRDefault="00DB2CAA" w:rsidP="00DB2CAA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Региональная стабилизация: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Аргентина внедряет 30-летние налоговые каникулы для СПГ-проектов.</w:t>
      </w:r>
    </w:p>
    <w:p w:rsidR="00DB2CAA" w:rsidRPr="00DB2CAA" w:rsidRDefault="00DB2CAA" w:rsidP="00DB2CAA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Рост значимости новых поставщиков: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Ожидание первых отгрузок с канадских и новых американских площадок в течение 2026 года.</w:t>
      </w:r>
    </w:p>
    <w:p w:rsidR="00DB2CAA" w:rsidRPr="00DB2CAA" w:rsidRDefault="00DB2CAA" w:rsidP="00DB2CAA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Декарбонизация через газ: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В Колумбии и других странах Латинской Америки газ активно продвигается как инструмент замещения более грязного жидкого топлива.</w:t>
      </w:r>
    </w:p>
    <w:p w:rsidR="00DB2CAA" w:rsidRPr="00DB2CAA" w:rsidRDefault="00DB2CAA" w:rsidP="00DB2CAA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Risks</w:t>
      </w:r>
      <w:proofErr w:type="spellEnd"/>
    </w:p>
    <w:p w:rsidR="00DB2CAA" w:rsidRPr="00DB2CAA" w:rsidRDefault="00DB2CAA" w:rsidP="00DB2CAA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Судебные запреты: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Задержки по экологическим основаниям в США.</w:t>
      </w:r>
    </w:p>
    <w:p w:rsidR="00DB2CAA" w:rsidRPr="00DB2CAA" w:rsidRDefault="00DB2CAA" w:rsidP="00DB2CAA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Операционная безопасность: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Риски для персонала и активов в зонах конфликтов на Ближнем Востоке.</w:t>
      </w:r>
    </w:p>
    <w:p w:rsidR="00DB2CAA" w:rsidRPr="00DB2CAA" w:rsidRDefault="00DB2CAA" w:rsidP="00DB2CAA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</w:p>
    <w:p w:rsidR="00DB2CAA" w:rsidRPr="00DB2CAA" w:rsidRDefault="00DB2CAA" w:rsidP="00DB2CAA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M&amp;A в секторе: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Благоприятное время для поглощения малых технологических компаний, обеспечивающих логистику и </w:t>
      </w:r>
      <w:proofErr w:type="spellStart"/>
      <w:r w:rsidRPr="00DB2CAA">
        <w:rPr>
          <w:rFonts w:ascii="Times New Roman" w:hAnsi="Times New Roman" w:cs="Times New Roman"/>
          <w:color w:val="1F1F1F"/>
          <w:sz w:val="28"/>
          <w:szCs w:val="28"/>
        </w:rPr>
        <w:t>регазификацию</w:t>
      </w:r>
      <w:proofErr w:type="spellEnd"/>
      <w:r w:rsidRPr="00DB2CAA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DB2CAA" w:rsidRPr="00DB2CAA" w:rsidRDefault="00DB2CAA" w:rsidP="00DB2CAA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Долгосрочные EPC-контракты: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 Стабильные режимы в новых странах-экспортерах открывают окно возможностей для сервисных и инжиниринговых компаний.</w:t>
      </w:r>
    </w:p>
    <w:p w:rsidR="00DB2CAA" w:rsidRPr="00DB2CAA" w:rsidRDefault="00DB2CAA" w:rsidP="00DB2CAA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DB2CA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Conclusion</w:t>
      </w:r>
      <w:proofErr w:type="spellEnd"/>
    </w:p>
    <w:p w:rsidR="00DB2CAA" w:rsidRPr="00DB2CAA" w:rsidRDefault="00DB2CAA" w:rsidP="00DB2CAA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bookmarkStart w:id="0" w:name="_GoBack"/>
      <w:bookmarkEnd w:id="0"/>
      <w:r w:rsidRPr="00DB2CAA">
        <w:rPr>
          <w:rFonts w:ascii="Times New Roman" w:hAnsi="Times New Roman" w:cs="Times New Roman"/>
          <w:color w:val="1F1F1F"/>
          <w:sz w:val="28"/>
          <w:szCs w:val="28"/>
        </w:rPr>
        <w:t xml:space="preserve">2026 год станет годом </w:t>
      </w:r>
      <w:r w:rsidRPr="00DB2CAA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регуляторной борьбы</w:t>
      </w:r>
      <w:r w:rsidRPr="00DB2CAA">
        <w:rPr>
          <w:rFonts w:ascii="Times New Roman" w:hAnsi="Times New Roman" w:cs="Times New Roman"/>
          <w:color w:val="1F1F1F"/>
          <w:sz w:val="28"/>
          <w:szCs w:val="28"/>
        </w:rPr>
        <w:t>. Пока физический рынок находит новый баланс после ухода России из Европы, основная битва развернется в залах судов США и законодательных собраниях новых стран-производителей. Успех в отрасли будет определяться не только доступом к ресурсу, но и способностью обеспечить юридическую неуязвимость долгосрочных проектов.</w:t>
      </w:r>
    </w:p>
    <w:p w:rsidR="00A70BBC" w:rsidRPr="00DB2CAA" w:rsidRDefault="00A70BBC" w:rsidP="00DB2CAA">
      <w:pPr>
        <w:jc w:val="both"/>
        <w:rPr>
          <w:sz w:val="28"/>
          <w:szCs w:val="28"/>
        </w:rPr>
      </w:pPr>
    </w:p>
    <w:sectPr w:rsidR="00A70BBC" w:rsidRPr="00DB2CAA" w:rsidSect="00A70BB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2461"/>
    <w:multiLevelType w:val="multilevel"/>
    <w:tmpl w:val="8C1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41186"/>
    <w:multiLevelType w:val="multilevel"/>
    <w:tmpl w:val="F46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E62AA7"/>
    <w:multiLevelType w:val="multilevel"/>
    <w:tmpl w:val="FE7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AB3604"/>
    <w:multiLevelType w:val="multilevel"/>
    <w:tmpl w:val="C7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55627B"/>
    <w:multiLevelType w:val="multilevel"/>
    <w:tmpl w:val="9AE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A73EB"/>
    <w:multiLevelType w:val="multilevel"/>
    <w:tmpl w:val="8C58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E7168F"/>
    <w:multiLevelType w:val="multilevel"/>
    <w:tmpl w:val="31A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CAA"/>
    <w:rsid w:val="00A70BBC"/>
    <w:rsid w:val="00DB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9062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2CAA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2CAA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2CAA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2CAA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B2CA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2CAA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2CAA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2CAA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2CAA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B2CA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2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3745</Characters>
  <Application>Microsoft Macintosh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Пустовойт</dc:creator>
  <cp:keywords/>
  <dc:description/>
  <cp:lastModifiedBy>Евгений Пустовойт</cp:lastModifiedBy>
  <cp:revision>1</cp:revision>
  <dcterms:created xsi:type="dcterms:W3CDTF">2026-03-25T11:45:00Z</dcterms:created>
  <dcterms:modified xsi:type="dcterms:W3CDTF">2026-03-25T11:46:00Z</dcterms:modified>
</cp:coreProperties>
</file>