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5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LNG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>を巡る地経学的な攻防</w:t>
      </w:r>
      <w:proofErr w:type="spellEnd"/>
    </w:p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:rsidR="00FE18A9" w:rsidRPr="00FE18A9" w:rsidRDefault="00FE18A9" w:rsidP="00FE18A9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5" style="width:0;height:1.5pt" o:hralign="center" o:hrstd="t" o:hrnoshade="t" o:hr="t" fillcolor="#1f1f1f" stroked="f"/>
        </w:pict>
      </w:r>
    </w:p>
    <w:p w:rsidR="00FE18A9" w:rsidRPr="00FE18A9" w:rsidRDefault="00FE18A9" w:rsidP="00FE18A9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Executive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Summary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(для топ-менеджмента)</w:t>
      </w:r>
    </w:p>
    <w:p w:rsidR="00FE18A9" w:rsidRDefault="00FE18A9" w:rsidP="00FE18A9">
      <w:pPr>
        <w:ind w:firstLine="708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Мировой рынок СПГ вступил в фазу «геоэкономического противостояния», где газ перестал быть просто товаром и стал инструментом национальной безопасности. Ключевым драйвером спроса, помимо декарбонизации, стал взрывной рост энергопотребления дата-центров (ИИ). Для нашей компании это означает </w:t>
      </w: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стабильно высокий спрос на танкерный флот нового поколения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(LNG-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carrier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>) и плавучие решения (FSRU) в ближайшие 10–15 лет. Однако рынок фрагментируется: ЕС вводит полный запрет на российский СПГ с 2027 года, а Катар и США борются за доминирование, навязывая долгосрочные контракты до 2050+ года.</w:t>
      </w:r>
    </w:p>
    <w:p w:rsidR="00FE18A9" w:rsidRPr="00FE18A9" w:rsidRDefault="00FE18A9" w:rsidP="00FE18A9">
      <w:pPr>
        <w:ind w:firstLine="708"/>
        <w:jc w:val="both"/>
        <w:rPr>
          <w:rFonts w:ascii="Times New Roman" w:hAnsi="Times New Roman" w:cs="Times New Roman"/>
          <w:color w:val="1F1F1F"/>
          <w:sz w:val="28"/>
          <w:szCs w:val="28"/>
        </w:rPr>
      </w:pPr>
    </w:p>
    <w:p w:rsidR="00FE18A9" w:rsidRPr="00FE18A9" w:rsidRDefault="00FE18A9" w:rsidP="00FE18A9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6" style="width:0;height:1.5pt" o:hralign="center" o:hrstd="t" o:hrnoshade="t" o:hr="t" fillcolor="#1f1f1f" stroked="f"/>
        </w:pict>
      </w:r>
    </w:p>
    <w:p w:rsidR="00FE18A9" w:rsidRPr="00FE18A9" w:rsidRDefault="00FE18A9" w:rsidP="00FE18A9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Strategic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Insights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(Стратегические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инсайты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)</w:t>
      </w:r>
    </w:p>
    <w:p w:rsidR="00FE18A9" w:rsidRPr="00FE18A9" w:rsidRDefault="00FE18A9" w:rsidP="00FE18A9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Газ как топливо для ИИ: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Спрос на электроэнергию для дата-центров и полупроводниковой промышленности (особенно в Азии и США) реанимировал роль газа. Прогнозы о «пике спроса» к 2030 году признаны неактуальными; газ рассматривается как долгосрочный партнер ВИЭ.</w:t>
      </w:r>
    </w:p>
    <w:p w:rsidR="00FE18A9" w:rsidRPr="00FE18A9" w:rsidRDefault="00FE18A9" w:rsidP="00FE18A9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Катарская экспансия: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Проекты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North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Field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East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(NFE) и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South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(NFS) создают колоссальный объем предложения. Катар агрессивно занимает долю рынка, предлагая контракты на 27+ лет, что требует соответствующего расширения мирового флота для обслуживания этих объемов.</w:t>
      </w:r>
    </w:p>
    <w:p w:rsidR="00FE18A9" w:rsidRPr="00FE18A9" w:rsidRDefault="00FE18A9" w:rsidP="00FE18A9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Принудительная переориентация ЕС: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Полный запрет ЕС на импорт российского СПГ с января 2027 года (19-й пакет санкций) создаст структурный дефицит в Европе, который будет закрываться морскими поставками из США, Катара и ОАЭ.</w:t>
      </w:r>
    </w:p>
    <w:p w:rsidR="00FE18A9" w:rsidRPr="00FE18A9" w:rsidRDefault="00FE18A9" w:rsidP="00FE18A9">
      <w:pPr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«Двухскоростной» рынок: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Формируется разрыв между гибким, краткосрочным рынком США и жестким, долгосрочным рынком Катара. Судостроению необходимо адаптироваться к обоим типам фрахтования.</w:t>
      </w:r>
    </w:p>
    <w:p w:rsidR="00FE18A9" w:rsidRPr="00FE18A9" w:rsidRDefault="00FE18A9" w:rsidP="00FE18A9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7" style="width:0;height:1.5pt" o:hralign="center" o:hrstd="t" o:hrnoshade="t" o:hr="t" fillcolor="#1f1f1f" stroked="f"/>
        </w:pict>
      </w:r>
    </w:p>
    <w:p w:rsidR="00FE18A9" w:rsidRPr="00FE18A9" w:rsidRDefault="00FE18A9" w:rsidP="00FE18A9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Market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Implications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(Последствия для судостроительного рынка)</w:t>
      </w:r>
    </w:p>
    <w:p w:rsidR="00FE18A9" w:rsidRPr="00FE18A9" w:rsidRDefault="00FE18A9" w:rsidP="00FE18A9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Дефицит мощностей верфей: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Учитывая планы Катара и ADNOC (проект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Ruwais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), а также необходимость замены флота, вывозящего российский газ, спрос на строительство новых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газовозов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будет превышать предложение свободных слотов на верфях до 2028-2030 гг.</w:t>
      </w:r>
    </w:p>
    <w:p w:rsidR="00FE18A9" w:rsidRPr="00FE18A9" w:rsidRDefault="00FE18A9" w:rsidP="00FE18A9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Смена технологических приоритетов: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Растет запрос на суда с минимальным метановым слипом (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methane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slip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>) и возможностью последующей конверсии под аммиак/водород, так как ЕС ужесточает экологические нормы для заходящих в порты судов.</w:t>
      </w:r>
    </w:p>
    <w:p w:rsidR="00FE18A9" w:rsidRPr="00FE18A9" w:rsidRDefault="00FE18A9" w:rsidP="00FE18A9">
      <w:pPr>
        <w:numPr>
          <w:ilvl w:val="0"/>
          <w:numId w:val="2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Рост сегмента FSRU: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Потребность в быстрой газификации (Германия, Филиппины, Вьетнам) сохраняет высокий спрос на плавучие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регазификационные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установки как более быстрый способ получения энергии по сравнению с наземными терминалами.</w:t>
      </w:r>
    </w:p>
    <w:p w:rsidR="00FE18A9" w:rsidRPr="00FE18A9" w:rsidRDefault="00FE18A9" w:rsidP="00FE18A9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eastAsia="Times New Roman" w:hAnsi="Times New Roman" w:cs="Times New Roman"/>
          <w:color w:val="1F1F1F"/>
          <w:sz w:val="28"/>
          <w:szCs w:val="28"/>
        </w:rPr>
        <w:lastRenderedPageBreak/>
        <w:pict>
          <v:rect id="_x0000_i1028" style="width:0;height:1.5pt" o:hralign="center" o:hrstd="t" o:hrnoshade="t" o:hr="t" fillcolor="#1f1f1f" stroked="f"/>
        </w:pict>
      </w:r>
    </w:p>
    <w:p w:rsidR="00FE18A9" w:rsidRPr="00FE18A9" w:rsidRDefault="00FE18A9" w:rsidP="00FE18A9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Assessment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(Оценка рисков)</w:t>
      </w:r>
    </w:p>
    <w:p w:rsidR="00FE18A9" w:rsidRPr="00FE18A9" w:rsidRDefault="00FE18A9" w:rsidP="00FE18A9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Риск «политического вмешательства» (США):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Приостановка выдачи экспортных лицензий (пауза Байдена) и возможные изменения при администрации Трампа 2.0 создают неопределенность для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инвест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>-решений по новым сериям судов, ориентированных на американский экспорт.</w:t>
      </w:r>
    </w:p>
    <w:p w:rsidR="00FE18A9" w:rsidRPr="00FE18A9" w:rsidRDefault="00FE18A9" w:rsidP="00FE18A9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Геополитическая блокировка узких мест: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Напряженность в Красном море и Ормузском проливе увеличивает плечо доставки (обход через мыс Доброй Надежды). Это повышает спрос на </w:t>
      </w:r>
      <w:r w:rsidRPr="00FE18A9">
        <w:rPr>
          <w:rFonts w:ascii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</w:rPr>
        <w:t>количество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судов, но критически увеличивает операционные издержки и риски безопасности экипажей.</w:t>
      </w:r>
    </w:p>
    <w:p w:rsidR="00FE18A9" w:rsidRPr="00FE18A9" w:rsidRDefault="00FE18A9" w:rsidP="00FE18A9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Китайская </w:t>
      </w: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доминация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в цепочках поставок: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Китай не только потребляет газ, но и контролирует производство компонентов для «зеленой» энергетики. Любая эскалация вокруг Тайваня может парализовать поставки оборудования для судостроительных верфей в Японии и Корее.</w:t>
      </w:r>
    </w:p>
    <w:p w:rsidR="00FE18A9" w:rsidRPr="00FE18A9" w:rsidRDefault="00FE18A9" w:rsidP="00FE18A9">
      <w:pPr>
        <w:numPr>
          <w:ilvl w:val="0"/>
          <w:numId w:val="3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Логистический разрыв 2027 года: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Уход российского СПГ из Европы потребует мгновенной переброски огромных объемов флота, что может вызвать хаос на фрахтовом рынке в краткосрочном периоде.</w:t>
      </w:r>
    </w:p>
    <w:p w:rsidR="00FE18A9" w:rsidRPr="00FE18A9" w:rsidRDefault="00FE18A9" w:rsidP="00FE18A9">
      <w:pPr>
        <w:jc w:val="both"/>
        <w:rPr>
          <w:rFonts w:ascii="Times New Roman" w:eastAsia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eastAsia="Times New Roman" w:hAnsi="Times New Roman" w:cs="Times New Roman"/>
          <w:color w:val="1F1F1F"/>
          <w:sz w:val="28"/>
          <w:szCs w:val="28"/>
        </w:rPr>
        <w:pict>
          <v:rect id="_x0000_i1029" style="width:0;height:1.5pt" o:hralign="center" o:hrstd="t" o:hrnoshade="t" o:hr="t" fillcolor="#1f1f1f" stroked="f"/>
        </w:pict>
      </w:r>
    </w:p>
    <w:p w:rsidR="00FE18A9" w:rsidRPr="00FE18A9" w:rsidRDefault="00FE18A9" w:rsidP="00FE18A9">
      <w:pPr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</w:rPr>
      </w:pP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,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Trends</w:t>
      </w:r>
      <w:proofErr w:type="spellEnd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&amp; </w:t>
      </w:r>
      <w:proofErr w:type="spellStart"/>
      <w:r w:rsidRPr="00FE18A9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Opportunities</w:t>
      </w:r>
      <w:proofErr w:type="spellEnd"/>
    </w:p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Key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Facts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:rsidR="00FE18A9" w:rsidRPr="00FE18A9" w:rsidRDefault="00FE18A9" w:rsidP="00FE18A9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Мировой спрос на СПГ в 2025 году достиг рекорда — </w:t>
      </w: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410 млн тонн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FE18A9" w:rsidRPr="00FE18A9" w:rsidRDefault="00FE18A9" w:rsidP="00FE18A9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ЕС вводит </w:t>
      </w: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полный запрет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на российский СПГ с 2027 года.</w:t>
      </w:r>
    </w:p>
    <w:p w:rsidR="00FE18A9" w:rsidRPr="00FE18A9" w:rsidRDefault="00FE18A9" w:rsidP="00FE18A9">
      <w:pPr>
        <w:numPr>
          <w:ilvl w:val="0"/>
          <w:numId w:val="4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Катар законтрактовал поставки в Германию, Италию и Францию на </w:t>
      </w: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15–27 лет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>.</w:t>
      </w:r>
    </w:p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Trends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:rsidR="00FE18A9" w:rsidRPr="00FE18A9" w:rsidRDefault="00FE18A9" w:rsidP="00FE18A9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Синхронизация: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Цены на газ теперь жестко коррелируют между регионами (США/Европа/Азия).</w:t>
      </w:r>
    </w:p>
    <w:p w:rsidR="00FE18A9" w:rsidRPr="00FE18A9" w:rsidRDefault="00FE18A9" w:rsidP="00FE18A9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Долгосрочность: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Возврат к контрактам на 20+ лет (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Sinopec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Shell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, </w:t>
      </w:r>
      <w:proofErr w:type="spellStart"/>
      <w:r w:rsidRPr="00FE18A9">
        <w:rPr>
          <w:rFonts w:ascii="Times New Roman" w:hAnsi="Times New Roman" w:cs="Times New Roman"/>
          <w:color w:val="1F1F1F"/>
          <w:sz w:val="28"/>
          <w:szCs w:val="28"/>
        </w:rPr>
        <w:t>TotalEnergies</w:t>
      </w:r>
      <w:proofErr w:type="spellEnd"/>
      <w:r w:rsidRPr="00FE18A9">
        <w:rPr>
          <w:rFonts w:ascii="Times New Roman" w:hAnsi="Times New Roman" w:cs="Times New Roman"/>
          <w:color w:val="1F1F1F"/>
          <w:sz w:val="28"/>
          <w:szCs w:val="28"/>
        </w:rPr>
        <w:t>).</w:t>
      </w:r>
    </w:p>
    <w:p w:rsidR="00FE18A9" w:rsidRPr="00FE18A9" w:rsidRDefault="00FE18A9" w:rsidP="00FE18A9">
      <w:pPr>
        <w:numPr>
          <w:ilvl w:val="0"/>
          <w:numId w:val="5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Энергоемкость ИИ:</w:t>
      </w:r>
      <w:r w:rsidRPr="00FE18A9">
        <w:rPr>
          <w:rFonts w:ascii="Times New Roman" w:hAnsi="Times New Roman" w:cs="Times New Roman"/>
          <w:color w:val="1F1F1F"/>
          <w:sz w:val="28"/>
          <w:szCs w:val="28"/>
        </w:rPr>
        <w:t xml:space="preserve"> Газ становится базовым топливом для цифровой инфраструктуры.</w:t>
      </w:r>
    </w:p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Risks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:rsidR="00FE18A9" w:rsidRPr="00FE18A9" w:rsidRDefault="00FE18A9" w:rsidP="00FE18A9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>Судебные отмены разрешений на экспортные терминалы в США.</w:t>
      </w:r>
    </w:p>
    <w:p w:rsidR="00FE18A9" w:rsidRPr="00FE18A9" w:rsidRDefault="00FE18A9" w:rsidP="00FE18A9">
      <w:pPr>
        <w:numPr>
          <w:ilvl w:val="0"/>
          <w:numId w:val="6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>Задержка реализации водородных проектов («долина смерти» инноваций) заставляет продлевать жизнь газовым активам.</w:t>
      </w:r>
    </w:p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Opportunities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:rsidR="00FE18A9" w:rsidRPr="00FE18A9" w:rsidRDefault="00FE18A9" w:rsidP="00FE18A9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>Строительство судов для новых игроков (Аргентина, Канада, Мексика).</w:t>
      </w:r>
    </w:p>
    <w:p w:rsidR="00FE18A9" w:rsidRPr="00FE18A9" w:rsidRDefault="00FE18A9" w:rsidP="00FE18A9">
      <w:pPr>
        <w:numPr>
          <w:ilvl w:val="0"/>
          <w:numId w:val="7"/>
        </w:numPr>
        <w:ind w:left="0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r w:rsidRPr="00FE18A9">
        <w:rPr>
          <w:rFonts w:ascii="Times New Roman" w:hAnsi="Times New Roman" w:cs="Times New Roman"/>
          <w:color w:val="1F1F1F"/>
          <w:sz w:val="28"/>
          <w:szCs w:val="28"/>
        </w:rPr>
        <w:t>Развитие технологий улавливания углерода (CCS) непосредственно на борту судов.</w:t>
      </w:r>
    </w:p>
    <w:p w:rsidR="00FE18A9" w:rsidRPr="00FE18A9" w:rsidRDefault="00FE18A9" w:rsidP="00FE18A9">
      <w:pPr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proofErr w:type="spellStart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Conclusion</w:t>
      </w:r>
      <w:proofErr w:type="spellEnd"/>
      <w:r w:rsidRPr="00FE18A9">
        <w:rPr>
          <w:rFonts w:ascii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:rsidR="00FE18A9" w:rsidRPr="00FE18A9" w:rsidRDefault="00FE18A9" w:rsidP="00FE18A9">
      <w:pPr>
        <w:ind w:firstLine="708"/>
        <w:jc w:val="both"/>
        <w:rPr>
          <w:rFonts w:ascii="Times New Roman" w:hAnsi="Times New Roman" w:cs="Times New Roman"/>
          <w:color w:val="1F1F1F"/>
          <w:sz w:val="28"/>
          <w:szCs w:val="28"/>
        </w:rPr>
      </w:pPr>
      <w:bookmarkStart w:id="0" w:name="_GoBack"/>
      <w:bookmarkEnd w:id="0"/>
      <w:r w:rsidRPr="00FE18A9">
        <w:rPr>
          <w:rFonts w:ascii="Times New Roman" w:hAnsi="Times New Roman" w:cs="Times New Roman"/>
          <w:color w:val="1F1F1F"/>
          <w:sz w:val="28"/>
          <w:szCs w:val="28"/>
        </w:rPr>
        <w:t>Основная угроза — политическая нестабильность в США и риск блокировки ключевых морских маршрутов, что требует гибкости в проектировании судов (увеличение автономности и скорости). Мы должны фокусироваться на долгосрочных партнерствах с Катаром и новыми американскими проектами, которые получили «иммунитет» от регуляторных пауз.</w:t>
      </w:r>
    </w:p>
    <w:p w:rsidR="00A70BBC" w:rsidRPr="00FE18A9" w:rsidRDefault="00A70BBC" w:rsidP="00FE18A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FE18A9" w:rsidRDefault="00FE18A9"/>
    <w:sectPr w:rsidR="00FE18A9" w:rsidSect="00A70BBC">
      <w:pgSz w:w="11900" w:h="16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F60FF2"/>
    <w:multiLevelType w:val="multilevel"/>
    <w:tmpl w:val="D01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5E04EA"/>
    <w:multiLevelType w:val="multilevel"/>
    <w:tmpl w:val="8D0EC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0434745"/>
    <w:multiLevelType w:val="multilevel"/>
    <w:tmpl w:val="A9CEF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2757014"/>
    <w:multiLevelType w:val="multilevel"/>
    <w:tmpl w:val="12E0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CA258A2"/>
    <w:multiLevelType w:val="multilevel"/>
    <w:tmpl w:val="E9FE5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2C1A65"/>
    <w:multiLevelType w:val="multilevel"/>
    <w:tmpl w:val="AF58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A2D53F9"/>
    <w:multiLevelType w:val="multilevel"/>
    <w:tmpl w:val="719C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18A9"/>
    <w:rsid w:val="00A70BBC"/>
    <w:rsid w:val="00FE1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21906290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E18A9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18A9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E18A9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ru-RU" w:eastAsia="ru-RU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E18A9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E18A9"/>
    <w:rPr>
      <w:rFonts w:ascii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FE18A9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37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683</Words>
  <Characters>3895</Characters>
  <Application>Microsoft Macintosh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Пустовойт</dc:creator>
  <cp:keywords/>
  <dc:description/>
  <cp:lastModifiedBy>Евгений Пустовойт</cp:lastModifiedBy>
  <cp:revision>1</cp:revision>
  <dcterms:created xsi:type="dcterms:W3CDTF">2026-03-25T11:48:00Z</dcterms:created>
  <dcterms:modified xsi:type="dcterms:W3CDTF">2026-03-25T11:49:00Z</dcterms:modified>
</cp:coreProperties>
</file>