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ABBB8E" w14:textId="73ED2872" w:rsidR="009F2551" w:rsidRDefault="00AD3E50">
      <w:r>
        <w:t>Übung 2</w:t>
      </w:r>
    </w:p>
    <w:p w14:paraId="021E9010" w14:textId="77777777" w:rsidR="00AD3E50" w:rsidRPr="00AD3E50" w:rsidRDefault="00AD3E50" w:rsidP="00AD3E50">
      <w:r w:rsidRPr="00AD3E50">
        <w:t xml:space="preserve">In </w:t>
      </w:r>
      <w:proofErr w:type="spellStart"/>
      <w:r w:rsidRPr="00AD3E50">
        <w:t>RabbitMQ</w:t>
      </w:r>
      <w:proofErr w:type="spellEnd"/>
      <w:r w:rsidRPr="00AD3E50">
        <w:t xml:space="preserve"> ermöglichen Routing-Keys die gezielte Zustellung von Nachrichten an Queues über Exchanges.</w:t>
      </w:r>
    </w:p>
    <w:p w14:paraId="69895774" w14:textId="77777777" w:rsidR="00AD3E50" w:rsidRPr="00AD3E50" w:rsidRDefault="00AD3E50" w:rsidP="00AD3E50">
      <w:proofErr w:type="spellStart"/>
      <w:r w:rsidRPr="00AD3E50">
        <w:rPr>
          <w:b/>
          <w:bCs/>
        </w:rPr>
        <w:t>Direct</w:t>
      </w:r>
      <w:proofErr w:type="spellEnd"/>
      <w:r w:rsidRPr="00AD3E50">
        <w:rPr>
          <w:b/>
          <w:bCs/>
        </w:rPr>
        <w:t xml:space="preserve"> Exchange:</w:t>
      </w:r>
      <w:r w:rsidRPr="00AD3E50">
        <w:t xml:space="preserve"> Nachrichten werden an Queues weitergeleitet, deren Binding-Key exakt mit dem Routing-Key übereinstimmt.</w:t>
      </w:r>
      <w:r w:rsidRPr="00AD3E50">
        <w:br/>
      </w:r>
      <w:r w:rsidRPr="00AD3E50">
        <w:rPr>
          <w:i/>
          <w:iCs/>
        </w:rPr>
        <w:t>Beispiel:</w:t>
      </w:r>
      <w:r w:rsidRPr="00AD3E50">
        <w:t xml:space="preserve"> Eine </w:t>
      </w:r>
      <w:proofErr w:type="spellStart"/>
      <w:r w:rsidRPr="00AD3E50">
        <w:t>Direct</w:t>
      </w:r>
      <w:proofErr w:type="spellEnd"/>
      <w:r w:rsidRPr="00AD3E50">
        <w:t xml:space="preserve"> Exchange </w:t>
      </w:r>
      <w:proofErr w:type="spellStart"/>
      <w:r w:rsidRPr="00AD3E50">
        <w:t>logs_direct</w:t>
      </w:r>
      <w:proofErr w:type="spellEnd"/>
      <w:r w:rsidRPr="00AD3E50">
        <w:t xml:space="preserve"> verteilt Nachrichten mit </w:t>
      </w:r>
      <w:proofErr w:type="spellStart"/>
      <w:r w:rsidRPr="00AD3E50">
        <w:t>error</w:t>
      </w:r>
      <w:proofErr w:type="spellEnd"/>
      <w:r w:rsidRPr="00AD3E50">
        <w:t xml:space="preserve">, </w:t>
      </w:r>
      <w:proofErr w:type="spellStart"/>
      <w:r w:rsidRPr="00AD3E50">
        <w:t>info</w:t>
      </w:r>
      <w:proofErr w:type="spellEnd"/>
      <w:r w:rsidRPr="00AD3E50">
        <w:t xml:space="preserve"> oder </w:t>
      </w:r>
      <w:proofErr w:type="spellStart"/>
      <w:r w:rsidRPr="00AD3E50">
        <w:t>warning</w:t>
      </w:r>
      <w:proofErr w:type="spellEnd"/>
      <w:r w:rsidRPr="00AD3E50">
        <w:t xml:space="preserve"> an entsprechende Queues.</w:t>
      </w:r>
    </w:p>
    <w:p w14:paraId="54ECEC56" w14:textId="77777777" w:rsidR="00AD3E50" w:rsidRPr="00AD3E50" w:rsidRDefault="00AD3E50" w:rsidP="00AD3E50">
      <w:r w:rsidRPr="00AD3E50">
        <w:rPr>
          <w:b/>
          <w:bCs/>
        </w:rPr>
        <w:t>Topic Exchange:</w:t>
      </w:r>
      <w:r w:rsidRPr="00AD3E50">
        <w:t xml:space="preserve"> Nachrichten werden basierend auf Musterabgleichen zwischen Routing-Keys und Binding-Keys verteilt. Platzhalter wie * (ein Wort) und # (null oder mehr Wörter) erlauben komplexere Routing-Szenarien.</w:t>
      </w:r>
      <w:r w:rsidRPr="00AD3E50">
        <w:br/>
      </w:r>
      <w:r w:rsidRPr="00AD3E50">
        <w:rPr>
          <w:i/>
          <w:iCs/>
        </w:rPr>
        <w:t>Beispiel:</w:t>
      </w:r>
      <w:r w:rsidRPr="00AD3E50">
        <w:t xml:space="preserve"> Eine Topic Exchange </w:t>
      </w:r>
      <w:proofErr w:type="spellStart"/>
      <w:r w:rsidRPr="00AD3E50">
        <w:t>logs_topic</w:t>
      </w:r>
      <w:proofErr w:type="spellEnd"/>
      <w:r w:rsidRPr="00AD3E50">
        <w:t xml:space="preserve"> verteilt </w:t>
      </w:r>
      <w:proofErr w:type="gramStart"/>
      <w:r w:rsidRPr="00AD3E50">
        <w:t>kern.*</w:t>
      </w:r>
      <w:proofErr w:type="gramEnd"/>
      <w:r w:rsidRPr="00AD3E50">
        <w:t xml:space="preserve"> an Queues für Kernel-Logs und *.</w:t>
      </w:r>
      <w:proofErr w:type="spellStart"/>
      <w:r w:rsidRPr="00AD3E50">
        <w:t>critical</w:t>
      </w:r>
      <w:proofErr w:type="spellEnd"/>
      <w:r w:rsidRPr="00AD3E50">
        <w:t xml:space="preserve"> an Queues für kritische Logs.</w:t>
      </w:r>
    </w:p>
    <w:p w14:paraId="20337F01" w14:textId="77777777" w:rsidR="00AD3E50" w:rsidRPr="00AD3E50" w:rsidRDefault="00AD3E50" w:rsidP="00AD3E50">
      <w:r w:rsidRPr="00AD3E50">
        <w:rPr>
          <w:b/>
          <w:bCs/>
        </w:rPr>
        <w:t>Anwendungsbeispiel:</w:t>
      </w:r>
      <w:r w:rsidRPr="00AD3E50">
        <w:t xml:space="preserve"> In einem </w:t>
      </w:r>
      <w:proofErr w:type="spellStart"/>
      <w:r w:rsidRPr="00AD3E50">
        <w:t>Logging</w:t>
      </w:r>
      <w:proofErr w:type="spellEnd"/>
      <w:r w:rsidRPr="00AD3E50">
        <w:t>-System können Topic Exchanges verwendet werden, um Nachrichten nach Ursprung (</w:t>
      </w:r>
      <w:proofErr w:type="spellStart"/>
      <w:r w:rsidRPr="00AD3E50">
        <w:t>auth</w:t>
      </w:r>
      <w:proofErr w:type="spellEnd"/>
      <w:r w:rsidRPr="00AD3E50">
        <w:t xml:space="preserve">, </w:t>
      </w:r>
      <w:proofErr w:type="spellStart"/>
      <w:r w:rsidRPr="00AD3E50">
        <w:t>kernel</w:t>
      </w:r>
      <w:proofErr w:type="spellEnd"/>
      <w:r w:rsidRPr="00AD3E50">
        <w:t>) und Schwere (</w:t>
      </w:r>
      <w:proofErr w:type="spellStart"/>
      <w:r w:rsidRPr="00AD3E50">
        <w:t>info</w:t>
      </w:r>
      <w:proofErr w:type="spellEnd"/>
      <w:r w:rsidRPr="00AD3E50">
        <w:t xml:space="preserve">, </w:t>
      </w:r>
      <w:proofErr w:type="spellStart"/>
      <w:r w:rsidRPr="00AD3E50">
        <w:t>error</w:t>
      </w:r>
      <w:proofErr w:type="spellEnd"/>
      <w:r w:rsidRPr="00AD3E50">
        <w:t>) zu sortieren, was die Analyse erleichtert.</w:t>
      </w:r>
    </w:p>
    <w:p w14:paraId="5E123D8F" w14:textId="77777777" w:rsidR="00AD3E50" w:rsidRDefault="00AD3E50"/>
    <w:p w14:paraId="7FAC3849" w14:textId="77777777" w:rsidR="00AD3E50" w:rsidRDefault="00AD3E50"/>
    <w:p w14:paraId="28C078EC" w14:textId="7F62BFF3" w:rsidR="00AD3E50" w:rsidRDefault="00AD3E50">
      <w:r>
        <w:t>Übung 3</w:t>
      </w:r>
    </w:p>
    <w:p w14:paraId="46456997" w14:textId="77777777" w:rsidR="00AD3E50" w:rsidRPr="00AD3E50" w:rsidRDefault="00AD3E50" w:rsidP="00AD3E50">
      <w:r w:rsidRPr="00AD3E50">
        <w:t xml:space="preserve">Das PACELC-Theorem erweitert das CAP-Theorem, indem es nicht nur die Trade-offs bei Netzwerkpartitionen (Partition </w:t>
      </w:r>
      <w:proofErr w:type="spellStart"/>
      <w:r w:rsidRPr="00AD3E50">
        <w:t>Tolerance</w:t>
      </w:r>
      <w:proofErr w:type="spellEnd"/>
      <w:r w:rsidRPr="00AD3E50">
        <w:t xml:space="preserve">, </w:t>
      </w:r>
      <w:proofErr w:type="spellStart"/>
      <w:r w:rsidRPr="00AD3E50">
        <w:t>Availability</w:t>
      </w:r>
      <w:proofErr w:type="spellEnd"/>
      <w:r w:rsidRPr="00AD3E50">
        <w:t>, Consistency) betrachtet, sondern auch die Abwägungen zwischen Latenz (</w:t>
      </w:r>
      <w:proofErr w:type="spellStart"/>
      <w:r w:rsidRPr="00AD3E50">
        <w:t>Latency</w:t>
      </w:r>
      <w:proofErr w:type="spellEnd"/>
      <w:r w:rsidRPr="00AD3E50">
        <w:t xml:space="preserve">) und Konsistenz (Consistency) in partitionstoleranten Systemen ohne aktuelle Partitionen einbezieht. </w:t>
      </w:r>
    </w:p>
    <w:p w14:paraId="6FF0A4A3" w14:textId="77777777" w:rsidR="00AD3E50" w:rsidRPr="00AD3E50" w:rsidRDefault="00AD3E50" w:rsidP="00AD3E50">
      <w:hyperlink r:id="rId5" w:tgtFrame="_blank" w:history="1">
        <w:r w:rsidRPr="00AD3E50">
          <w:rPr>
            <w:rStyle w:val="Hyperlink"/>
          </w:rPr>
          <w:t>Wikipedia</w:t>
        </w:r>
      </w:hyperlink>
    </w:p>
    <w:p w14:paraId="7DE8F8CC" w14:textId="77777777" w:rsidR="00AD3E50" w:rsidRPr="00AD3E50" w:rsidRDefault="00AD3E50" w:rsidP="00AD3E50">
      <w:r w:rsidRPr="00AD3E50">
        <w:rPr>
          <w:b/>
          <w:bCs/>
        </w:rPr>
        <w:t>Typisches Einsatzgebiet:</w:t>
      </w:r>
      <w:r w:rsidRPr="00AD3E50">
        <w:t xml:space="preserve"> Das PACELC-Theorem wird in der verteilten Systemarchitektur verwendet, um die Kompromisse zwischen Konsistenz, Verfügbarkeit und Latenz sowohl während als auch außerhalb von Netzwerkpartitionen zu analysieren. Es hilft Entwicklern und Architekten, fundierte Entscheidungen bei der Gestaltung von verteilten Datenbanken und Systemen zu treffen, indem es die Auswirkungen dieser Kompromisse auf die Systemleistung und -zuverlässigkeit verdeutlicht. </w:t>
      </w:r>
    </w:p>
    <w:p w14:paraId="6D9DA66A" w14:textId="77777777" w:rsidR="00AD3E50" w:rsidRPr="00AD3E50" w:rsidRDefault="00AD3E50" w:rsidP="00AD3E50">
      <w:hyperlink r:id="rId6" w:tgtFrame="_blank" w:history="1">
        <w:proofErr w:type="spellStart"/>
        <w:r w:rsidRPr="00AD3E50">
          <w:rPr>
            <w:rStyle w:val="Hyperlink"/>
          </w:rPr>
          <w:t>Dremio</w:t>
        </w:r>
        <w:proofErr w:type="spellEnd"/>
      </w:hyperlink>
    </w:p>
    <w:p w14:paraId="54061789" w14:textId="77777777" w:rsidR="00AD3E50" w:rsidRPr="00AD3E50" w:rsidRDefault="00AD3E50" w:rsidP="00AD3E50">
      <w:r w:rsidRPr="00AD3E50">
        <w:rPr>
          <w:b/>
          <w:bCs/>
        </w:rPr>
        <w:t>Vier mögliche Konfigurationsoptionen:</w:t>
      </w:r>
    </w:p>
    <w:p w14:paraId="08C1B352" w14:textId="77777777" w:rsidR="00AD3E50" w:rsidRPr="00AD3E50" w:rsidRDefault="00AD3E50" w:rsidP="00AD3E50">
      <w:pPr>
        <w:numPr>
          <w:ilvl w:val="0"/>
          <w:numId w:val="1"/>
        </w:numPr>
        <w:rPr>
          <w:lang w:val="en-US"/>
        </w:rPr>
      </w:pPr>
      <w:r w:rsidRPr="00AD3E50">
        <w:rPr>
          <w:b/>
          <w:bCs/>
          <w:lang w:val="en-US"/>
        </w:rPr>
        <w:t>PA/EL (Partition Tolerance &amp; Availability / Else Latency):</w:t>
      </w:r>
    </w:p>
    <w:p w14:paraId="0A090E62" w14:textId="77777777" w:rsidR="00AD3E50" w:rsidRPr="00AD3E50" w:rsidRDefault="00AD3E50" w:rsidP="00AD3E50">
      <w:pPr>
        <w:numPr>
          <w:ilvl w:val="1"/>
          <w:numId w:val="1"/>
        </w:numPr>
      </w:pPr>
      <w:r w:rsidRPr="00AD3E50">
        <w:rPr>
          <w:b/>
          <w:bCs/>
        </w:rPr>
        <w:t>Bei Partitionierung:</w:t>
      </w:r>
      <w:r w:rsidRPr="00AD3E50">
        <w:t xml:space="preserve"> Das System priorisiert Verfügbarkeit und Partitionstoleranz, was zu Lasten der Konsistenz gehen kann.</w:t>
      </w:r>
    </w:p>
    <w:p w14:paraId="187984EB" w14:textId="77777777" w:rsidR="00AD3E50" w:rsidRPr="00AD3E50" w:rsidRDefault="00AD3E50" w:rsidP="00AD3E50">
      <w:pPr>
        <w:numPr>
          <w:ilvl w:val="1"/>
          <w:numId w:val="1"/>
        </w:numPr>
      </w:pPr>
      <w:r w:rsidRPr="00AD3E50">
        <w:rPr>
          <w:b/>
          <w:bCs/>
        </w:rPr>
        <w:t>Ohne Partitionierung:</w:t>
      </w:r>
      <w:r w:rsidRPr="00AD3E50">
        <w:t xml:space="preserve"> Das System legt Wert auf geringe Latenz, möglicherweise auf Kosten der Konsistenz.</w:t>
      </w:r>
    </w:p>
    <w:p w14:paraId="08ECF182" w14:textId="77777777" w:rsidR="00AD3E50" w:rsidRPr="00AD3E50" w:rsidRDefault="00AD3E50" w:rsidP="00AD3E50">
      <w:pPr>
        <w:numPr>
          <w:ilvl w:val="0"/>
          <w:numId w:val="1"/>
        </w:numPr>
        <w:rPr>
          <w:lang w:val="en-US"/>
        </w:rPr>
      </w:pPr>
      <w:r w:rsidRPr="00AD3E50">
        <w:rPr>
          <w:b/>
          <w:bCs/>
          <w:lang w:val="en-US"/>
        </w:rPr>
        <w:t>PA/EC (Partition Tolerance &amp; Availability / Else Consistency):</w:t>
      </w:r>
    </w:p>
    <w:p w14:paraId="04F9BC4E" w14:textId="77777777" w:rsidR="00AD3E50" w:rsidRPr="00AD3E50" w:rsidRDefault="00AD3E50" w:rsidP="00AD3E50">
      <w:pPr>
        <w:numPr>
          <w:ilvl w:val="1"/>
          <w:numId w:val="1"/>
        </w:numPr>
      </w:pPr>
      <w:r w:rsidRPr="00AD3E50">
        <w:rPr>
          <w:b/>
          <w:bCs/>
        </w:rPr>
        <w:t>Bei Partitionierung:</w:t>
      </w:r>
      <w:r w:rsidRPr="00AD3E50">
        <w:t xml:space="preserve"> Verfügbarkeit und Partitionstoleranz werden priorisiert, wodurch die Konsistenz beeinträchtigt werden kann.</w:t>
      </w:r>
    </w:p>
    <w:p w14:paraId="7BB9B906" w14:textId="77777777" w:rsidR="00AD3E50" w:rsidRPr="00AD3E50" w:rsidRDefault="00AD3E50" w:rsidP="00AD3E50">
      <w:pPr>
        <w:numPr>
          <w:ilvl w:val="1"/>
          <w:numId w:val="1"/>
        </w:numPr>
      </w:pPr>
      <w:r w:rsidRPr="00AD3E50">
        <w:rPr>
          <w:b/>
          <w:bCs/>
        </w:rPr>
        <w:t>Ohne Partitionierung:</w:t>
      </w:r>
      <w:r w:rsidRPr="00AD3E50">
        <w:t xml:space="preserve"> Das System priorisiert Konsistenz über Latenz.</w:t>
      </w:r>
    </w:p>
    <w:p w14:paraId="1EFC2054" w14:textId="77777777" w:rsidR="00AD3E50" w:rsidRPr="00AD3E50" w:rsidRDefault="00AD3E50" w:rsidP="00AD3E50">
      <w:pPr>
        <w:numPr>
          <w:ilvl w:val="0"/>
          <w:numId w:val="1"/>
        </w:numPr>
        <w:rPr>
          <w:lang w:val="en-US"/>
        </w:rPr>
      </w:pPr>
      <w:r w:rsidRPr="00AD3E50">
        <w:rPr>
          <w:b/>
          <w:bCs/>
          <w:lang w:val="en-US"/>
        </w:rPr>
        <w:lastRenderedPageBreak/>
        <w:t>PC/EL (Partition Tolerance &amp; Consistency / Else Latency):</w:t>
      </w:r>
    </w:p>
    <w:p w14:paraId="497107D0" w14:textId="77777777" w:rsidR="00AD3E50" w:rsidRPr="00AD3E50" w:rsidRDefault="00AD3E50" w:rsidP="00AD3E50">
      <w:pPr>
        <w:numPr>
          <w:ilvl w:val="1"/>
          <w:numId w:val="1"/>
        </w:numPr>
      </w:pPr>
      <w:r w:rsidRPr="00AD3E50">
        <w:rPr>
          <w:b/>
          <w:bCs/>
        </w:rPr>
        <w:t>Bei Partitionierung:</w:t>
      </w:r>
      <w:r w:rsidRPr="00AD3E50">
        <w:t xml:space="preserve"> Konsistenz und Partitionstoleranz werden priorisiert, was die Verfügbarkeit beeinträchtigen kann.</w:t>
      </w:r>
    </w:p>
    <w:p w14:paraId="1045937A" w14:textId="77777777" w:rsidR="00AD3E50" w:rsidRPr="00AD3E50" w:rsidRDefault="00AD3E50" w:rsidP="00AD3E50">
      <w:pPr>
        <w:numPr>
          <w:ilvl w:val="1"/>
          <w:numId w:val="1"/>
        </w:numPr>
      </w:pPr>
      <w:r w:rsidRPr="00AD3E50">
        <w:rPr>
          <w:b/>
          <w:bCs/>
        </w:rPr>
        <w:t>Ohne Partitionierung:</w:t>
      </w:r>
      <w:r w:rsidRPr="00AD3E50">
        <w:t xml:space="preserve"> Das System legt Wert auf geringe Latenz, möglicherweise auf Kosten der Konsistenz.</w:t>
      </w:r>
    </w:p>
    <w:p w14:paraId="58376BC9" w14:textId="77777777" w:rsidR="00AD3E50" w:rsidRPr="00AD3E50" w:rsidRDefault="00AD3E50" w:rsidP="00AD3E50">
      <w:pPr>
        <w:numPr>
          <w:ilvl w:val="0"/>
          <w:numId w:val="1"/>
        </w:numPr>
        <w:rPr>
          <w:lang w:val="en-US"/>
        </w:rPr>
      </w:pPr>
      <w:r w:rsidRPr="00AD3E50">
        <w:rPr>
          <w:b/>
          <w:bCs/>
          <w:lang w:val="en-US"/>
        </w:rPr>
        <w:t>PC/EC (Partition Tolerance &amp; Consistency / Else Consistency):</w:t>
      </w:r>
    </w:p>
    <w:p w14:paraId="612EEE43" w14:textId="77777777" w:rsidR="00AD3E50" w:rsidRPr="00AD3E50" w:rsidRDefault="00AD3E50" w:rsidP="00AD3E50">
      <w:pPr>
        <w:numPr>
          <w:ilvl w:val="1"/>
          <w:numId w:val="1"/>
        </w:numPr>
      </w:pPr>
      <w:r w:rsidRPr="00AD3E50">
        <w:rPr>
          <w:b/>
          <w:bCs/>
        </w:rPr>
        <w:t>Bei Partitionierung:</w:t>
      </w:r>
      <w:r w:rsidRPr="00AD3E50">
        <w:t xml:space="preserve"> Konsistenz und Partitionstoleranz werden priorisiert, was die Verfügbarkeit beeinträchtigen kann.</w:t>
      </w:r>
    </w:p>
    <w:p w14:paraId="60775DEC" w14:textId="77777777" w:rsidR="00AD3E50" w:rsidRPr="00AD3E50" w:rsidRDefault="00AD3E50" w:rsidP="00AD3E50">
      <w:pPr>
        <w:numPr>
          <w:ilvl w:val="1"/>
          <w:numId w:val="1"/>
        </w:numPr>
      </w:pPr>
      <w:r w:rsidRPr="00AD3E50">
        <w:rPr>
          <w:b/>
          <w:bCs/>
        </w:rPr>
        <w:t>Ohne Partitionierung:</w:t>
      </w:r>
      <w:r w:rsidRPr="00AD3E50">
        <w:t xml:space="preserve"> Das System priorisiert weiterhin Konsistenz, unabhängig von der Latenz.</w:t>
      </w:r>
    </w:p>
    <w:p w14:paraId="5E5B21EA" w14:textId="77777777" w:rsidR="00AD3E50" w:rsidRPr="00AD3E50" w:rsidRDefault="00AD3E50" w:rsidP="00AD3E50">
      <w:r w:rsidRPr="00AD3E50">
        <w:t>Diese Konfigurationsoptionen verdeutlichen die unterschiedlichen Ansätze, die bei der Gestaltung verteilter Systeme in Bezug auf Konsistenz, Verfügbarkeit und Latenz berücksichtigt werden müssen.</w:t>
      </w:r>
    </w:p>
    <w:p w14:paraId="4095BFC5" w14:textId="77777777" w:rsidR="00AD3E50" w:rsidRDefault="00AD3E50" w:rsidP="00AD3E50"/>
    <w:p w14:paraId="7831D76C" w14:textId="77777777" w:rsidR="00E761B1" w:rsidRDefault="00E761B1" w:rsidP="00AD3E50"/>
    <w:p w14:paraId="5E4C33E6" w14:textId="2CEB0995" w:rsidR="00E761B1" w:rsidRDefault="00E761B1" w:rsidP="00AD3E50">
      <w:r>
        <w:t>Übung 4</w:t>
      </w:r>
    </w:p>
    <w:p w14:paraId="28047CEC" w14:textId="77777777" w:rsidR="00E761B1" w:rsidRPr="00E761B1" w:rsidRDefault="00E761B1" w:rsidP="00E761B1">
      <w:r w:rsidRPr="00E761B1">
        <w:t>Das SAGA-Pattern ermöglicht verteilte Transaktionen mit schlussendlicher Konsistenz. Es gibt zwei Ansätze:</w:t>
      </w:r>
    </w:p>
    <w:p w14:paraId="4F393A5B" w14:textId="77777777" w:rsidR="00E761B1" w:rsidRPr="00E761B1" w:rsidRDefault="00E761B1" w:rsidP="00E761B1">
      <w:r w:rsidRPr="00E761B1">
        <w:rPr>
          <w:b/>
          <w:bCs/>
        </w:rPr>
        <w:t>Choreografie:</w:t>
      </w:r>
      <w:r w:rsidRPr="00E761B1">
        <w:br/>
        <w:t>Dienste steuern sich selbst durch Events.</w:t>
      </w:r>
    </w:p>
    <w:p w14:paraId="61809FFB" w14:textId="77777777" w:rsidR="00E761B1" w:rsidRPr="00E761B1" w:rsidRDefault="00E761B1" w:rsidP="00E761B1">
      <w:pPr>
        <w:numPr>
          <w:ilvl w:val="0"/>
          <w:numId w:val="2"/>
        </w:numPr>
      </w:pPr>
      <w:r w:rsidRPr="00E761B1">
        <w:rPr>
          <w:b/>
          <w:bCs/>
        </w:rPr>
        <w:t>Vorteile:</w:t>
      </w:r>
      <w:r w:rsidRPr="00E761B1">
        <w:t xml:space="preserve"> Lose Kopplung, kein zentraler Ausfallpunkt.</w:t>
      </w:r>
    </w:p>
    <w:p w14:paraId="1E8641BE" w14:textId="77777777" w:rsidR="00E761B1" w:rsidRPr="00E761B1" w:rsidRDefault="00E761B1" w:rsidP="00E761B1">
      <w:pPr>
        <w:numPr>
          <w:ilvl w:val="0"/>
          <w:numId w:val="2"/>
        </w:numPr>
      </w:pPr>
      <w:r w:rsidRPr="00E761B1">
        <w:rPr>
          <w:b/>
          <w:bCs/>
        </w:rPr>
        <w:t>Nachteile:</w:t>
      </w:r>
      <w:r w:rsidRPr="00E761B1">
        <w:t xml:space="preserve"> Schwieriges Monitoring, komplexe Fehlerbehandlung.</w:t>
      </w:r>
    </w:p>
    <w:p w14:paraId="1F94DC89" w14:textId="77777777" w:rsidR="00E761B1" w:rsidRPr="00E761B1" w:rsidRDefault="00E761B1" w:rsidP="00E761B1">
      <w:r w:rsidRPr="00E761B1">
        <w:rPr>
          <w:b/>
          <w:bCs/>
        </w:rPr>
        <w:t>Orchestrierung:</w:t>
      </w:r>
      <w:r w:rsidRPr="00E761B1">
        <w:br/>
        <w:t xml:space="preserve">Ein zentraler </w:t>
      </w:r>
      <w:proofErr w:type="spellStart"/>
      <w:r w:rsidRPr="00E761B1">
        <w:t>Orchestrator</w:t>
      </w:r>
      <w:proofErr w:type="spellEnd"/>
      <w:r w:rsidRPr="00E761B1">
        <w:t xml:space="preserve"> koordiniert die Abläufe.</w:t>
      </w:r>
    </w:p>
    <w:p w14:paraId="2CDD2453" w14:textId="77777777" w:rsidR="00E761B1" w:rsidRPr="00E761B1" w:rsidRDefault="00E761B1" w:rsidP="00E761B1">
      <w:pPr>
        <w:numPr>
          <w:ilvl w:val="0"/>
          <w:numId w:val="3"/>
        </w:numPr>
      </w:pPr>
      <w:r w:rsidRPr="00E761B1">
        <w:rPr>
          <w:b/>
          <w:bCs/>
        </w:rPr>
        <w:t>Vorteile:</w:t>
      </w:r>
      <w:r w:rsidRPr="00E761B1">
        <w:t xml:space="preserve"> Klare Kontrolle, einfache Kompensation.</w:t>
      </w:r>
    </w:p>
    <w:p w14:paraId="3AC7529A" w14:textId="77777777" w:rsidR="00E761B1" w:rsidRPr="00E761B1" w:rsidRDefault="00E761B1" w:rsidP="00E761B1">
      <w:pPr>
        <w:numPr>
          <w:ilvl w:val="0"/>
          <w:numId w:val="3"/>
        </w:numPr>
        <w:rPr>
          <w:lang w:val="en-US"/>
        </w:rPr>
      </w:pPr>
      <w:proofErr w:type="spellStart"/>
      <w:r w:rsidRPr="00E761B1">
        <w:rPr>
          <w:b/>
          <w:bCs/>
          <w:lang w:val="en-US"/>
        </w:rPr>
        <w:t>Nachteile</w:t>
      </w:r>
      <w:proofErr w:type="spellEnd"/>
      <w:r w:rsidRPr="00E761B1">
        <w:rPr>
          <w:b/>
          <w:bCs/>
          <w:lang w:val="en-US"/>
        </w:rPr>
        <w:t>:</w:t>
      </w:r>
      <w:r w:rsidRPr="00E761B1">
        <w:rPr>
          <w:lang w:val="en-US"/>
        </w:rPr>
        <w:t xml:space="preserve"> Single Point of Failure, </w:t>
      </w:r>
      <w:proofErr w:type="spellStart"/>
      <w:r w:rsidRPr="00E761B1">
        <w:rPr>
          <w:lang w:val="en-US"/>
        </w:rPr>
        <w:t>engere</w:t>
      </w:r>
      <w:proofErr w:type="spellEnd"/>
      <w:r w:rsidRPr="00E761B1">
        <w:rPr>
          <w:lang w:val="en-US"/>
        </w:rPr>
        <w:t xml:space="preserve"> </w:t>
      </w:r>
      <w:proofErr w:type="spellStart"/>
      <w:r w:rsidRPr="00E761B1">
        <w:rPr>
          <w:lang w:val="en-US"/>
        </w:rPr>
        <w:t>Kopplung</w:t>
      </w:r>
      <w:proofErr w:type="spellEnd"/>
      <w:r w:rsidRPr="00E761B1">
        <w:rPr>
          <w:lang w:val="en-US"/>
        </w:rPr>
        <w:t>.</w:t>
      </w:r>
    </w:p>
    <w:p w14:paraId="0BB8BE9B" w14:textId="77777777" w:rsidR="00E761B1" w:rsidRPr="00E761B1" w:rsidRDefault="00E761B1" w:rsidP="00E761B1">
      <w:r w:rsidRPr="00E761B1">
        <w:rPr>
          <w:b/>
          <w:bCs/>
        </w:rPr>
        <w:t>Komplexität:</w:t>
      </w:r>
      <w:r w:rsidRPr="00E761B1">
        <w:br/>
        <w:t>Choreografie verteilt die Logik auf Dienste, erschwert jedoch die Nachvollziehbarkeit. Orchestrierung vereinfacht die Steuerung, erhöht aber die Abhängigkeit vom Koordinator.</w:t>
      </w:r>
    </w:p>
    <w:p w14:paraId="4974FFEC" w14:textId="77777777" w:rsidR="00E761B1" w:rsidRPr="00E761B1" w:rsidRDefault="00E761B1" w:rsidP="00E761B1">
      <w:r w:rsidRPr="00E761B1">
        <w:t>Die Wahl hängt von Anforderungen wie Flexibilität oder Kontrollbedarf ab.</w:t>
      </w:r>
    </w:p>
    <w:p w14:paraId="3009F2F9" w14:textId="77777777" w:rsidR="00E761B1" w:rsidRDefault="00E761B1" w:rsidP="00E761B1"/>
    <w:p w14:paraId="37F2ED38" w14:textId="77777777" w:rsidR="00E761B1" w:rsidRDefault="00E761B1" w:rsidP="00E761B1"/>
    <w:p w14:paraId="30C8EDDD" w14:textId="77777777" w:rsidR="00E761B1" w:rsidRDefault="00E761B1" w:rsidP="00E761B1"/>
    <w:p w14:paraId="41A0F4B7" w14:textId="77777777" w:rsidR="00E761B1" w:rsidRDefault="00E761B1" w:rsidP="00E761B1"/>
    <w:p w14:paraId="5BE9CEB7" w14:textId="77777777" w:rsidR="00E761B1" w:rsidRDefault="00E761B1" w:rsidP="00E761B1"/>
    <w:p w14:paraId="710B9650" w14:textId="77777777" w:rsidR="00E761B1" w:rsidRDefault="00E761B1" w:rsidP="00E761B1"/>
    <w:p w14:paraId="432DEE67" w14:textId="33AC38CB" w:rsidR="00E761B1" w:rsidRDefault="00E761B1" w:rsidP="00E761B1">
      <w:r>
        <w:lastRenderedPageBreak/>
        <w:t>Übung 5</w:t>
      </w:r>
    </w:p>
    <w:p w14:paraId="50AB5F67" w14:textId="77777777" w:rsidR="00E761B1" w:rsidRPr="00E761B1" w:rsidRDefault="00E761B1" w:rsidP="00E761B1">
      <w:pPr>
        <w:rPr>
          <w:b/>
          <w:bCs/>
        </w:rPr>
      </w:pPr>
      <w:r w:rsidRPr="00E761B1">
        <w:rPr>
          <w:b/>
          <w:bCs/>
        </w:rPr>
        <w:t>Kriterien zur Auswahl des geeigneten Architekturmusters</w:t>
      </w:r>
    </w:p>
    <w:p w14:paraId="5977C42A" w14:textId="77777777" w:rsidR="00E761B1" w:rsidRPr="00E761B1" w:rsidRDefault="00E761B1" w:rsidP="00E761B1">
      <w:pPr>
        <w:numPr>
          <w:ilvl w:val="0"/>
          <w:numId w:val="4"/>
        </w:numPr>
      </w:pPr>
      <w:r w:rsidRPr="00E761B1">
        <w:rPr>
          <w:b/>
          <w:bCs/>
        </w:rPr>
        <w:t>Skalierbarkeit:</w:t>
      </w:r>
    </w:p>
    <w:p w14:paraId="62AD5F9D" w14:textId="77777777" w:rsidR="00E761B1" w:rsidRPr="00E761B1" w:rsidRDefault="00E761B1" w:rsidP="00E761B1">
      <w:pPr>
        <w:numPr>
          <w:ilvl w:val="1"/>
          <w:numId w:val="4"/>
        </w:numPr>
      </w:pPr>
      <w:r w:rsidRPr="00E761B1">
        <w:rPr>
          <w:b/>
          <w:bCs/>
        </w:rPr>
        <w:t>Monolith:</w:t>
      </w:r>
      <w:r w:rsidRPr="00E761B1">
        <w:t xml:space="preserve"> Gut geeignet für Anwendungen mit geringer bis moderater Skalierungsanforderung. Skalierung erfolgt durch Hochskalierung (vertikale Skalierung).</w:t>
      </w:r>
    </w:p>
    <w:p w14:paraId="3039FA81" w14:textId="77777777" w:rsidR="00E761B1" w:rsidRPr="00E761B1" w:rsidRDefault="00E761B1" w:rsidP="00E761B1">
      <w:pPr>
        <w:numPr>
          <w:ilvl w:val="1"/>
          <w:numId w:val="4"/>
        </w:numPr>
      </w:pPr>
      <w:r w:rsidRPr="00E761B1">
        <w:rPr>
          <w:b/>
          <w:bCs/>
        </w:rPr>
        <w:t>Modularer Monolith:</w:t>
      </w:r>
      <w:r w:rsidRPr="00E761B1">
        <w:t xml:space="preserve"> Bietet eine bessere Skalierung als ein reiner Monolith durch klar definierte Module. Vertikale Skalierung bleibt dominant.</w:t>
      </w:r>
    </w:p>
    <w:p w14:paraId="3B4BF2FE" w14:textId="77777777" w:rsidR="00E761B1" w:rsidRPr="00E761B1" w:rsidRDefault="00E761B1" w:rsidP="00E761B1">
      <w:pPr>
        <w:numPr>
          <w:ilvl w:val="1"/>
          <w:numId w:val="4"/>
        </w:numPr>
      </w:pPr>
      <w:r w:rsidRPr="00E761B1">
        <w:rPr>
          <w:b/>
          <w:bCs/>
        </w:rPr>
        <w:t>Microservices:</w:t>
      </w:r>
      <w:r w:rsidRPr="00E761B1">
        <w:t xml:space="preserve"> Ideal für hohe Skalierungsanforderungen, da einzelne Services unabhängig horizontal skaliert werden können.</w:t>
      </w:r>
    </w:p>
    <w:p w14:paraId="6BB5C2BA" w14:textId="77777777" w:rsidR="00E761B1" w:rsidRPr="00E761B1" w:rsidRDefault="00E761B1" w:rsidP="00E761B1">
      <w:pPr>
        <w:numPr>
          <w:ilvl w:val="0"/>
          <w:numId w:val="4"/>
        </w:numPr>
      </w:pPr>
      <w:r w:rsidRPr="00E761B1">
        <w:rPr>
          <w:b/>
          <w:bCs/>
        </w:rPr>
        <w:t>Teamgröße:</w:t>
      </w:r>
    </w:p>
    <w:p w14:paraId="36FC4C36" w14:textId="77777777" w:rsidR="00E761B1" w:rsidRPr="00E761B1" w:rsidRDefault="00E761B1" w:rsidP="00E761B1">
      <w:pPr>
        <w:numPr>
          <w:ilvl w:val="1"/>
          <w:numId w:val="4"/>
        </w:numPr>
      </w:pPr>
      <w:r w:rsidRPr="00E761B1">
        <w:rPr>
          <w:b/>
          <w:bCs/>
        </w:rPr>
        <w:t>Monolith:</w:t>
      </w:r>
      <w:r w:rsidRPr="00E761B1">
        <w:t xml:space="preserve"> Optimal für kleine Teams, da weniger Koordinationsaufwand erforderlich ist.</w:t>
      </w:r>
    </w:p>
    <w:p w14:paraId="08048A2A" w14:textId="77777777" w:rsidR="00E761B1" w:rsidRPr="00E761B1" w:rsidRDefault="00E761B1" w:rsidP="00E761B1">
      <w:pPr>
        <w:numPr>
          <w:ilvl w:val="1"/>
          <w:numId w:val="4"/>
        </w:numPr>
      </w:pPr>
      <w:r w:rsidRPr="00E761B1">
        <w:rPr>
          <w:b/>
          <w:bCs/>
        </w:rPr>
        <w:t>Modularer Monolith:</w:t>
      </w:r>
      <w:r w:rsidRPr="00E761B1">
        <w:t xml:space="preserve"> Geeignet für mittelgroße Teams, die an verschiedenen Modulen arbeiten können.</w:t>
      </w:r>
    </w:p>
    <w:p w14:paraId="313518DE" w14:textId="77777777" w:rsidR="00E761B1" w:rsidRPr="00E761B1" w:rsidRDefault="00E761B1" w:rsidP="00E761B1">
      <w:pPr>
        <w:numPr>
          <w:ilvl w:val="1"/>
          <w:numId w:val="4"/>
        </w:numPr>
      </w:pPr>
      <w:r w:rsidRPr="00E761B1">
        <w:rPr>
          <w:b/>
          <w:bCs/>
        </w:rPr>
        <w:t>Microservices:</w:t>
      </w:r>
      <w:r w:rsidRPr="00E761B1">
        <w:t xml:space="preserve"> Erfordert größere, spezialisierte Teams, die unabhängig an verschiedenen Services arbeiten.</w:t>
      </w:r>
    </w:p>
    <w:p w14:paraId="5D07CB8C" w14:textId="77777777" w:rsidR="00E761B1" w:rsidRPr="00E761B1" w:rsidRDefault="00E761B1" w:rsidP="00E761B1">
      <w:pPr>
        <w:numPr>
          <w:ilvl w:val="0"/>
          <w:numId w:val="4"/>
        </w:numPr>
      </w:pPr>
      <w:r w:rsidRPr="00E761B1">
        <w:rPr>
          <w:b/>
          <w:bCs/>
        </w:rPr>
        <w:t>Komplexität:</w:t>
      </w:r>
    </w:p>
    <w:p w14:paraId="0F189DF8" w14:textId="77777777" w:rsidR="00E761B1" w:rsidRPr="00E761B1" w:rsidRDefault="00E761B1" w:rsidP="00E761B1">
      <w:pPr>
        <w:numPr>
          <w:ilvl w:val="1"/>
          <w:numId w:val="4"/>
        </w:numPr>
      </w:pPr>
      <w:r w:rsidRPr="00E761B1">
        <w:rPr>
          <w:b/>
          <w:bCs/>
        </w:rPr>
        <w:t>Monolith:</w:t>
      </w:r>
      <w:r w:rsidRPr="00E761B1">
        <w:t xml:space="preserve"> Einfach zu entwickeln, zu testen und bereitzustellen. Geringe Komplexität, aber eingeschränkte Flexibilität.</w:t>
      </w:r>
    </w:p>
    <w:p w14:paraId="3E70D9FB" w14:textId="77777777" w:rsidR="00E761B1" w:rsidRPr="00E761B1" w:rsidRDefault="00E761B1" w:rsidP="00E761B1">
      <w:pPr>
        <w:numPr>
          <w:ilvl w:val="1"/>
          <w:numId w:val="4"/>
        </w:numPr>
      </w:pPr>
      <w:r w:rsidRPr="00E761B1">
        <w:rPr>
          <w:b/>
          <w:bCs/>
        </w:rPr>
        <w:t>Modularer Monolith:</w:t>
      </w:r>
      <w:r w:rsidRPr="00E761B1">
        <w:t xml:space="preserve"> Erhöhte Komplexität durch Modularisierung, aber weiterhin einfacher als Microservices.</w:t>
      </w:r>
    </w:p>
    <w:p w14:paraId="0A675671" w14:textId="77777777" w:rsidR="00E761B1" w:rsidRPr="00E761B1" w:rsidRDefault="00E761B1" w:rsidP="00E761B1">
      <w:pPr>
        <w:numPr>
          <w:ilvl w:val="1"/>
          <w:numId w:val="4"/>
        </w:numPr>
      </w:pPr>
      <w:r w:rsidRPr="00E761B1">
        <w:rPr>
          <w:b/>
          <w:bCs/>
        </w:rPr>
        <w:t>Microservices:</w:t>
      </w:r>
      <w:r w:rsidRPr="00E761B1">
        <w:t xml:space="preserve"> Höchste Komplexität durch verteilte Systeme, Kommunikation zwischen Diensten und </w:t>
      </w:r>
      <w:proofErr w:type="spellStart"/>
      <w:r w:rsidRPr="00E761B1">
        <w:t>Deployment</w:t>
      </w:r>
      <w:proofErr w:type="spellEnd"/>
      <w:r w:rsidRPr="00E761B1">
        <w:t>-Strategien.</w:t>
      </w:r>
    </w:p>
    <w:p w14:paraId="396BE1E0" w14:textId="77777777" w:rsidR="00E761B1" w:rsidRPr="00E761B1" w:rsidRDefault="00E761B1" w:rsidP="00E761B1">
      <w:pPr>
        <w:numPr>
          <w:ilvl w:val="0"/>
          <w:numId w:val="4"/>
        </w:numPr>
      </w:pPr>
      <w:r w:rsidRPr="00E761B1">
        <w:rPr>
          <w:b/>
          <w:bCs/>
        </w:rPr>
        <w:t>Technische Rahmenbedingungen:</w:t>
      </w:r>
    </w:p>
    <w:p w14:paraId="7AC52A62" w14:textId="77777777" w:rsidR="00E761B1" w:rsidRPr="00E761B1" w:rsidRDefault="00E761B1" w:rsidP="00E761B1">
      <w:pPr>
        <w:numPr>
          <w:ilvl w:val="1"/>
          <w:numId w:val="4"/>
        </w:numPr>
      </w:pPr>
      <w:r w:rsidRPr="00E761B1">
        <w:rPr>
          <w:b/>
          <w:bCs/>
        </w:rPr>
        <w:t>Monolith:</w:t>
      </w:r>
      <w:r w:rsidRPr="00E761B1">
        <w:t xml:space="preserve"> Benötigt keine fortschrittlichen Tools oder Infrastrukturen.</w:t>
      </w:r>
    </w:p>
    <w:p w14:paraId="78F7F3E6" w14:textId="77777777" w:rsidR="00E761B1" w:rsidRPr="00E761B1" w:rsidRDefault="00E761B1" w:rsidP="00E761B1">
      <w:pPr>
        <w:numPr>
          <w:ilvl w:val="1"/>
          <w:numId w:val="4"/>
        </w:numPr>
      </w:pPr>
      <w:r w:rsidRPr="00E761B1">
        <w:rPr>
          <w:b/>
          <w:bCs/>
        </w:rPr>
        <w:t>Modularer Monolith:</w:t>
      </w:r>
      <w:r w:rsidRPr="00E761B1">
        <w:t xml:space="preserve"> Erfordert gute Architekturprinzipien und klare Modulgrenzen.</w:t>
      </w:r>
    </w:p>
    <w:p w14:paraId="5B54B9F6" w14:textId="77777777" w:rsidR="00E761B1" w:rsidRPr="00E761B1" w:rsidRDefault="00E761B1" w:rsidP="00E761B1">
      <w:pPr>
        <w:numPr>
          <w:ilvl w:val="1"/>
          <w:numId w:val="4"/>
        </w:numPr>
      </w:pPr>
      <w:r w:rsidRPr="00E761B1">
        <w:rPr>
          <w:b/>
          <w:bCs/>
        </w:rPr>
        <w:t>Microservices:</w:t>
      </w:r>
      <w:r w:rsidRPr="00E761B1">
        <w:t xml:space="preserve"> Setzt </w:t>
      </w:r>
      <w:proofErr w:type="spellStart"/>
      <w:r w:rsidRPr="00E761B1">
        <w:t>DevOps</w:t>
      </w:r>
      <w:proofErr w:type="spellEnd"/>
      <w:r w:rsidRPr="00E761B1">
        <w:t xml:space="preserve">-Kultur, Containerisierung (z. B. Docker), Orchestrierung (z. B. </w:t>
      </w:r>
      <w:proofErr w:type="spellStart"/>
      <w:r w:rsidRPr="00E761B1">
        <w:t>Kubernetes</w:t>
      </w:r>
      <w:proofErr w:type="spellEnd"/>
      <w:r w:rsidRPr="00E761B1">
        <w:t>) und Monitoring-Tools voraus.</w:t>
      </w:r>
    </w:p>
    <w:p w14:paraId="5C6EF280" w14:textId="77777777" w:rsidR="00E761B1" w:rsidRPr="00E761B1" w:rsidRDefault="00E761B1" w:rsidP="00E761B1">
      <w:pPr>
        <w:numPr>
          <w:ilvl w:val="0"/>
          <w:numId w:val="4"/>
        </w:numPr>
      </w:pPr>
      <w:r w:rsidRPr="00E761B1">
        <w:rPr>
          <w:b/>
          <w:bCs/>
        </w:rPr>
        <w:t>Änderungs- und Erweiterungsbedarf:</w:t>
      </w:r>
    </w:p>
    <w:p w14:paraId="2759F410" w14:textId="77777777" w:rsidR="00E761B1" w:rsidRPr="00E761B1" w:rsidRDefault="00E761B1" w:rsidP="00E761B1">
      <w:pPr>
        <w:numPr>
          <w:ilvl w:val="1"/>
          <w:numId w:val="4"/>
        </w:numPr>
      </w:pPr>
      <w:r w:rsidRPr="00E761B1">
        <w:rPr>
          <w:b/>
          <w:bCs/>
        </w:rPr>
        <w:t>Monolith:</w:t>
      </w:r>
      <w:r w:rsidRPr="00E761B1">
        <w:t xml:space="preserve"> Weniger flexibel bei Änderungen; Änderungen können das gesamte System betreffen.</w:t>
      </w:r>
    </w:p>
    <w:p w14:paraId="40F4E24E" w14:textId="77777777" w:rsidR="00E761B1" w:rsidRPr="00E761B1" w:rsidRDefault="00E761B1" w:rsidP="00E761B1">
      <w:pPr>
        <w:numPr>
          <w:ilvl w:val="1"/>
          <w:numId w:val="4"/>
        </w:numPr>
      </w:pPr>
      <w:r w:rsidRPr="00E761B1">
        <w:rPr>
          <w:b/>
          <w:bCs/>
        </w:rPr>
        <w:t>Modularer Monolith:</w:t>
      </w:r>
      <w:r w:rsidRPr="00E761B1">
        <w:t xml:space="preserve"> Flexibler als ein Monolith, Änderungen können auf Module beschränkt werden.</w:t>
      </w:r>
    </w:p>
    <w:p w14:paraId="0D9A91AC" w14:textId="77777777" w:rsidR="00E761B1" w:rsidRPr="00E761B1" w:rsidRDefault="00E761B1" w:rsidP="00E761B1">
      <w:pPr>
        <w:numPr>
          <w:ilvl w:val="1"/>
          <w:numId w:val="4"/>
        </w:numPr>
      </w:pPr>
      <w:r w:rsidRPr="00E761B1">
        <w:rPr>
          <w:b/>
          <w:bCs/>
        </w:rPr>
        <w:t>Microservices:</w:t>
      </w:r>
      <w:r w:rsidRPr="00E761B1">
        <w:t xml:space="preserve"> Höchste Flexibilität, da Services unabhängig aktualisiert oder ersetzt werden können.</w:t>
      </w:r>
    </w:p>
    <w:p w14:paraId="7DD323F6" w14:textId="77777777" w:rsidR="00E761B1" w:rsidRPr="00E761B1" w:rsidRDefault="00E761B1" w:rsidP="00E761B1">
      <w:pPr>
        <w:numPr>
          <w:ilvl w:val="0"/>
          <w:numId w:val="4"/>
        </w:numPr>
      </w:pPr>
      <w:r w:rsidRPr="00E761B1">
        <w:rPr>
          <w:b/>
          <w:bCs/>
        </w:rPr>
        <w:t>Time-</w:t>
      </w:r>
      <w:proofErr w:type="spellStart"/>
      <w:r w:rsidRPr="00E761B1">
        <w:rPr>
          <w:b/>
          <w:bCs/>
        </w:rPr>
        <w:t>to</w:t>
      </w:r>
      <w:proofErr w:type="spellEnd"/>
      <w:r w:rsidRPr="00E761B1">
        <w:rPr>
          <w:b/>
          <w:bCs/>
        </w:rPr>
        <w:t>-Market:</w:t>
      </w:r>
    </w:p>
    <w:p w14:paraId="28178237" w14:textId="77777777" w:rsidR="00E761B1" w:rsidRPr="00E761B1" w:rsidRDefault="00E761B1" w:rsidP="00E761B1">
      <w:pPr>
        <w:numPr>
          <w:ilvl w:val="1"/>
          <w:numId w:val="4"/>
        </w:numPr>
      </w:pPr>
      <w:r w:rsidRPr="00E761B1">
        <w:rPr>
          <w:b/>
          <w:bCs/>
        </w:rPr>
        <w:lastRenderedPageBreak/>
        <w:t>Monolith:</w:t>
      </w:r>
      <w:r w:rsidRPr="00E761B1">
        <w:t xml:space="preserve"> Schnelle Entwicklungs- und Bereitstellungszeit für kleinere Projekte.</w:t>
      </w:r>
    </w:p>
    <w:p w14:paraId="28EB368C" w14:textId="77777777" w:rsidR="00E761B1" w:rsidRPr="00E761B1" w:rsidRDefault="00E761B1" w:rsidP="00E761B1">
      <w:pPr>
        <w:numPr>
          <w:ilvl w:val="1"/>
          <w:numId w:val="4"/>
        </w:numPr>
      </w:pPr>
      <w:r w:rsidRPr="00E761B1">
        <w:rPr>
          <w:b/>
          <w:bCs/>
        </w:rPr>
        <w:t>Modularer Monolith:</w:t>
      </w:r>
      <w:r w:rsidRPr="00E761B1">
        <w:t xml:space="preserve"> Etwas längere Entwicklungszeit durch Modularisierung, aber bessere Wartbarkeit.</w:t>
      </w:r>
    </w:p>
    <w:p w14:paraId="62986609" w14:textId="77777777" w:rsidR="00E761B1" w:rsidRPr="00E761B1" w:rsidRDefault="00E761B1" w:rsidP="00E761B1">
      <w:pPr>
        <w:numPr>
          <w:ilvl w:val="1"/>
          <w:numId w:val="4"/>
        </w:numPr>
      </w:pPr>
      <w:r w:rsidRPr="00E761B1">
        <w:rPr>
          <w:b/>
          <w:bCs/>
        </w:rPr>
        <w:t>Microservices:</w:t>
      </w:r>
      <w:r w:rsidRPr="00E761B1">
        <w:t xml:space="preserve"> Längere Entwicklungszeit durch erhöhte Komplexität.</w:t>
      </w:r>
    </w:p>
    <w:p w14:paraId="0B8F448F" w14:textId="77777777" w:rsidR="00E761B1" w:rsidRPr="00E761B1" w:rsidRDefault="00E761B1" w:rsidP="00E761B1">
      <w:pPr>
        <w:numPr>
          <w:ilvl w:val="0"/>
          <w:numId w:val="4"/>
        </w:numPr>
      </w:pPr>
      <w:r w:rsidRPr="00E761B1">
        <w:rPr>
          <w:b/>
          <w:bCs/>
        </w:rPr>
        <w:t>Kosten:</w:t>
      </w:r>
    </w:p>
    <w:p w14:paraId="1245DAE6" w14:textId="77777777" w:rsidR="00E761B1" w:rsidRPr="00E761B1" w:rsidRDefault="00E761B1" w:rsidP="00E761B1">
      <w:pPr>
        <w:numPr>
          <w:ilvl w:val="1"/>
          <w:numId w:val="4"/>
        </w:numPr>
      </w:pPr>
      <w:r w:rsidRPr="00E761B1">
        <w:rPr>
          <w:b/>
          <w:bCs/>
        </w:rPr>
        <w:t>Monolith:</w:t>
      </w:r>
      <w:r w:rsidRPr="00E761B1">
        <w:t xml:space="preserve"> Geringste Kosten für Entwicklung und Infrastruktur.</w:t>
      </w:r>
    </w:p>
    <w:p w14:paraId="1CEB5ED5" w14:textId="77777777" w:rsidR="00E761B1" w:rsidRPr="00E761B1" w:rsidRDefault="00E761B1" w:rsidP="00E761B1">
      <w:pPr>
        <w:numPr>
          <w:ilvl w:val="1"/>
          <w:numId w:val="4"/>
        </w:numPr>
      </w:pPr>
      <w:r w:rsidRPr="00E761B1">
        <w:rPr>
          <w:b/>
          <w:bCs/>
        </w:rPr>
        <w:t>Modularer Monolith:</w:t>
      </w:r>
      <w:r w:rsidRPr="00E761B1">
        <w:t xml:space="preserve"> Moderate Kosten durch erhöhte Entwicklungsaufwände.</w:t>
      </w:r>
    </w:p>
    <w:p w14:paraId="0CA1CA7A" w14:textId="77777777" w:rsidR="00E761B1" w:rsidRPr="00E761B1" w:rsidRDefault="00E761B1" w:rsidP="00E761B1">
      <w:pPr>
        <w:numPr>
          <w:ilvl w:val="1"/>
          <w:numId w:val="4"/>
        </w:numPr>
      </w:pPr>
      <w:r w:rsidRPr="00E761B1">
        <w:rPr>
          <w:b/>
          <w:bCs/>
        </w:rPr>
        <w:t>Microservices:</w:t>
      </w:r>
      <w:r w:rsidRPr="00E761B1">
        <w:t xml:space="preserve"> Höchste Kosten durch komplexe Infrastruktur und spezialisierte Teams.</w:t>
      </w:r>
    </w:p>
    <w:p w14:paraId="35E16D88" w14:textId="77777777" w:rsidR="00E761B1" w:rsidRPr="00E761B1" w:rsidRDefault="00E761B1" w:rsidP="00E761B1">
      <w:r w:rsidRPr="00E761B1">
        <w:pict w14:anchorId="60BD13BF">
          <v:rect id="_x0000_i1031" style="width:0;height:1.5pt" o:hralign="center" o:hrstd="t" o:hr="t" fillcolor="#a0a0a0" stroked="f"/>
        </w:pict>
      </w:r>
    </w:p>
    <w:p w14:paraId="2433D1A0" w14:textId="77777777" w:rsidR="00E761B1" w:rsidRPr="00E761B1" w:rsidRDefault="00E761B1" w:rsidP="00E761B1">
      <w:pPr>
        <w:rPr>
          <w:b/>
          <w:bCs/>
        </w:rPr>
      </w:pPr>
      <w:r w:rsidRPr="00E761B1">
        <w:rPr>
          <w:b/>
          <w:bCs/>
        </w:rPr>
        <w:t>Beispielanwendungen</w:t>
      </w:r>
    </w:p>
    <w:p w14:paraId="72FDAB15" w14:textId="77777777" w:rsidR="00E761B1" w:rsidRPr="00E761B1" w:rsidRDefault="00E761B1" w:rsidP="00E761B1">
      <w:pPr>
        <w:numPr>
          <w:ilvl w:val="0"/>
          <w:numId w:val="5"/>
        </w:numPr>
      </w:pPr>
      <w:r w:rsidRPr="00E761B1">
        <w:rPr>
          <w:b/>
          <w:bCs/>
        </w:rPr>
        <w:t>Monolith:</w:t>
      </w:r>
      <w:r w:rsidRPr="00E761B1">
        <w:t xml:space="preserve"> Eine kleine E-Commerce-Website mit begrenzten Benutzerzahlen und Funktionen.</w:t>
      </w:r>
    </w:p>
    <w:p w14:paraId="08993B2B" w14:textId="77777777" w:rsidR="00E761B1" w:rsidRPr="00E761B1" w:rsidRDefault="00E761B1" w:rsidP="00E761B1">
      <w:pPr>
        <w:numPr>
          <w:ilvl w:val="0"/>
          <w:numId w:val="5"/>
        </w:numPr>
      </w:pPr>
      <w:r w:rsidRPr="00E761B1">
        <w:rPr>
          <w:b/>
          <w:bCs/>
        </w:rPr>
        <w:t>Modularer Monolith:</w:t>
      </w:r>
      <w:r w:rsidRPr="00E761B1">
        <w:t xml:space="preserve"> Ein mittelgroßes CRM-System, bei dem verschiedene Teams Module wie Kundenverwaltung und Reporting entwickeln.</w:t>
      </w:r>
    </w:p>
    <w:p w14:paraId="797FA1E1" w14:textId="77777777" w:rsidR="00E761B1" w:rsidRPr="00E761B1" w:rsidRDefault="00E761B1" w:rsidP="00E761B1">
      <w:pPr>
        <w:numPr>
          <w:ilvl w:val="0"/>
          <w:numId w:val="5"/>
        </w:numPr>
      </w:pPr>
      <w:r w:rsidRPr="00E761B1">
        <w:rPr>
          <w:b/>
          <w:bCs/>
        </w:rPr>
        <w:t>Microservices:</w:t>
      </w:r>
      <w:r w:rsidRPr="00E761B1">
        <w:t xml:space="preserve"> Eine globale Streaming-Plattform (z. B. Netflix), die hohe Skalierbarkeit und unabhängige Serviceentwicklung erfordert.</w:t>
      </w:r>
    </w:p>
    <w:p w14:paraId="21E74610" w14:textId="77777777" w:rsidR="00E761B1" w:rsidRDefault="00E761B1" w:rsidP="00E761B1"/>
    <w:sectPr w:rsidR="00E761B1">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E1CE1"/>
    <w:multiLevelType w:val="multilevel"/>
    <w:tmpl w:val="0F56B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83FD8"/>
    <w:multiLevelType w:val="multilevel"/>
    <w:tmpl w:val="EEBE8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C57AB1"/>
    <w:multiLevelType w:val="multilevel"/>
    <w:tmpl w:val="6A909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B23195"/>
    <w:multiLevelType w:val="multilevel"/>
    <w:tmpl w:val="DAB85E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7C7FF0"/>
    <w:multiLevelType w:val="multilevel"/>
    <w:tmpl w:val="D61A64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0348136">
    <w:abstractNumId w:val="3"/>
  </w:num>
  <w:num w:numId="2" w16cid:durableId="777414646">
    <w:abstractNumId w:val="1"/>
  </w:num>
  <w:num w:numId="3" w16cid:durableId="360326065">
    <w:abstractNumId w:val="0"/>
  </w:num>
  <w:num w:numId="4" w16cid:durableId="801267565">
    <w:abstractNumId w:val="4"/>
  </w:num>
  <w:num w:numId="5" w16cid:durableId="17175111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305"/>
    <w:rsid w:val="0003586F"/>
    <w:rsid w:val="00036DD9"/>
    <w:rsid w:val="00466305"/>
    <w:rsid w:val="008920BB"/>
    <w:rsid w:val="009F2551"/>
    <w:rsid w:val="00AD3E50"/>
    <w:rsid w:val="00C71FEE"/>
    <w:rsid w:val="00E761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AB84A"/>
  <w15:chartTrackingRefBased/>
  <w15:docId w15:val="{954696D7-B404-4EDC-8A47-FC0509B5F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6630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semiHidden/>
    <w:unhideWhenUsed/>
    <w:qFormat/>
    <w:rsid w:val="0046630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466305"/>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466305"/>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466305"/>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466305"/>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66305"/>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66305"/>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66305"/>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66305"/>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semiHidden/>
    <w:rsid w:val="00466305"/>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466305"/>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466305"/>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466305"/>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466305"/>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66305"/>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66305"/>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66305"/>
    <w:rPr>
      <w:rFonts w:eastAsiaTheme="majorEastAsia" w:cstheme="majorBidi"/>
      <w:color w:val="272727" w:themeColor="text1" w:themeTint="D8"/>
    </w:rPr>
  </w:style>
  <w:style w:type="paragraph" w:styleId="Titel">
    <w:name w:val="Title"/>
    <w:basedOn w:val="Standard"/>
    <w:next w:val="Standard"/>
    <w:link w:val="TitelZchn"/>
    <w:uiPriority w:val="10"/>
    <w:qFormat/>
    <w:rsid w:val="004663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6630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66305"/>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66305"/>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66305"/>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66305"/>
    <w:rPr>
      <w:i/>
      <w:iCs/>
      <w:color w:val="404040" w:themeColor="text1" w:themeTint="BF"/>
    </w:rPr>
  </w:style>
  <w:style w:type="paragraph" w:styleId="Listenabsatz">
    <w:name w:val="List Paragraph"/>
    <w:basedOn w:val="Standard"/>
    <w:uiPriority w:val="34"/>
    <w:qFormat/>
    <w:rsid w:val="00466305"/>
    <w:pPr>
      <w:ind w:left="720"/>
      <w:contextualSpacing/>
    </w:pPr>
  </w:style>
  <w:style w:type="character" w:styleId="IntensiveHervorhebung">
    <w:name w:val="Intense Emphasis"/>
    <w:basedOn w:val="Absatz-Standardschriftart"/>
    <w:uiPriority w:val="21"/>
    <w:qFormat/>
    <w:rsid w:val="00466305"/>
    <w:rPr>
      <w:i/>
      <w:iCs/>
      <w:color w:val="2F5496" w:themeColor="accent1" w:themeShade="BF"/>
    </w:rPr>
  </w:style>
  <w:style w:type="paragraph" w:styleId="IntensivesZitat">
    <w:name w:val="Intense Quote"/>
    <w:basedOn w:val="Standard"/>
    <w:next w:val="Standard"/>
    <w:link w:val="IntensivesZitatZchn"/>
    <w:uiPriority w:val="30"/>
    <w:qFormat/>
    <w:rsid w:val="0046630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466305"/>
    <w:rPr>
      <w:i/>
      <w:iCs/>
      <w:color w:val="2F5496" w:themeColor="accent1" w:themeShade="BF"/>
    </w:rPr>
  </w:style>
  <w:style w:type="character" w:styleId="IntensiverVerweis">
    <w:name w:val="Intense Reference"/>
    <w:basedOn w:val="Absatz-Standardschriftart"/>
    <w:uiPriority w:val="32"/>
    <w:qFormat/>
    <w:rsid w:val="00466305"/>
    <w:rPr>
      <w:b/>
      <w:bCs/>
      <w:smallCaps/>
      <w:color w:val="2F5496" w:themeColor="accent1" w:themeShade="BF"/>
      <w:spacing w:val="5"/>
    </w:rPr>
  </w:style>
  <w:style w:type="character" w:styleId="Hyperlink">
    <w:name w:val="Hyperlink"/>
    <w:basedOn w:val="Absatz-Standardschriftart"/>
    <w:uiPriority w:val="99"/>
    <w:unhideWhenUsed/>
    <w:rsid w:val="00AD3E50"/>
    <w:rPr>
      <w:color w:val="0563C1" w:themeColor="hyperlink"/>
      <w:u w:val="single"/>
    </w:rPr>
  </w:style>
  <w:style w:type="character" w:styleId="NichtaufgelsteErwhnung">
    <w:name w:val="Unresolved Mention"/>
    <w:basedOn w:val="Absatz-Standardschriftart"/>
    <w:uiPriority w:val="99"/>
    <w:semiHidden/>
    <w:unhideWhenUsed/>
    <w:rsid w:val="00AD3E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9728737">
      <w:bodyDiv w:val="1"/>
      <w:marLeft w:val="0"/>
      <w:marRight w:val="0"/>
      <w:marTop w:val="0"/>
      <w:marBottom w:val="0"/>
      <w:divBdr>
        <w:top w:val="none" w:sz="0" w:space="0" w:color="auto"/>
        <w:left w:val="none" w:sz="0" w:space="0" w:color="auto"/>
        <w:bottom w:val="none" w:sz="0" w:space="0" w:color="auto"/>
        <w:right w:val="none" w:sz="0" w:space="0" w:color="auto"/>
      </w:divBdr>
    </w:div>
    <w:div w:id="526482915">
      <w:bodyDiv w:val="1"/>
      <w:marLeft w:val="0"/>
      <w:marRight w:val="0"/>
      <w:marTop w:val="0"/>
      <w:marBottom w:val="0"/>
      <w:divBdr>
        <w:top w:val="none" w:sz="0" w:space="0" w:color="auto"/>
        <w:left w:val="none" w:sz="0" w:space="0" w:color="auto"/>
        <w:bottom w:val="none" w:sz="0" w:space="0" w:color="auto"/>
        <w:right w:val="none" w:sz="0" w:space="0" w:color="auto"/>
      </w:divBdr>
      <w:divsChild>
        <w:div w:id="462307307">
          <w:marLeft w:val="0"/>
          <w:marRight w:val="0"/>
          <w:marTop w:val="0"/>
          <w:marBottom w:val="0"/>
          <w:divBdr>
            <w:top w:val="none" w:sz="0" w:space="0" w:color="auto"/>
            <w:left w:val="none" w:sz="0" w:space="0" w:color="auto"/>
            <w:bottom w:val="none" w:sz="0" w:space="0" w:color="auto"/>
            <w:right w:val="none" w:sz="0" w:space="0" w:color="auto"/>
          </w:divBdr>
        </w:div>
        <w:div w:id="746421915">
          <w:marLeft w:val="0"/>
          <w:marRight w:val="0"/>
          <w:marTop w:val="0"/>
          <w:marBottom w:val="0"/>
          <w:divBdr>
            <w:top w:val="none" w:sz="0" w:space="0" w:color="auto"/>
            <w:left w:val="none" w:sz="0" w:space="0" w:color="auto"/>
            <w:bottom w:val="none" w:sz="0" w:space="0" w:color="auto"/>
            <w:right w:val="none" w:sz="0" w:space="0" w:color="auto"/>
          </w:divBdr>
        </w:div>
      </w:divsChild>
    </w:div>
    <w:div w:id="936331016">
      <w:bodyDiv w:val="1"/>
      <w:marLeft w:val="0"/>
      <w:marRight w:val="0"/>
      <w:marTop w:val="0"/>
      <w:marBottom w:val="0"/>
      <w:divBdr>
        <w:top w:val="none" w:sz="0" w:space="0" w:color="auto"/>
        <w:left w:val="none" w:sz="0" w:space="0" w:color="auto"/>
        <w:bottom w:val="none" w:sz="0" w:space="0" w:color="auto"/>
        <w:right w:val="none" w:sz="0" w:space="0" w:color="auto"/>
      </w:divBdr>
    </w:div>
    <w:div w:id="1399592484">
      <w:bodyDiv w:val="1"/>
      <w:marLeft w:val="0"/>
      <w:marRight w:val="0"/>
      <w:marTop w:val="0"/>
      <w:marBottom w:val="0"/>
      <w:divBdr>
        <w:top w:val="none" w:sz="0" w:space="0" w:color="auto"/>
        <w:left w:val="none" w:sz="0" w:space="0" w:color="auto"/>
        <w:bottom w:val="none" w:sz="0" w:space="0" w:color="auto"/>
        <w:right w:val="none" w:sz="0" w:space="0" w:color="auto"/>
      </w:divBdr>
    </w:div>
    <w:div w:id="1539704967">
      <w:bodyDiv w:val="1"/>
      <w:marLeft w:val="0"/>
      <w:marRight w:val="0"/>
      <w:marTop w:val="0"/>
      <w:marBottom w:val="0"/>
      <w:divBdr>
        <w:top w:val="none" w:sz="0" w:space="0" w:color="auto"/>
        <w:left w:val="none" w:sz="0" w:space="0" w:color="auto"/>
        <w:bottom w:val="none" w:sz="0" w:space="0" w:color="auto"/>
        <w:right w:val="none" w:sz="0" w:space="0" w:color="auto"/>
      </w:divBdr>
      <w:divsChild>
        <w:div w:id="1018309244">
          <w:marLeft w:val="0"/>
          <w:marRight w:val="0"/>
          <w:marTop w:val="0"/>
          <w:marBottom w:val="0"/>
          <w:divBdr>
            <w:top w:val="none" w:sz="0" w:space="0" w:color="auto"/>
            <w:left w:val="none" w:sz="0" w:space="0" w:color="auto"/>
            <w:bottom w:val="none" w:sz="0" w:space="0" w:color="auto"/>
            <w:right w:val="none" w:sz="0" w:space="0" w:color="auto"/>
          </w:divBdr>
        </w:div>
        <w:div w:id="2047371765">
          <w:marLeft w:val="0"/>
          <w:marRight w:val="0"/>
          <w:marTop w:val="0"/>
          <w:marBottom w:val="0"/>
          <w:divBdr>
            <w:top w:val="none" w:sz="0" w:space="0" w:color="auto"/>
            <w:left w:val="none" w:sz="0" w:space="0" w:color="auto"/>
            <w:bottom w:val="none" w:sz="0" w:space="0" w:color="auto"/>
            <w:right w:val="none" w:sz="0" w:space="0" w:color="auto"/>
          </w:divBdr>
        </w:div>
      </w:divsChild>
    </w:div>
    <w:div w:id="1708486666">
      <w:bodyDiv w:val="1"/>
      <w:marLeft w:val="0"/>
      <w:marRight w:val="0"/>
      <w:marTop w:val="0"/>
      <w:marBottom w:val="0"/>
      <w:divBdr>
        <w:top w:val="none" w:sz="0" w:space="0" w:color="auto"/>
        <w:left w:val="none" w:sz="0" w:space="0" w:color="auto"/>
        <w:bottom w:val="none" w:sz="0" w:space="0" w:color="auto"/>
        <w:right w:val="none" w:sz="0" w:space="0" w:color="auto"/>
      </w:divBdr>
    </w:div>
    <w:div w:id="1977711277">
      <w:bodyDiv w:val="1"/>
      <w:marLeft w:val="0"/>
      <w:marRight w:val="0"/>
      <w:marTop w:val="0"/>
      <w:marBottom w:val="0"/>
      <w:divBdr>
        <w:top w:val="none" w:sz="0" w:space="0" w:color="auto"/>
        <w:left w:val="none" w:sz="0" w:space="0" w:color="auto"/>
        <w:bottom w:val="none" w:sz="0" w:space="0" w:color="auto"/>
        <w:right w:val="none" w:sz="0" w:space="0" w:color="auto"/>
      </w:divBdr>
    </w:div>
    <w:div w:id="2115244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remio.com/wiki/pacelc-theorem/?utm_source=chatgpt.com" TargetMode="External"/><Relationship Id="rId5" Type="http://schemas.openxmlformats.org/officeDocument/2006/relationships/hyperlink" Target="https://en.wikipedia.org/wiki/PACELC_theorem?utm_source=chatgp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907</Words>
  <Characters>5721</Characters>
  <Application>Microsoft Office Word</Application>
  <DocSecurity>0</DocSecurity>
  <Lines>47</Lines>
  <Paragraphs>13</Paragraphs>
  <ScaleCrop>false</ScaleCrop>
  <Company/>
  <LinksUpToDate>false</LinksUpToDate>
  <CharactersWithSpaces>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Janzen, Jonathan</dc:creator>
  <cp:keywords/>
  <dc:description/>
  <cp:lastModifiedBy>Janzen, Jonathan</cp:lastModifiedBy>
  <cp:revision>3</cp:revision>
  <dcterms:created xsi:type="dcterms:W3CDTF">2024-12-20T20:29:00Z</dcterms:created>
  <dcterms:modified xsi:type="dcterms:W3CDTF">2024-12-20T20:33:00Z</dcterms:modified>
</cp:coreProperties>
</file>