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57E9" w14:textId="69912D21" w:rsidR="00A1547D" w:rsidRPr="00A1547D" w:rsidRDefault="00A1547D" w:rsidP="00A1547D">
      <w:pPr>
        <w:rPr>
          <w:rFonts w:ascii="Times New Roman" w:hAnsi="Times New Roman" w:cs="Times New Roman"/>
          <w:b/>
          <w:bCs/>
          <w:sz w:val="22"/>
          <w:szCs w:val="22"/>
        </w:rPr>
      </w:pPr>
      <w:r w:rsidRPr="00A1547D">
        <w:rPr>
          <w:rFonts w:ascii="Times New Roman" w:hAnsi="Times New Roman" w:cs="Times New Roman"/>
          <w:b/>
          <w:bCs/>
          <w:sz w:val="22"/>
          <w:szCs w:val="22"/>
        </w:rPr>
        <w:t xml:space="preserve">CPSC 3720 Assignment #2 - Fall 2025: Sample Project 1: </w:t>
      </w:r>
    </w:p>
    <w:p w14:paraId="46C32E82" w14:textId="559CE4B9" w:rsidR="00A1547D" w:rsidRPr="00A1547D" w:rsidRDefault="00A1547D" w:rsidP="00A1547D">
      <w:pPr>
        <w:rPr>
          <w:rFonts w:ascii="Times New Roman" w:hAnsi="Times New Roman" w:cs="Times New Roman"/>
          <w:b/>
          <w:bCs/>
          <w:sz w:val="22"/>
          <w:szCs w:val="22"/>
        </w:rPr>
      </w:pPr>
      <w:r w:rsidRPr="00A1547D">
        <w:rPr>
          <w:rFonts w:ascii="Times New Roman" w:hAnsi="Times New Roman" w:cs="Times New Roman"/>
          <w:b/>
          <w:bCs/>
          <w:sz w:val="22"/>
          <w:szCs w:val="22"/>
        </w:rPr>
        <w:t xml:space="preserve">Team Members: </w:t>
      </w:r>
    </w:p>
    <w:p w14:paraId="3B24098C" w14:textId="678CF074" w:rsidR="00A1547D" w:rsidRPr="00A1547D" w:rsidRDefault="00A1547D" w:rsidP="00A1547D">
      <w:pPr>
        <w:pStyle w:val="ListParagraph"/>
        <w:numPr>
          <w:ilvl w:val="0"/>
          <w:numId w:val="2"/>
        </w:numPr>
        <w:rPr>
          <w:rFonts w:ascii="Times New Roman" w:hAnsi="Times New Roman" w:cs="Times New Roman"/>
          <w:sz w:val="22"/>
          <w:szCs w:val="22"/>
          <w:lang w:val="en-US"/>
        </w:rPr>
      </w:pPr>
      <w:r w:rsidRPr="00A1547D">
        <w:rPr>
          <w:rFonts w:ascii="Times New Roman" w:hAnsi="Times New Roman" w:cs="Times New Roman"/>
          <w:sz w:val="22"/>
          <w:szCs w:val="22"/>
          <w:lang w:val="en-US"/>
        </w:rPr>
        <w:t xml:space="preserve">Jiwon </w:t>
      </w:r>
      <w:proofErr w:type="gramStart"/>
      <w:r w:rsidRPr="00A1547D">
        <w:rPr>
          <w:rFonts w:ascii="Times New Roman" w:hAnsi="Times New Roman" w:cs="Times New Roman"/>
          <w:sz w:val="22"/>
          <w:szCs w:val="22"/>
          <w:lang w:val="en-US"/>
        </w:rPr>
        <w:t>Jeon :</w:t>
      </w:r>
      <w:proofErr w:type="gramEnd"/>
      <w:r w:rsidRPr="00A1547D">
        <w:rPr>
          <w:rFonts w:ascii="Times New Roman" w:hAnsi="Times New Roman" w:cs="Times New Roman"/>
          <w:sz w:val="22"/>
          <w:szCs w:val="22"/>
          <w:lang w:val="en-US"/>
        </w:rPr>
        <w:t xml:space="preserve"> Data Analysis &amp; Visualization &amp; Report Design</w:t>
      </w:r>
    </w:p>
    <w:p w14:paraId="27E12E6D" w14:textId="3717D072" w:rsidR="00A1547D" w:rsidRDefault="00A1547D" w:rsidP="00A1547D">
      <w:pPr>
        <w:pStyle w:val="ListParagraph"/>
        <w:numPr>
          <w:ilvl w:val="0"/>
          <w:numId w:val="2"/>
        </w:numPr>
        <w:rPr>
          <w:rFonts w:ascii="Times New Roman" w:hAnsi="Times New Roman" w:cs="Times New Roman"/>
          <w:sz w:val="22"/>
          <w:szCs w:val="22"/>
          <w:lang w:val="en-US"/>
        </w:rPr>
      </w:pPr>
      <w:r w:rsidRPr="00A1547D">
        <w:rPr>
          <w:rFonts w:ascii="Times New Roman" w:hAnsi="Times New Roman" w:cs="Times New Roman"/>
          <w:sz w:val="22"/>
          <w:szCs w:val="22"/>
          <w:lang w:val="en-US"/>
        </w:rPr>
        <w:t xml:space="preserve">Chloe </w:t>
      </w:r>
      <w:proofErr w:type="gramStart"/>
      <w:r w:rsidRPr="00A1547D">
        <w:rPr>
          <w:rFonts w:ascii="Times New Roman" w:hAnsi="Times New Roman" w:cs="Times New Roman"/>
          <w:sz w:val="22"/>
          <w:szCs w:val="22"/>
          <w:lang w:val="en-US"/>
        </w:rPr>
        <w:t>Lee :</w:t>
      </w:r>
      <w:proofErr w:type="gramEnd"/>
      <w:r w:rsidRPr="00A1547D">
        <w:rPr>
          <w:rFonts w:ascii="Times New Roman" w:hAnsi="Times New Roman" w:cs="Times New Roman"/>
          <w:sz w:val="22"/>
          <w:szCs w:val="22"/>
          <w:lang w:val="en-US"/>
        </w:rPr>
        <w:t xml:space="preserve"> Data Processing &amp; Computation &amp; Documentation</w:t>
      </w:r>
    </w:p>
    <w:p w14:paraId="6AE6C6FA" w14:textId="77777777" w:rsidR="00A1547D" w:rsidRPr="00A1547D" w:rsidRDefault="00A1547D" w:rsidP="00A1547D">
      <w:pPr>
        <w:pStyle w:val="ListParagraph"/>
        <w:rPr>
          <w:rFonts w:ascii="Times New Roman" w:hAnsi="Times New Roman" w:cs="Times New Roman"/>
          <w:sz w:val="22"/>
          <w:szCs w:val="22"/>
          <w:lang w:val="en-US"/>
        </w:rPr>
      </w:pPr>
    </w:p>
    <w:p w14:paraId="0D8471EF" w14:textId="4871E263" w:rsidR="00696F06" w:rsidRPr="00A1547D" w:rsidRDefault="00A1547D" w:rsidP="00A1547D">
      <w:pPr>
        <w:pStyle w:val="ListParagraph"/>
        <w:numPr>
          <w:ilvl w:val="0"/>
          <w:numId w:val="4"/>
        </w:numPr>
        <w:rPr>
          <w:rFonts w:ascii="Times New Roman" w:hAnsi="Times New Roman" w:cs="Times New Roman"/>
          <w:b/>
          <w:bCs/>
          <w:sz w:val="22"/>
          <w:szCs w:val="22"/>
          <w:lang w:val="en-US"/>
        </w:rPr>
      </w:pPr>
      <w:r w:rsidRPr="00A1547D">
        <w:rPr>
          <w:rFonts w:ascii="Times New Roman" w:hAnsi="Times New Roman" w:cs="Times New Roman"/>
          <w:b/>
          <w:bCs/>
          <w:sz w:val="22"/>
          <w:szCs w:val="22"/>
          <w:lang w:val="en-US"/>
        </w:rPr>
        <w:t>Requirement Analysis</w:t>
      </w:r>
    </w:p>
    <w:p w14:paraId="33639F1C" w14:textId="2CF44D23" w:rsidR="00A1547D" w:rsidRDefault="00A1547D" w:rsidP="00A1547D">
      <w:pPr>
        <w:pStyle w:val="p1"/>
        <w:rPr>
          <w:sz w:val="22"/>
          <w:szCs w:val="22"/>
        </w:rPr>
      </w:pPr>
      <w:r w:rsidRPr="00A1547D">
        <w:rPr>
          <w:sz w:val="22"/>
          <w:szCs w:val="22"/>
        </w:rPr>
        <w:t>Renewable energy generation in Alberta, particularly solar and wind, introduces operational uncertainty due to weather variability. This project analyzes the forecast accuracy of renewable generation and evaluates how prediction errors affect grid stability.</w:t>
      </w:r>
      <w:r>
        <w:rPr>
          <w:rFonts w:ascii="Batang" w:eastAsia="Batang" w:hAnsi="Batang" w:cs="Batang" w:hint="eastAsia"/>
          <w:sz w:val="22"/>
          <w:szCs w:val="22"/>
        </w:rPr>
        <w:t xml:space="preserve"> </w:t>
      </w:r>
      <w:r w:rsidRPr="00A1547D">
        <w:rPr>
          <w:sz w:val="22"/>
          <w:szCs w:val="22"/>
        </w:rPr>
        <w:t xml:space="preserve">Datasets from the </w:t>
      </w:r>
      <w:r w:rsidRPr="00A1547D">
        <w:rPr>
          <w:rStyle w:val="s1"/>
          <w:rFonts w:eastAsiaTheme="majorEastAsia"/>
          <w:b/>
          <w:bCs/>
          <w:sz w:val="22"/>
          <w:szCs w:val="22"/>
        </w:rPr>
        <w:t>Alberta Electric System Operator (AESO)</w:t>
      </w:r>
      <w:r w:rsidRPr="00A1547D">
        <w:rPr>
          <w:sz w:val="22"/>
          <w:szCs w:val="22"/>
        </w:rPr>
        <w:t xml:space="preserve"> include forecast (OPT, MAX, MIN) and actual generation values for solar and wind, along with total hourly generation for August 2025.</w:t>
      </w:r>
      <w:r>
        <w:rPr>
          <w:rFonts w:hint="eastAsia"/>
          <w:sz w:val="22"/>
          <w:szCs w:val="22"/>
        </w:rPr>
        <w:t xml:space="preserve"> </w:t>
      </w:r>
      <w:r w:rsidRPr="00A1547D">
        <w:rPr>
          <w:sz w:val="22"/>
          <w:szCs w:val="22"/>
        </w:rPr>
        <w:t>The objective is to calculate error metrics (MAPE, MAE), identify time-of-day patterns, and determine correlations between forecast errors and total supply variability.</w:t>
      </w:r>
    </w:p>
    <w:p w14:paraId="70283E1D" w14:textId="2E4ABF5F" w:rsidR="00A1547D" w:rsidRPr="00A1547D" w:rsidRDefault="00A1547D" w:rsidP="00A1547D">
      <w:pPr>
        <w:pStyle w:val="p1"/>
        <w:numPr>
          <w:ilvl w:val="0"/>
          <w:numId w:val="4"/>
        </w:numPr>
        <w:rPr>
          <w:b/>
          <w:bCs/>
          <w:sz w:val="22"/>
          <w:szCs w:val="22"/>
        </w:rPr>
      </w:pPr>
      <w:r w:rsidRPr="00A1547D">
        <w:rPr>
          <w:b/>
          <w:bCs/>
          <w:sz w:val="22"/>
          <w:szCs w:val="22"/>
        </w:rPr>
        <w:t>System Modeling</w:t>
      </w:r>
    </w:p>
    <w:p w14:paraId="79171722" w14:textId="77777777" w:rsidR="00A1547D" w:rsidRPr="00A1547D" w:rsidRDefault="00A1547D" w:rsidP="00A1547D">
      <w:pPr>
        <w:pStyle w:val="p1"/>
        <w:rPr>
          <w:sz w:val="22"/>
          <w:szCs w:val="22"/>
        </w:rPr>
      </w:pPr>
      <w:r w:rsidRPr="00A1547D">
        <w:rPr>
          <w:sz w:val="22"/>
          <w:szCs w:val="22"/>
        </w:rPr>
        <w:t>Data Flow Overview:</w:t>
      </w:r>
    </w:p>
    <w:p w14:paraId="05DF6AB7" w14:textId="57E1B6BB" w:rsidR="00A1547D" w:rsidRPr="00A1547D" w:rsidRDefault="00A1547D" w:rsidP="00A1547D">
      <w:pPr>
        <w:pStyle w:val="p1"/>
        <w:numPr>
          <w:ilvl w:val="0"/>
          <w:numId w:val="5"/>
        </w:numPr>
        <w:rPr>
          <w:sz w:val="22"/>
          <w:szCs w:val="22"/>
        </w:rPr>
      </w:pPr>
      <w:r w:rsidRPr="00A1547D">
        <w:rPr>
          <w:sz w:val="22"/>
          <w:szCs w:val="22"/>
        </w:rPr>
        <w:t>Load and clean AESO datasets (Solar, Wind, CSD Generation).</w:t>
      </w:r>
    </w:p>
    <w:p w14:paraId="670DAF97" w14:textId="6CDED86B" w:rsidR="00A1547D" w:rsidRPr="00A1547D" w:rsidRDefault="00A1547D" w:rsidP="00A1547D">
      <w:pPr>
        <w:pStyle w:val="p1"/>
        <w:numPr>
          <w:ilvl w:val="0"/>
          <w:numId w:val="5"/>
        </w:numPr>
        <w:rPr>
          <w:sz w:val="22"/>
          <w:szCs w:val="22"/>
        </w:rPr>
      </w:pPr>
      <w:r w:rsidRPr="00A1547D">
        <w:rPr>
          <w:sz w:val="22"/>
          <w:szCs w:val="22"/>
        </w:rPr>
        <w:t>Merge datasets by timestamp.</w:t>
      </w:r>
    </w:p>
    <w:p w14:paraId="13162E24" w14:textId="68ACF253" w:rsidR="00A1547D" w:rsidRPr="00A1547D" w:rsidRDefault="00A1547D" w:rsidP="00A1547D">
      <w:pPr>
        <w:pStyle w:val="p1"/>
        <w:numPr>
          <w:ilvl w:val="0"/>
          <w:numId w:val="5"/>
        </w:numPr>
        <w:rPr>
          <w:sz w:val="22"/>
          <w:szCs w:val="22"/>
        </w:rPr>
      </w:pPr>
      <w:r w:rsidRPr="00A1547D">
        <w:rPr>
          <w:sz w:val="22"/>
          <w:szCs w:val="22"/>
        </w:rPr>
        <w:t>Compute forecast-error metrics.</w:t>
      </w:r>
    </w:p>
    <w:p w14:paraId="54F4DF56" w14:textId="243B9FF3" w:rsidR="00A1547D" w:rsidRPr="00A1547D" w:rsidRDefault="00A1547D" w:rsidP="00A1547D">
      <w:pPr>
        <w:pStyle w:val="p1"/>
        <w:numPr>
          <w:ilvl w:val="0"/>
          <w:numId w:val="5"/>
        </w:numPr>
        <w:rPr>
          <w:sz w:val="22"/>
          <w:szCs w:val="22"/>
        </w:rPr>
      </w:pPr>
      <w:r w:rsidRPr="00A1547D">
        <w:rPr>
          <w:sz w:val="22"/>
          <w:szCs w:val="22"/>
        </w:rPr>
        <w:t>Calculate rolling standard deviation of total supply (stability indicator).</w:t>
      </w:r>
    </w:p>
    <w:p w14:paraId="5128D24A" w14:textId="63E2FFD6" w:rsidR="00A1547D" w:rsidRPr="00A1547D" w:rsidRDefault="00A1547D" w:rsidP="00A1547D">
      <w:pPr>
        <w:pStyle w:val="p1"/>
        <w:numPr>
          <w:ilvl w:val="0"/>
          <w:numId w:val="5"/>
        </w:numPr>
        <w:rPr>
          <w:sz w:val="22"/>
          <w:szCs w:val="22"/>
        </w:rPr>
      </w:pPr>
      <w:r w:rsidRPr="00A1547D">
        <w:rPr>
          <w:sz w:val="22"/>
          <w:szCs w:val="22"/>
        </w:rPr>
        <w:t>Visualize results using two subplots with Python (pandas, matplotlib):</w:t>
      </w:r>
    </w:p>
    <w:p w14:paraId="261837E0" w14:textId="57508E50" w:rsidR="00A1547D" w:rsidRPr="00A1547D" w:rsidRDefault="00A1547D" w:rsidP="00A1547D">
      <w:pPr>
        <w:pStyle w:val="p1"/>
        <w:numPr>
          <w:ilvl w:val="0"/>
          <w:numId w:val="10"/>
        </w:numPr>
        <w:rPr>
          <w:sz w:val="22"/>
          <w:szCs w:val="22"/>
        </w:rPr>
      </w:pPr>
      <w:r w:rsidRPr="00A1547D">
        <w:rPr>
          <w:sz w:val="22"/>
          <w:szCs w:val="22"/>
        </w:rPr>
        <w:t>Subplot 1: Solar &amp; Wind Forecast vs Actual (with forecast range shaded).</w:t>
      </w:r>
    </w:p>
    <w:p w14:paraId="0A2461CC" w14:textId="487065DC" w:rsidR="00A1547D" w:rsidRPr="00A1547D" w:rsidRDefault="00A1547D" w:rsidP="00A1547D">
      <w:pPr>
        <w:pStyle w:val="p1"/>
        <w:numPr>
          <w:ilvl w:val="0"/>
          <w:numId w:val="10"/>
        </w:numPr>
        <w:rPr>
          <w:sz w:val="22"/>
          <w:szCs w:val="22"/>
        </w:rPr>
      </w:pPr>
      <w:r w:rsidRPr="00A1547D">
        <w:rPr>
          <w:sz w:val="22"/>
          <w:szCs w:val="22"/>
        </w:rPr>
        <w:t>Subplot 2: Total Supply &amp; Rolling Variability Trend.</w:t>
      </w:r>
    </w:p>
    <w:p w14:paraId="70474965" w14:textId="30C88549" w:rsidR="00A1547D" w:rsidRDefault="00A1547D" w:rsidP="00A1547D">
      <w:pPr>
        <w:pStyle w:val="p1"/>
        <w:numPr>
          <w:ilvl w:val="0"/>
          <w:numId w:val="10"/>
        </w:numPr>
        <w:rPr>
          <w:sz w:val="22"/>
          <w:szCs w:val="22"/>
        </w:rPr>
      </w:pPr>
      <w:r w:rsidRPr="00A1547D">
        <w:rPr>
          <w:rFonts w:hint="eastAsia"/>
          <w:sz w:val="22"/>
          <w:szCs w:val="22"/>
        </w:rPr>
        <w:t>Workflow: Input → Preprocessing → Computation → Visualization → Insight.</w:t>
      </w:r>
    </w:p>
    <w:p w14:paraId="373984E9" w14:textId="2968E87B" w:rsidR="00A1547D" w:rsidRPr="00A1547D" w:rsidRDefault="00A1547D" w:rsidP="00A1547D">
      <w:pPr>
        <w:pStyle w:val="p1"/>
        <w:rPr>
          <w:b/>
          <w:bCs/>
          <w:sz w:val="22"/>
          <w:szCs w:val="22"/>
        </w:rPr>
      </w:pPr>
      <w:r w:rsidRPr="00A1547D">
        <w:rPr>
          <w:b/>
          <w:bCs/>
          <w:sz w:val="22"/>
          <w:szCs w:val="22"/>
        </w:rPr>
        <w:t>3. Requirements Engineering</w:t>
      </w:r>
    </w:p>
    <w:p w14:paraId="34ACA394" w14:textId="77777777" w:rsidR="00A1547D" w:rsidRPr="00A1547D" w:rsidRDefault="00A1547D" w:rsidP="00A1547D">
      <w:pPr>
        <w:pStyle w:val="p1"/>
        <w:rPr>
          <w:sz w:val="22"/>
          <w:szCs w:val="22"/>
        </w:rPr>
      </w:pPr>
      <w:r w:rsidRPr="00A1547D">
        <w:rPr>
          <w:sz w:val="22"/>
          <w:szCs w:val="22"/>
        </w:rPr>
        <w:t>Functional Requirements</w:t>
      </w:r>
    </w:p>
    <w:p w14:paraId="5E0C42CD" w14:textId="3014B11F" w:rsidR="00A1547D" w:rsidRPr="00A1547D" w:rsidRDefault="00A1547D" w:rsidP="00A1547D">
      <w:pPr>
        <w:pStyle w:val="p1"/>
        <w:numPr>
          <w:ilvl w:val="0"/>
          <w:numId w:val="7"/>
        </w:numPr>
        <w:rPr>
          <w:sz w:val="22"/>
          <w:szCs w:val="22"/>
        </w:rPr>
      </w:pPr>
      <w:r w:rsidRPr="00A1547D">
        <w:rPr>
          <w:sz w:val="22"/>
          <w:szCs w:val="22"/>
        </w:rPr>
        <w:t>Load and merge AESO datasets.</w:t>
      </w:r>
    </w:p>
    <w:p w14:paraId="176B8ABE" w14:textId="65FEFFC8" w:rsidR="00A1547D" w:rsidRPr="00A1547D" w:rsidRDefault="00A1547D" w:rsidP="00A1547D">
      <w:pPr>
        <w:pStyle w:val="p1"/>
        <w:numPr>
          <w:ilvl w:val="0"/>
          <w:numId w:val="7"/>
        </w:numPr>
        <w:rPr>
          <w:sz w:val="22"/>
          <w:szCs w:val="22"/>
        </w:rPr>
      </w:pPr>
      <w:r w:rsidRPr="00A1547D">
        <w:rPr>
          <w:sz w:val="22"/>
          <w:szCs w:val="22"/>
        </w:rPr>
        <w:t>Compute MAPE and MAE for forecast accuracy.</w:t>
      </w:r>
    </w:p>
    <w:p w14:paraId="53C617FB" w14:textId="6151B0A8" w:rsidR="00A1547D" w:rsidRPr="00A1547D" w:rsidRDefault="00A1547D" w:rsidP="00A1547D">
      <w:pPr>
        <w:pStyle w:val="p1"/>
        <w:numPr>
          <w:ilvl w:val="0"/>
          <w:numId w:val="7"/>
        </w:numPr>
        <w:rPr>
          <w:sz w:val="22"/>
          <w:szCs w:val="22"/>
        </w:rPr>
      </w:pPr>
      <w:r w:rsidRPr="00A1547D">
        <w:rPr>
          <w:sz w:val="22"/>
          <w:szCs w:val="22"/>
        </w:rPr>
        <w:t>Plot results in two subplots for comparison and clarity.</w:t>
      </w:r>
    </w:p>
    <w:p w14:paraId="7192E4E7" w14:textId="77777777" w:rsidR="00A1547D" w:rsidRPr="00A1547D" w:rsidRDefault="00A1547D" w:rsidP="00A1547D">
      <w:pPr>
        <w:pStyle w:val="p1"/>
        <w:rPr>
          <w:sz w:val="22"/>
          <w:szCs w:val="22"/>
        </w:rPr>
      </w:pPr>
      <w:r w:rsidRPr="00A1547D">
        <w:rPr>
          <w:sz w:val="22"/>
          <w:szCs w:val="22"/>
        </w:rPr>
        <w:t>Non-Functional Requirements</w:t>
      </w:r>
    </w:p>
    <w:p w14:paraId="2B646143" w14:textId="5305DDAF" w:rsidR="00A1547D" w:rsidRPr="00A1547D" w:rsidRDefault="00A1547D" w:rsidP="00A1547D">
      <w:pPr>
        <w:pStyle w:val="p1"/>
        <w:numPr>
          <w:ilvl w:val="0"/>
          <w:numId w:val="9"/>
        </w:numPr>
        <w:rPr>
          <w:sz w:val="22"/>
          <w:szCs w:val="22"/>
        </w:rPr>
      </w:pPr>
      <w:r w:rsidRPr="00A1547D">
        <w:rPr>
          <w:sz w:val="22"/>
          <w:szCs w:val="22"/>
        </w:rPr>
        <w:t>Ensure clarity, reproducibility, and efficiency.</w:t>
      </w:r>
    </w:p>
    <w:p w14:paraId="44F41E08" w14:textId="2D512FC2" w:rsidR="00A1547D" w:rsidRPr="00A1547D" w:rsidRDefault="00A1547D" w:rsidP="00A1547D">
      <w:pPr>
        <w:pStyle w:val="p1"/>
        <w:numPr>
          <w:ilvl w:val="0"/>
          <w:numId w:val="9"/>
        </w:numPr>
        <w:rPr>
          <w:sz w:val="22"/>
          <w:szCs w:val="22"/>
        </w:rPr>
      </w:pPr>
      <w:r w:rsidRPr="00A1547D">
        <w:rPr>
          <w:sz w:val="22"/>
          <w:szCs w:val="22"/>
        </w:rPr>
        <w:t>Provide clear labels, legends, and consistent color schemes.</w:t>
      </w:r>
    </w:p>
    <w:p w14:paraId="6430F8D0" w14:textId="4409A36C" w:rsidR="00A1547D" w:rsidRPr="00A1547D" w:rsidRDefault="00A1547D" w:rsidP="00A1547D">
      <w:pPr>
        <w:pStyle w:val="p1"/>
        <w:numPr>
          <w:ilvl w:val="0"/>
          <w:numId w:val="9"/>
        </w:numPr>
        <w:rPr>
          <w:sz w:val="22"/>
          <w:szCs w:val="22"/>
        </w:rPr>
      </w:pPr>
      <w:r w:rsidRPr="00A1547D">
        <w:rPr>
          <w:sz w:val="22"/>
          <w:szCs w:val="22"/>
        </w:rPr>
        <w:t>Maintain readable layout and scaling for accurate interpretation.</w:t>
      </w:r>
    </w:p>
    <w:p w14:paraId="45C63095" w14:textId="77777777" w:rsidR="00A1547D" w:rsidRPr="00A1547D" w:rsidRDefault="00A1547D" w:rsidP="00A1547D">
      <w:pPr>
        <w:pStyle w:val="p1"/>
        <w:rPr>
          <w:sz w:val="22"/>
          <w:szCs w:val="22"/>
        </w:rPr>
      </w:pPr>
    </w:p>
    <w:p w14:paraId="028F13DC" w14:textId="38AB6DFB" w:rsidR="00A1547D" w:rsidRPr="00A1547D" w:rsidRDefault="00A1547D" w:rsidP="00A1547D">
      <w:pPr>
        <w:pStyle w:val="p1"/>
        <w:rPr>
          <w:b/>
          <w:bCs/>
          <w:sz w:val="22"/>
          <w:szCs w:val="22"/>
        </w:rPr>
      </w:pPr>
      <w:r w:rsidRPr="00A1547D">
        <w:rPr>
          <w:b/>
          <w:bCs/>
          <w:sz w:val="22"/>
          <w:szCs w:val="22"/>
        </w:rPr>
        <w:t>4. Software Evolution</w:t>
      </w:r>
    </w:p>
    <w:p w14:paraId="13DCD7B2" w14:textId="45F988E2" w:rsidR="00A1547D" w:rsidRDefault="00A1547D" w:rsidP="00A1547D">
      <w:pPr>
        <w:pStyle w:val="p1"/>
        <w:rPr>
          <w:sz w:val="22"/>
          <w:szCs w:val="22"/>
        </w:rPr>
      </w:pPr>
      <w:r w:rsidRPr="00A1547D">
        <w:rPr>
          <w:sz w:val="22"/>
          <w:szCs w:val="22"/>
        </w:rPr>
        <w:t>Future improvements may include adding weather variables (e.g., irradiance, wind speed) for correlation analysis, expanding the dataset to a yearly range, and integrating machine-learning models for predictive forecasting. These enhancements would increase accuracy and long-term value.</w:t>
      </w:r>
    </w:p>
    <w:p w14:paraId="031FB2D9" w14:textId="2F97A6B2" w:rsidR="00A1547D" w:rsidRPr="00A1547D" w:rsidRDefault="00A1547D" w:rsidP="00A1547D">
      <w:pPr>
        <w:pStyle w:val="p1"/>
        <w:rPr>
          <w:b/>
          <w:bCs/>
          <w:sz w:val="22"/>
          <w:szCs w:val="22"/>
        </w:rPr>
      </w:pPr>
      <w:r w:rsidRPr="00A1547D">
        <w:rPr>
          <w:b/>
          <w:bCs/>
          <w:sz w:val="22"/>
          <w:szCs w:val="22"/>
        </w:rPr>
        <w:lastRenderedPageBreak/>
        <w:t>Deliverables Summary</w:t>
      </w:r>
    </w:p>
    <w:tbl>
      <w:tblPr>
        <w:tblStyle w:val="TableGrid"/>
        <w:tblW w:w="9776" w:type="dxa"/>
        <w:tblLook w:val="04A0" w:firstRow="1" w:lastRow="0" w:firstColumn="1" w:lastColumn="0" w:noHBand="0" w:noVBand="1"/>
      </w:tblPr>
      <w:tblGrid>
        <w:gridCol w:w="1838"/>
        <w:gridCol w:w="7938"/>
      </w:tblGrid>
      <w:tr w:rsidR="00A1547D" w14:paraId="3053FFE7" w14:textId="77777777" w:rsidTr="00A1547D">
        <w:tc>
          <w:tcPr>
            <w:tcW w:w="1838" w:type="dxa"/>
          </w:tcPr>
          <w:p w14:paraId="3D53F061" w14:textId="46ACEF89" w:rsidR="00A1547D" w:rsidRDefault="00A1547D" w:rsidP="00A1547D">
            <w:pPr>
              <w:pStyle w:val="p1"/>
              <w:rPr>
                <w:sz w:val="22"/>
                <w:szCs w:val="22"/>
              </w:rPr>
            </w:pPr>
            <w:r>
              <w:rPr>
                <w:sz w:val="22"/>
                <w:szCs w:val="22"/>
              </w:rPr>
              <w:t>Item</w:t>
            </w:r>
          </w:p>
        </w:tc>
        <w:tc>
          <w:tcPr>
            <w:tcW w:w="7938" w:type="dxa"/>
          </w:tcPr>
          <w:p w14:paraId="58397BEC" w14:textId="20BA7513" w:rsidR="00A1547D" w:rsidRDefault="00A1547D" w:rsidP="00A1547D">
            <w:pPr>
              <w:pStyle w:val="p1"/>
              <w:rPr>
                <w:sz w:val="22"/>
                <w:szCs w:val="22"/>
              </w:rPr>
            </w:pPr>
            <w:r>
              <w:rPr>
                <w:sz w:val="22"/>
                <w:szCs w:val="22"/>
              </w:rPr>
              <w:t>Description</w:t>
            </w:r>
          </w:p>
        </w:tc>
      </w:tr>
      <w:tr w:rsidR="00A1547D" w14:paraId="1DDE7902" w14:textId="77777777" w:rsidTr="00A1547D">
        <w:tc>
          <w:tcPr>
            <w:tcW w:w="1838" w:type="dxa"/>
          </w:tcPr>
          <w:p w14:paraId="218CFB5D" w14:textId="0ED655AD" w:rsidR="00A1547D" w:rsidRDefault="00A1547D" w:rsidP="00A1547D">
            <w:pPr>
              <w:pStyle w:val="p1"/>
              <w:rPr>
                <w:sz w:val="22"/>
                <w:szCs w:val="22"/>
              </w:rPr>
            </w:pPr>
            <w:r>
              <w:rPr>
                <w:sz w:val="22"/>
                <w:szCs w:val="22"/>
              </w:rPr>
              <w:t>Dataset</w:t>
            </w:r>
          </w:p>
        </w:tc>
        <w:tc>
          <w:tcPr>
            <w:tcW w:w="7938" w:type="dxa"/>
          </w:tcPr>
          <w:p w14:paraId="3893EC56" w14:textId="2E6699BF" w:rsidR="00A1547D" w:rsidRDefault="00A1547D" w:rsidP="00A1547D">
            <w:pPr>
              <w:pStyle w:val="p1"/>
              <w:rPr>
                <w:sz w:val="22"/>
                <w:szCs w:val="22"/>
              </w:rPr>
            </w:pPr>
            <w:r w:rsidRPr="00A1547D">
              <w:rPr>
                <w:sz w:val="22"/>
                <w:szCs w:val="22"/>
              </w:rPr>
              <w:t>AESO Solar, Wind, and CSD Generation (Aug 2025)</w:t>
            </w:r>
          </w:p>
        </w:tc>
      </w:tr>
      <w:tr w:rsidR="00A1547D" w14:paraId="7F20B0CE" w14:textId="77777777" w:rsidTr="00A1547D">
        <w:tc>
          <w:tcPr>
            <w:tcW w:w="1838" w:type="dxa"/>
          </w:tcPr>
          <w:p w14:paraId="7AD50C6D" w14:textId="75C5D97E" w:rsidR="00A1547D" w:rsidRDefault="00A1547D" w:rsidP="00A1547D">
            <w:pPr>
              <w:pStyle w:val="p1"/>
              <w:rPr>
                <w:sz w:val="22"/>
                <w:szCs w:val="22"/>
              </w:rPr>
            </w:pPr>
            <w:r>
              <w:rPr>
                <w:sz w:val="22"/>
                <w:szCs w:val="22"/>
              </w:rPr>
              <w:t>Graph1</w:t>
            </w:r>
          </w:p>
        </w:tc>
        <w:tc>
          <w:tcPr>
            <w:tcW w:w="7938" w:type="dxa"/>
          </w:tcPr>
          <w:p w14:paraId="5A4AB578" w14:textId="426D4932" w:rsidR="00A1547D" w:rsidRDefault="00A1547D" w:rsidP="00A1547D">
            <w:pPr>
              <w:pStyle w:val="p1"/>
              <w:rPr>
                <w:sz w:val="22"/>
                <w:szCs w:val="22"/>
              </w:rPr>
            </w:pPr>
            <w:r w:rsidRPr="00A1547D">
              <w:rPr>
                <w:sz w:val="22"/>
                <w:szCs w:val="22"/>
              </w:rPr>
              <w:t>Forecast vs Actual (Solar &amp; Wind)</w:t>
            </w:r>
          </w:p>
        </w:tc>
      </w:tr>
      <w:tr w:rsidR="00A1547D" w14:paraId="01C22B25" w14:textId="77777777" w:rsidTr="00A1547D">
        <w:tc>
          <w:tcPr>
            <w:tcW w:w="1838" w:type="dxa"/>
          </w:tcPr>
          <w:p w14:paraId="242BC47A" w14:textId="48591AF7" w:rsidR="00A1547D" w:rsidRDefault="00A1547D" w:rsidP="00A1547D">
            <w:pPr>
              <w:pStyle w:val="p1"/>
              <w:rPr>
                <w:sz w:val="22"/>
                <w:szCs w:val="22"/>
              </w:rPr>
            </w:pPr>
            <w:r>
              <w:rPr>
                <w:sz w:val="22"/>
                <w:szCs w:val="22"/>
              </w:rPr>
              <w:t>Graph2</w:t>
            </w:r>
          </w:p>
        </w:tc>
        <w:tc>
          <w:tcPr>
            <w:tcW w:w="7938" w:type="dxa"/>
          </w:tcPr>
          <w:p w14:paraId="3E1D368A" w14:textId="0334D6E7" w:rsidR="00A1547D" w:rsidRDefault="00A1547D" w:rsidP="00A1547D">
            <w:pPr>
              <w:pStyle w:val="p1"/>
              <w:rPr>
                <w:sz w:val="22"/>
                <w:szCs w:val="22"/>
              </w:rPr>
            </w:pPr>
            <w:r w:rsidRPr="00A1547D">
              <w:rPr>
                <w:sz w:val="22"/>
                <w:szCs w:val="22"/>
              </w:rPr>
              <w:t>Total Supply &amp; Rolling Variability</w:t>
            </w:r>
          </w:p>
        </w:tc>
      </w:tr>
      <w:tr w:rsidR="00A1547D" w14:paraId="686F3675" w14:textId="77777777" w:rsidTr="00A1547D">
        <w:tc>
          <w:tcPr>
            <w:tcW w:w="1838" w:type="dxa"/>
          </w:tcPr>
          <w:p w14:paraId="10FDEA35" w14:textId="322A87B2" w:rsidR="00A1547D" w:rsidRDefault="00A1547D" w:rsidP="00A1547D">
            <w:pPr>
              <w:pStyle w:val="p1"/>
              <w:rPr>
                <w:sz w:val="22"/>
                <w:szCs w:val="22"/>
              </w:rPr>
            </w:pPr>
            <w:r>
              <w:rPr>
                <w:sz w:val="22"/>
                <w:szCs w:val="22"/>
              </w:rPr>
              <w:t>Derived Metrics</w:t>
            </w:r>
          </w:p>
        </w:tc>
        <w:tc>
          <w:tcPr>
            <w:tcW w:w="7938" w:type="dxa"/>
          </w:tcPr>
          <w:p w14:paraId="780EBCD5" w14:textId="68DAC86E" w:rsidR="00A1547D" w:rsidRDefault="00A1547D" w:rsidP="00A1547D">
            <w:pPr>
              <w:pStyle w:val="p1"/>
              <w:rPr>
                <w:sz w:val="22"/>
                <w:szCs w:val="22"/>
              </w:rPr>
            </w:pPr>
            <w:r w:rsidRPr="00A1547D">
              <w:rPr>
                <w:sz w:val="22"/>
                <w:szCs w:val="22"/>
              </w:rPr>
              <w:t>Forecast Error (MAPE, MAE), Rolling Standard Deviation</w:t>
            </w:r>
          </w:p>
        </w:tc>
      </w:tr>
      <w:tr w:rsidR="00A1547D" w14:paraId="5E1C0678" w14:textId="77777777" w:rsidTr="00A1547D">
        <w:tc>
          <w:tcPr>
            <w:tcW w:w="1838" w:type="dxa"/>
          </w:tcPr>
          <w:p w14:paraId="0D8902BE" w14:textId="1F219EEA" w:rsidR="00A1547D" w:rsidRDefault="00A1547D" w:rsidP="00A1547D">
            <w:pPr>
              <w:pStyle w:val="p1"/>
              <w:rPr>
                <w:sz w:val="22"/>
                <w:szCs w:val="22"/>
              </w:rPr>
            </w:pPr>
            <w:r>
              <w:rPr>
                <w:sz w:val="22"/>
                <w:szCs w:val="22"/>
              </w:rPr>
              <w:t>Software Tools</w:t>
            </w:r>
          </w:p>
        </w:tc>
        <w:tc>
          <w:tcPr>
            <w:tcW w:w="7938" w:type="dxa"/>
          </w:tcPr>
          <w:p w14:paraId="5C3AFD80" w14:textId="0BEA5BE9" w:rsidR="00A1547D" w:rsidRDefault="00A1547D" w:rsidP="00A1547D">
            <w:pPr>
              <w:pStyle w:val="p1"/>
              <w:rPr>
                <w:sz w:val="22"/>
                <w:szCs w:val="22"/>
              </w:rPr>
            </w:pPr>
            <w:r w:rsidRPr="00A1547D">
              <w:rPr>
                <w:sz w:val="22"/>
                <w:szCs w:val="22"/>
              </w:rPr>
              <w:t>Python (pandas, matplotlib)</w:t>
            </w:r>
          </w:p>
        </w:tc>
      </w:tr>
      <w:tr w:rsidR="00A1547D" w14:paraId="220A438E" w14:textId="77777777" w:rsidTr="00A1547D">
        <w:tc>
          <w:tcPr>
            <w:tcW w:w="1838" w:type="dxa"/>
          </w:tcPr>
          <w:p w14:paraId="743103CE" w14:textId="24848850" w:rsidR="00A1547D" w:rsidRDefault="00A1547D" w:rsidP="00A1547D">
            <w:pPr>
              <w:pStyle w:val="p1"/>
              <w:rPr>
                <w:sz w:val="22"/>
                <w:szCs w:val="22"/>
              </w:rPr>
            </w:pPr>
            <w:r>
              <w:rPr>
                <w:sz w:val="22"/>
                <w:szCs w:val="22"/>
              </w:rPr>
              <w:t>Data Source</w:t>
            </w:r>
          </w:p>
        </w:tc>
        <w:tc>
          <w:tcPr>
            <w:tcW w:w="7938" w:type="dxa"/>
          </w:tcPr>
          <w:p w14:paraId="176BEA5A" w14:textId="6B943BA5" w:rsidR="00A1547D" w:rsidRDefault="00A1547D" w:rsidP="00A1547D">
            <w:pPr>
              <w:pStyle w:val="p1"/>
              <w:rPr>
                <w:sz w:val="22"/>
                <w:szCs w:val="22"/>
              </w:rPr>
            </w:pPr>
            <w:r w:rsidRPr="00A1547D">
              <w:rPr>
                <w:sz w:val="22"/>
                <w:szCs w:val="22"/>
              </w:rPr>
              <w:t>Alberta Electric System Operator (AESO): https://www.aeso.ca/market/operations/</w:t>
            </w:r>
          </w:p>
        </w:tc>
      </w:tr>
    </w:tbl>
    <w:p w14:paraId="013F06A0" w14:textId="77777777" w:rsidR="00A1547D" w:rsidRPr="00A1547D" w:rsidRDefault="00A1547D" w:rsidP="00A1547D">
      <w:pPr>
        <w:pStyle w:val="p1"/>
        <w:rPr>
          <w:sz w:val="22"/>
          <w:szCs w:val="22"/>
        </w:rPr>
      </w:pPr>
    </w:p>
    <w:sectPr w:rsidR="00A1547D" w:rsidRPr="00A1547D" w:rsidSect="00A1547D">
      <w:pgSz w:w="11900" w:h="16840"/>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55"/>
    <w:multiLevelType w:val="hybridMultilevel"/>
    <w:tmpl w:val="87DA34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45787"/>
    <w:multiLevelType w:val="hybridMultilevel"/>
    <w:tmpl w:val="1A24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0656F"/>
    <w:multiLevelType w:val="hybridMultilevel"/>
    <w:tmpl w:val="EDEC1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ED5759"/>
    <w:multiLevelType w:val="hybridMultilevel"/>
    <w:tmpl w:val="F2DC85A8"/>
    <w:lvl w:ilvl="0" w:tplc="0409000F">
      <w:start w:val="1"/>
      <w:numFmt w:val="decimal"/>
      <w:lvlText w:val="%1."/>
      <w:lvlJc w:val="left"/>
      <w:pPr>
        <w:ind w:left="360" w:hanging="360"/>
      </w:pPr>
      <w:rPr>
        <w:rFonts w:hint="default"/>
      </w:rPr>
    </w:lvl>
    <w:lvl w:ilvl="1" w:tplc="DFB00B6C">
      <w:start w:val="5"/>
      <w:numFmt w:val="bullet"/>
      <w:lvlText w:val="•"/>
      <w:lvlJc w:val="left"/>
      <w:pPr>
        <w:ind w:left="1440" w:hanging="72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B707B10"/>
    <w:multiLevelType w:val="hybridMultilevel"/>
    <w:tmpl w:val="2B1C2F5C"/>
    <w:lvl w:ilvl="0" w:tplc="04090001">
      <w:start w:val="1"/>
      <w:numFmt w:val="bullet"/>
      <w:lvlText w:val=""/>
      <w:lvlJc w:val="left"/>
      <w:pPr>
        <w:ind w:left="720" w:hanging="360"/>
      </w:pPr>
      <w:rPr>
        <w:rFonts w:ascii="Symbol" w:hAnsi="Symbol" w:hint="default"/>
      </w:rPr>
    </w:lvl>
    <w:lvl w:ilvl="1" w:tplc="FFFFFFFF">
      <w:start w:val="5"/>
      <w:numFmt w:val="bullet"/>
      <w:lvlText w:val="•"/>
      <w:lvlJc w:val="left"/>
      <w:pPr>
        <w:ind w:left="1800" w:hanging="72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0BE7601"/>
    <w:multiLevelType w:val="hybridMultilevel"/>
    <w:tmpl w:val="88D24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F67C1"/>
    <w:multiLevelType w:val="hybridMultilevel"/>
    <w:tmpl w:val="F43EB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9728EF"/>
    <w:multiLevelType w:val="hybridMultilevel"/>
    <w:tmpl w:val="1C4C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370EFB"/>
    <w:multiLevelType w:val="hybridMultilevel"/>
    <w:tmpl w:val="2F0C6B58"/>
    <w:lvl w:ilvl="0" w:tplc="338ABAF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D904A76"/>
    <w:multiLevelType w:val="hybridMultilevel"/>
    <w:tmpl w:val="B022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702225">
    <w:abstractNumId w:val="6"/>
  </w:num>
  <w:num w:numId="2" w16cid:durableId="779841910">
    <w:abstractNumId w:val="1"/>
  </w:num>
  <w:num w:numId="3" w16cid:durableId="483738157">
    <w:abstractNumId w:val="2"/>
  </w:num>
  <w:num w:numId="4" w16cid:durableId="1314480238">
    <w:abstractNumId w:val="3"/>
  </w:num>
  <w:num w:numId="5" w16cid:durableId="466122785">
    <w:abstractNumId w:val="7"/>
  </w:num>
  <w:num w:numId="6" w16cid:durableId="1232158671">
    <w:abstractNumId w:val="8"/>
  </w:num>
  <w:num w:numId="7" w16cid:durableId="729311170">
    <w:abstractNumId w:val="5"/>
  </w:num>
  <w:num w:numId="8" w16cid:durableId="1280378002">
    <w:abstractNumId w:val="9"/>
  </w:num>
  <w:num w:numId="9" w16cid:durableId="1886403174">
    <w:abstractNumId w:val="4"/>
  </w:num>
  <w:num w:numId="10" w16cid:durableId="171377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01"/>
    <w:rsid w:val="00016987"/>
    <w:rsid w:val="00050740"/>
    <w:rsid w:val="001E2856"/>
    <w:rsid w:val="001E7301"/>
    <w:rsid w:val="00572A0F"/>
    <w:rsid w:val="00696F06"/>
    <w:rsid w:val="008A6D63"/>
    <w:rsid w:val="00A1547D"/>
    <w:rsid w:val="00A36DE3"/>
    <w:rsid w:val="00B14CD9"/>
    <w:rsid w:val="00B3445C"/>
    <w:rsid w:val="00D176F8"/>
    <w:rsid w:val="00F31F2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DDC2"/>
  <w15:chartTrackingRefBased/>
  <w15:docId w15:val="{F132A255-C7CC-9145-90F1-9AA41CD3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7D"/>
    <w:rPr>
      <w:lang w:val="en-CA"/>
    </w:rPr>
  </w:style>
  <w:style w:type="paragraph" w:styleId="Heading1">
    <w:name w:val="heading 1"/>
    <w:basedOn w:val="Normal"/>
    <w:next w:val="Normal"/>
    <w:link w:val="Heading1Char"/>
    <w:uiPriority w:val="9"/>
    <w:qFormat/>
    <w:rsid w:val="001E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7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01"/>
    <w:rPr>
      <w:rFonts w:eastAsiaTheme="majorEastAsia" w:cstheme="majorBidi"/>
      <w:color w:val="272727" w:themeColor="text1" w:themeTint="D8"/>
    </w:rPr>
  </w:style>
  <w:style w:type="paragraph" w:styleId="Title">
    <w:name w:val="Title"/>
    <w:basedOn w:val="Normal"/>
    <w:next w:val="Normal"/>
    <w:link w:val="TitleChar"/>
    <w:uiPriority w:val="10"/>
    <w:qFormat/>
    <w:rsid w:val="001E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01"/>
    <w:pPr>
      <w:spacing w:before="160"/>
      <w:jc w:val="center"/>
    </w:pPr>
    <w:rPr>
      <w:i/>
      <w:iCs/>
      <w:color w:val="404040" w:themeColor="text1" w:themeTint="BF"/>
    </w:rPr>
  </w:style>
  <w:style w:type="character" w:customStyle="1" w:styleId="QuoteChar">
    <w:name w:val="Quote Char"/>
    <w:basedOn w:val="DefaultParagraphFont"/>
    <w:link w:val="Quote"/>
    <w:uiPriority w:val="29"/>
    <w:rsid w:val="001E7301"/>
    <w:rPr>
      <w:i/>
      <w:iCs/>
      <w:color w:val="404040" w:themeColor="text1" w:themeTint="BF"/>
    </w:rPr>
  </w:style>
  <w:style w:type="paragraph" w:styleId="ListParagraph">
    <w:name w:val="List Paragraph"/>
    <w:basedOn w:val="Normal"/>
    <w:uiPriority w:val="34"/>
    <w:qFormat/>
    <w:rsid w:val="001E7301"/>
    <w:pPr>
      <w:ind w:left="720"/>
      <w:contextualSpacing/>
    </w:pPr>
  </w:style>
  <w:style w:type="character" w:styleId="IntenseEmphasis">
    <w:name w:val="Intense Emphasis"/>
    <w:basedOn w:val="DefaultParagraphFont"/>
    <w:uiPriority w:val="21"/>
    <w:qFormat/>
    <w:rsid w:val="001E7301"/>
    <w:rPr>
      <w:i/>
      <w:iCs/>
      <w:color w:val="0F4761" w:themeColor="accent1" w:themeShade="BF"/>
    </w:rPr>
  </w:style>
  <w:style w:type="paragraph" w:styleId="IntenseQuote">
    <w:name w:val="Intense Quote"/>
    <w:basedOn w:val="Normal"/>
    <w:next w:val="Normal"/>
    <w:link w:val="IntenseQuoteChar"/>
    <w:uiPriority w:val="30"/>
    <w:qFormat/>
    <w:rsid w:val="001E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301"/>
    <w:rPr>
      <w:i/>
      <w:iCs/>
      <w:color w:val="0F4761" w:themeColor="accent1" w:themeShade="BF"/>
    </w:rPr>
  </w:style>
  <w:style w:type="character" w:styleId="IntenseReference">
    <w:name w:val="Intense Reference"/>
    <w:basedOn w:val="DefaultParagraphFont"/>
    <w:uiPriority w:val="32"/>
    <w:qFormat/>
    <w:rsid w:val="001E7301"/>
    <w:rPr>
      <w:b/>
      <w:bCs/>
      <w:smallCaps/>
      <w:color w:val="0F4761" w:themeColor="accent1" w:themeShade="BF"/>
      <w:spacing w:val="5"/>
    </w:rPr>
  </w:style>
  <w:style w:type="paragraph" w:customStyle="1" w:styleId="Default">
    <w:name w:val="Default"/>
    <w:rsid w:val="00A1547D"/>
    <w:pPr>
      <w:autoSpaceDE w:val="0"/>
      <w:autoSpaceDN w:val="0"/>
      <w:adjustRightInd w:val="0"/>
      <w:spacing w:after="0" w:line="240" w:lineRule="auto"/>
    </w:pPr>
    <w:rPr>
      <w:rFonts w:ascii="Aptos" w:hAnsi="Aptos" w:cs="Aptos"/>
      <w:color w:val="000000"/>
      <w:kern w:val="0"/>
      <w:lang w:val="en-US"/>
    </w:rPr>
  </w:style>
  <w:style w:type="paragraph" w:customStyle="1" w:styleId="p1">
    <w:name w:val="p1"/>
    <w:basedOn w:val="Normal"/>
    <w:rsid w:val="00A1547D"/>
    <w:pPr>
      <w:spacing w:before="100" w:beforeAutospacing="1" w:after="100" w:afterAutospacing="1" w:line="240" w:lineRule="auto"/>
    </w:pPr>
    <w:rPr>
      <w:rFonts w:ascii="Times New Roman" w:eastAsia="Times New Roman" w:hAnsi="Times New Roman" w:cs="Times New Roman"/>
      <w:kern w:val="0"/>
      <w:lang w:val="en-KR"/>
      <w14:ligatures w14:val="none"/>
    </w:rPr>
  </w:style>
  <w:style w:type="character" w:customStyle="1" w:styleId="s1">
    <w:name w:val="s1"/>
    <w:basedOn w:val="DefaultParagraphFont"/>
    <w:rsid w:val="00A1547D"/>
  </w:style>
  <w:style w:type="table" w:styleId="TableGrid">
    <w:name w:val="Table Grid"/>
    <w:basedOn w:val="TableNormal"/>
    <w:uiPriority w:val="39"/>
    <w:rsid w:val="00A15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Jiwon Jeon</dc:creator>
  <cp:keywords/>
  <dc:description/>
  <cp:lastModifiedBy>Jiwon Jeon</cp:lastModifiedBy>
  <cp:revision>2</cp:revision>
  <dcterms:created xsi:type="dcterms:W3CDTF">2025-10-11T16:53:00Z</dcterms:created>
  <dcterms:modified xsi:type="dcterms:W3CDTF">2025-10-11T17:11:00Z</dcterms:modified>
</cp:coreProperties>
</file>