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61EC" w14:textId="77777777" w:rsidR="00747B96" w:rsidRPr="00AF64F7" w:rsidRDefault="00747B96" w:rsidP="00747B96">
      <w:pPr>
        <w:jc w:val="center"/>
      </w:pPr>
      <w:r w:rsidRPr="00AF64F7">
        <w:t>______________________________________________________________________</w:t>
      </w:r>
    </w:p>
    <w:p w14:paraId="69F34B05" w14:textId="7EF9C751" w:rsidR="00747B96" w:rsidRPr="00AF64F7" w:rsidRDefault="00747B96" w:rsidP="00747B96">
      <w:pPr>
        <w:rPr>
          <w:rFonts w:ascii="Times New Roman" w:hAnsi="Times New Roman"/>
          <w:sz w:val="24"/>
        </w:rPr>
      </w:pPr>
      <w:r w:rsidRPr="00AF64F7">
        <w:rPr>
          <w:smallCaps/>
          <w:noProof/>
          <w:szCs w:val="24"/>
        </w:rPr>
        <w:drawing>
          <wp:anchor distT="0" distB="0" distL="114300" distR="114300" simplePos="0" relativeHeight="251660800" behindDoc="0" locked="0" layoutInCell="1" allowOverlap="0" wp14:anchorId="158322D3" wp14:editId="62DBB604">
            <wp:simplePos x="0" y="0"/>
            <wp:positionH relativeFrom="column">
              <wp:posOffset>0</wp:posOffset>
            </wp:positionH>
            <wp:positionV relativeFrom="paragraph">
              <wp:posOffset>21590</wp:posOffset>
            </wp:positionV>
            <wp:extent cx="508635" cy="391160"/>
            <wp:effectExtent l="1905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8635" cy="391160"/>
                    </a:xfrm>
                    <a:prstGeom prst="rect">
                      <a:avLst/>
                    </a:prstGeom>
                    <a:noFill/>
                    <a:ln w="9525">
                      <a:noFill/>
                      <a:miter lim="800000"/>
                      <a:headEnd/>
                      <a:tailEnd/>
                    </a:ln>
                  </pic:spPr>
                </pic:pic>
              </a:graphicData>
            </a:graphic>
          </wp:anchor>
        </w:drawing>
      </w:r>
      <w:r w:rsidRPr="00AF64F7">
        <w:rPr>
          <w:rFonts w:ascii="Times New Roman" w:hAnsi="Times New Roman"/>
          <w:smallCaps/>
          <w:sz w:val="24"/>
          <w:szCs w:val="24"/>
        </w:rPr>
        <w:t xml:space="preserve">United Nations </w:t>
      </w:r>
      <w:r w:rsidRPr="00AF64F7">
        <w:rPr>
          <w:rFonts w:ascii="Times New Roman" w:hAnsi="Times New Roman"/>
          <w:smallCaps/>
          <w:sz w:val="24"/>
          <w:szCs w:val="24"/>
        </w:rPr>
        <w:br/>
        <w:t>Department of Economic and Social Affairs</w:t>
      </w:r>
    </w:p>
    <w:p w14:paraId="704B5830" w14:textId="5C243E0B" w:rsidR="00747B96" w:rsidRPr="00AF64F7" w:rsidRDefault="00747B96" w:rsidP="00747B96">
      <w:pPr>
        <w:ind w:left="720"/>
        <w:rPr>
          <w:rFonts w:ascii="Times New Roman" w:hAnsi="Times New Roman"/>
          <w:smallCaps/>
          <w:sz w:val="24"/>
          <w:szCs w:val="24"/>
        </w:rPr>
      </w:pPr>
      <w:r w:rsidRPr="00AF64F7">
        <w:rPr>
          <w:rFonts w:ascii="Times New Roman" w:hAnsi="Times New Roman"/>
          <w:smallCaps/>
          <w:sz w:val="28"/>
          <w:szCs w:val="28"/>
        </w:rPr>
        <w:t xml:space="preserve">     Statistics Division</w:t>
      </w:r>
      <w:r w:rsidRPr="00AF64F7">
        <w:rPr>
          <w:rFonts w:ascii="Times New Roman" w:hAnsi="Times New Roman"/>
          <w:smallCaps/>
          <w:sz w:val="28"/>
          <w:szCs w:val="28"/>
        </w:rPr>
        <w:br/>
        <w:t xml:space="preserve">     </w:t>
      </w:r>
      <w:r w:rsidRPr="00AF64F7">
        <w:rPr>
          <w:rFonts w:ascii="Times New Roman" w:hAnsi="Times New Roman"/>
          <w:smallCaps/>
          <w:sz w:val="24"/>
          <w:szCs w:val="24"/>
        </w:rPr>
        <w:t>Economic Statistics Branch</w:t>
      </w:r>
      <w:r w:rsidRPr="00AF64F7">
        <w:rPr>
          <w:rFonts w:ascii="Times New Roman" w:hAnsi="Times New Roman"/>
          <w:smallCaps/>
          <w:sz w:val="24"/>
          <w:szCs w:val="24"/>
        </w:rPr>
        <w:br/>
      </w:r>
      <w:r w:rsidRPr="00AF64F7">
        <w:t>______________________________________________________________________</w:t>
      </w:r>
    </w:p>
    <w:p w14:paraId="52437374" w14:textId="77777777" w:rsidR="0004750A" w:rsidRPr="00AF64F7" w:rsidRDefault="0004750A" w:rsidP="0004750A">
      <w:pPr>
        <w:spacing w:after="0" w:line="240" w:lineRule="auto"/>
        <w:rPr>
          <w:rFonts w:ascii="Arial" w:eastAsia="Times New Roman" w:hAnsi="Arial" w:cs="Times New Roman"/>
          <w:szCs w:val="20"/>
        </w:rPr>
      </w:pPr>
    </w:p>
    <w:p w14:paraId="093223BA" w14:textId="45C49867" w:rsidR="005F044F" w:rsidRPr="00AF64F7" w:rsidRDefault="002A44C7" w:rsidP="005F044F">
      <w:pPr>
        <w:spacing w:line="240" w:lineRule="auto"/>
        <w:jc w:val="center"/>
        <w:rPr>
          <w:rFonts w:ascii="Times New Roman" w:hAnsi="Times New Roman"/>
          <w:smallCaps/>
          <w:sz w:val="24"/>
          <w:szCs w:val="24"/>
        </w:rPr>
      </w:pPr>
      <w:r>
        <w:rPr>
          <w:rFonts w:ascii="Times New Roman" w:hAnsi="Times New Roman"/>
          <w:smallCaps/>
          <w:sz w:val="24"/>
          <w:szCs w:val="24"/>
          <w:lang w:val="en-US"/>
        </w:rPr>
        <w:t>08</w:t>
      </w:r>
      <w:r w:rsidR="00000F9C">
        <w:rPr>
          <w:rFonts w:ascii="Times New Roman" w:hAnsi="Times New Roman"/>
          <w:smallCaps/>
          <w:sz w:val="24"/>
          <w:szCs w:val="24"/>
          <w:lang w:val="en-US"/>
        </w:rPr>
        <w:t xml:space="preserve"> Nov 2018</w:t>
      </w:r>
    </w:p>
    <w:p w14:paraId="63915A14" w14:textId="6D66F894" w:rsidR="005F044F" w:rsidRPr="00AF64F7" w:rsidRDefault="005F044F" w:rsidP="005F044F">
      <w:pPr>
        <w:spacing w:line="240" w:lineRule="auto"/>
        <w:jc w:val="center"/>
        <w:rPr>
          <w:rFonts w:ascii="Times New Roman" w:hAnsi="Times New Roman"/>
          <w:sz w:val="28"/>
          <w:szCs w:val="28"/>
        </w:rPr>
      </w:pPr>
      <w:r w:rsidRPr="00AF64F7">
        <w:rPr>
          <w:rFonts w:ascii="Times New Roman" w:hAnsi="Times New Roman"/>
          <w:sz w:val="28"/>
          <w:szCs w:val="28"/>
        </w:rPr>
        <w:t>Classifications: Broad Economic Categories</w:t>
      </w:r>
    </w:p>
    <w:p w14:paraId="225B3556" w14:textId="1F2DBD84" w:rsidR="00747B96" w:rsidRPr="00AF64F7" w:rsidRDefault="00747B96" w:rsidP="005F044F">
      <w:pPr>
        <w:spacing w:line="240" w:lineRule="auto"/>
        <w:jc w:val="center"/>
        <w:rPr>
          <w:rFonts w:ascii="Times New Roman" w:hAnsi="Times New Roman"/>
          <w:sz w:val="24"/>
          <w:szCs w:val="24"/>
        </w:rPr>
      </w:pPr>
      <w:r w:rsidRPr="00AF64F7">
        <w:rPr>
          <w:rFonts w:ascii="Times New Roman" w:hAnsi="Times New Roman"/>
          <w:sz w:val="24"/>
          <w:szCs w:val="24"/>
        </w:rPr>
        <w:t>Progress on Establishing Correlations</w:t>
      </w:r>
    </w:p>
    <w:p w14:paraId="706310E5" w14:textId="77777777" w:rsidR="005F044F" w:rsidRPr="00AF64F7" w:rsidRDefault="005F044F" w:rsidP="005F044F">
      <w:pPr>
        <w:spacing w:line="240" w:lineRule="auto"/>
        <w:jc w:val="center"/>
        <w:rPr>
          <w:rFonts w:ascii="Times New Roman" w:hAnsi="Times New Roman"/>
          <w:sz w:val="24"/>
          <w:szCs w:val="24"/>
        </w:rPr>
      </w:pPr>
      <w:r w:rsidRPr="00AF64F7">
        <w:rPr>
          <w:rFonts w:ascii="Times New Roman" w:hAnsi="Times New Roman"/>
          <w:sz w:val="24"/>
          <w:szCs w:val="24"/>
        </w:rPr>
        <w:t>Note by UNSD</w:t>
      </w:r>
    </w:p>
    <w:p w14:paraId="5243737E" w14:textId="77777777" w:rsidR="0004750A" w:rsidRPr="00AF64F7" w:rsidRDefault="0004750A" w:rsidP="0004750A">
      <w:pPr>
        <w:spacing w:after="0" w:line="240" w:lineRule="auto"/>
        <w:jc w:val="center"/>
        <w:rPr>
          <w:rFonts w:ascii="Times New Roman" w:eastAsia="Times New Roman" w:hAnsi="Times New Roman" w:cs="Times New Roman"/>
          <w:sz w:val="24"/>
          <w:szCs w:val="24"/>
          <w:lang w:val="en-US"/>
        </w:rPr>
      </w:pPr>
    </w:p>
    <w:p w14:paraId="52437384" w14:textId="70CDE663" w:rsidR="00D47FB1" w:rsidRPr="00AF64F7" w:rsidRDefault="0029624F" w:rsidP="004F4E79">
      <w:pPr>
        <w:tabs>
          <w:tab w:val="left" w:pos="2835"/>
        </w:tabs>
        <w:jc w:val="center"/>
        <w:rPr>
          <w:rFonts w:asciiTheme="majorBidi" w:hAnsiTheme="majorBidi" w:cstheme="majorBidi"/>
          <w:b/>
          <w:bCs/>
          <w:sz w:val="24"/>
          <w:szCs w:val="24"/>
        </w:rPr>
      </w:pPr>
      <w:r w:rsidRPr="00AF64F7">
        <w:rPr>
          <w:rFonts w:asciiTheme="majorBidi" w:hAnsiTheme="majorBidi" w:cstheme="majorBidi"/>
          <w:b/>
          <w:bCs/>
          <w:sz w:val="24"/>
          <w:szCs w:val="24"/>
        </w:rPr>
        <w:t>Background</w:t>
      </w:r>
    </w:p>
    <w:p w14:paraId="1C6DB10D" w14:textId="188405E2" w:rsidR="00584805" w:rsidRPr="00AF64F7" w:rsidRDefault="00D47FB1" w:rsidP="00584805">
      <w:pPr>
        <w:pStyle w:val="ListParagraph"/>
        <w:keepNext/>
        <w:numPr>
          <w:ilvl w:val="0"/>
          <w:numId w:val="2"/>
        </w:numPr>
        <w:tabs>
          <w:tab w:val="left" w:pos="2835"/>
        </w:tabs>
        <w:spacing w:after="0"/>
        <w:ind w:left="432"/>
        <w:rPr>
          <w:rFonts w:asciiTheme="majorBidi" w:hAnsiTheme="majorBidi" w:cstheme="majorBidi"/>
          <w:sz w:val="24"/>
          <w:szCs w:val="24"/>
        </w:rPr>
      </w:pPr>
      <w:r w:rsidRPr="00AF64F7">
        <w:rPr>
          <w:rFonts w:asciiTheme="majorBidi" w:hAnsiTheme="majorBidi" w:cstheme="majorBidi"/>
          <w:sz w:val="24"/>
          <w:szCs w:val="24"/>
        </w:rPr>
        <w:t xml:space="preserve">The fifth revision of BEC was endorsed by UN Statistical Commission in 2016. </w:t>
      </w:r>
      <w:r w:rsidR="0029624F" w:rsidRPr="00AF64F7">
        <w:rPr>
          <w:rFonts w:asciiTheme="majorBidi" w:hAnsiTheme="majorBidi" w:cstheme="majorBidi"/>
          <w:sz w:val="24"/>
          <w:szCs w:val="24"/>
        </w:rPr>
        <w:t>This revision (BEC 5) is defined in terms of HS 2012 sub-headings and CPC 2.1 classes for goods and services, respectively. It differs than BEC 4 due to addition of services, redesigned top level of broad economies and new variables (specification dimension). See illustration below (Figure 1).</w:t>
      </w:r>
    </w:p>
    <w:p w14:paraId="799B3467" w14:textId="77777777" w:rsidR="00584805" w:rsidRPr="00AF64F7" w:rsidRDefault="00584805" w:rsidP="00584805">
      <w:pPr>
        <w:pStyle w:val="ListParagraph"/>
        <w:keepNext/>
        <w:tabs>
          <w:tab w:val="left" w:pos="2835"/>
        </w:tabs>
        <w:spacing w:after="0"/>
        <w:ind w:left="432"/>
        <w:rPr>
          <w:rFonts w:asciiTheme="majorBidi" w:hAnsiTheme="majorBidi" w:cstheme="majorBidi"/>
          <w:sz w:val="24"/>
          <w:szCs w:val="24"/>
        </w:rPr>
      </w:pPr>
    </w:p>
    <w:p w14:paraId="682934FF" w14:textId="372DF84B" w:rsidR="0029624F" w:rsidRPr="00AF64F7" w:rsidRDefault="0029624F" w:rsidP="00584805">
      <w:pPr>
        <w:pStyle w:val="ListParagraph"/>
        <w:keepNext/>
        <w:tabs>
          <w:tab w:val="left" w:pos="2835"/>
        </w:tabs>
        <w:spacing w:after="0"/>
        <w:ind w:left="432"/>
        <w:rPr>
          <w:rFonts w:asciiTheme="majorBidi" w:hAnsiTheme="majorBidi" w:cstheme="majorBidi"/>
          <w:sz w:val="24"/>
          <w:szCs w:val="24"/>
        </w:rPr>
      </w:pPr>
      <w:r w:rsidRPr="00AF64F7">
        <w:rPr>
          <w:rFonts w:asciiTheme="majorBidi" w:hAnsiTheme="majorBidi" w:cstheme="majorBidi"/>
          <w:sz w:val="24"/>
          <w:szCs w:val="24"/>
        </w:rPr>
        <w:t>Figure 1. Illustration of BEC 5 structure.</w:t>
      </w:r>
    </w:p>
    <w:p w14:paraId="544E45ED" w14:textId="63CC2D0A" w:rsidR="0029624F" w:rsidRPr="00AF64F7" w:rsidRDefault="0029624F" w:rsidP="00584805">
      <w:pPr>
        <w:tabs>
          <w:tab w:val="left" w:pos="2835"/>
        </w:tabs>
        <w:rPr>
          <w:rFonts w:asciiTheme="majorBidi" w:hAnsiTheme="majorBidi" w:cstheme="majorBidi"/>
          <w:sz w:val="24"/>
          <w:szCs w:val="24"/>
        </w:rPr>
      </w:pPr>
      <w:r w:rsidRPr="00AF64F7">
        <w:rPr>
          <w:rFonts w:asciiTheme="majorBidi" w:hAnsiTheme="majorBidi" w:cstheme="majorBidi"/>
          <w:noProof/>
        </w:rPr>
        <w:drawing>
          <wp:inline distT="0" distB="0" distL="0" distR="0" wp14:anchorId="2AE8BBEA" wp14:editId="0516C554">
            <wp:extent cx="5676900" cy="3149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552" cy="3171032"/>
                    </a:xfrm>
                    <a:prstGeom prst="rect">
                      <a:avLst/>
                    </a:prstGeom>
                  </pic:spPr>
                </pic:pic>
              </a:graphicData>
            </a:graphic>
          </wp:inline>
        </w:drawing>
      </w:r>
    </w:p>
    <w:p w14:paraId="5DA57CE2" w14:textId="77777777" w:rsidR="0029624F" w:rsidRPr="00AF64F7" w:rsidRDefault="0029624F" w:rsidP="00584805">
      <w:pPr>
        <w:tabs>
          <w:tab w:val="left" w:pos="2835"/>
        </w:tabs>
        <w:rPr>
          <w:rFonts w:asciiTheme="majorBidi" w:hAnsiTheme="majorBidi" w:cstheme="majorBidi"/>
          <w:sz w:val="24"/>
          <w:szCs w:val="24"/>
        </w:rPr>
      </w:pPr>
    </w:p>
    <w:p w14:paraId="52437386" w14:textId="3DE816D5" w:rsidR="00DA399B" w:rsidRPr="00AF64F7" w:rsidRDefault="00DA399B" w:rsidP="00DA399B">
      <w:pPr>
        <w:pStyle w:val="ListParagraph"/>
        <w:numPr>
          <w:ilvl w:val="0"/>
          <w:numId w:val="2"/>
        </w:numPr>
        <w:tabs>
          <w:tab w:val="left" w:pos="2835"/>
        </w:tabs>
        <w:rPr>
          <w:rFonts w:asciiTheme="majorBidi" w:hAnsiTheme="majorBidi" w:cstheme="majorBidi"/>
          <w:sz w:val="24"/>
          <w:szCs w:val="24"/>
        </w:rPr>
      </w:pPr>
      <w:r w:rsidRPr="00AF64F7">
        <w:rPr>
          <w:rFonts w:asciiTheme="majorBidi" w:hAnsiTheme="majorBidi" w:cstheme="majorBidi"/>
          <w:sz w:val="24"/>
          <w:szCs w:val="24"/>
        </w:rPr>
        <w:lastRenderedPageBreak/>
        <w:t xml:space="preserve">With its adoption, focus has now shifted to finalizing the correspondence tables between BEC 5 and HS/ CPC/ EBOPS /ISIC. Those correspondence tables will be posted on the website of UNSD as soon as possible; starting with correlations between BEC 5 and HS 2017. </w:t>
      </w:r>
    </w:p>
    <w:p w14:paraId="0BC0CB9D" w14:textId="77777777" w:rsidR="0029624F" w:rsidRPr="00AF64F7" w:rsidRDefault="0029624F" w:rsidP="00584805">
      <w:pPr>
        <w:pStyle w:val="ListParagraph"/>
        <w:tabs>
          <w:tab w:val="left" w:pos="2835"/>
        </w:tabs>
        <w:rPr>
          <w:rFonts w:asciiTheme="majorBidi" w:hAnsiTheme="majorBidi" w:cstheme="majorBidi"/>
          <w:sz w:val="24"/>
          <w:szCs w:val="24"/>
        </w:rPr>
      </w:pPr>
    </w:p>
    <w:p w14:paraId="6C21EB1D" w14:textId="45A673F0" w:rsidR="00085BEE" w:rsidRPr="00AF64F7" w:rsidRDefault="0029624F" w:rsidP="00584805">
      <w:pPr>
        <w:pStyle w:val="ListParagraph"/>
        <w:numPr>
          <w:ilvl w:val="0"/>
          <w:numId w:val="2"/>
        </w:numPr>
        <w:spacing w:after="160" w:line="259" w:lineRule="auto"/>
        <w:rPr>
          <w:rFonts w:asciiTheme="majorBidi" w:hAnsiTheme="majorBidi" w:cstheme="majorBidi"/>
        </w:rPr>
      </w:pPr>
      <w:r w:rsidRPr="00AF64F7">
        <w:rPr>
          <w:rFonts w:asciiTheme="majorBidi" w:hAnsiTheme="majorBidi" w:cstheme="majorBidi"/>
        </w:rPr>
        <w:t>The primary objective of establishing correlations (or relationships) between HS/CPC/EBOPS and BEC/ISIC is to facilitate data conversion from primary classifications which are used to collect and compile basic data, thus reducing burden (rather than collect data in BEC). UNSD maintains correlations among trade related classifications</w:t>
      </w:r>
      <w:r w:rsidR="00584805" w:rsidRPr="00AF64F7">
        <w:rPr>
          <w:rStyle w:val="FootnoteReference"/>
          <w:rFonts w:asciiTheme="majorBidi" w:hAnsiTheme="majorBidi" w:cstheme="majorBidi"/>
        </w:rPr>
        <w:footnoteReference w:id="1"/>
      </w:r>
      <w:r w:rsidRPr="00AF64F7">
        <w:rPr>
          <w:rFonts w:asciiTheme="majorBidi" w:hAnsiTheme="majorBidi" w:cstheme="majorBidi"/>
        </w:rPr>
        <w:t>.</w:t>
      </w:r>
    </w:p>
    <w:p w14:paraId="3B55E527" w14:textId="5804EC50" w:rsidR="00085BEE" w:rsidRPr="00AF64F7" w:rsidRDefault="00085BEE" w:rsidP="00584805">
      <w:pPr>
        <w:pStyle w:val="ListParagraph"/>
        <w:rPr>
          <w:rFonts w:asciiTheme="majorBidi" w:hAnsiTheme="majorBidi" w:cstheme="majorBidi"/>
        </w:rPr>
      </w:pPr>
    </w:p>
    <w:p w14:paraId="4FEA9047" w14:textId="618CFF36" w:rsidR="00085BEE" w:rsidRPr="00AF64F7" w:rsidRDefault="00085BEE" w:rsidP="004F4E79">
      <w:pPr>
        <w:jc w:val="center"/>
        <w:rPr>
          <w:rFonts w:asciiTheme="majorBidi" w:hAnsiTheme="majorBidi" w:cstheme="majorBidi"/>
          <w:b/>
          <w:bCs/>
          <w:sz w:val="24"/>
          <w:szCs w:val="24"/>
        </w:rPr>
      </w:pPr>
      <w:r w:rsidRPr="00AF64F7">
        <w:rPr>
          <w:rFonts w:asciiTheme="majorBidi" w:hAnsiTheme="majorBidi" w:cstheme="majorBidi"/>
          <w:b/>
          <w:bCs/>
          <w:sz w:val="24"/>
          <w:szCs w:val="24"/>
        </w:rPr>
        <w:t>Principles</w:t>
      </w:r>
    </w:p>
    <w:p w14:paraId="4A21C3B1" w14:textId="28C1CB3C" w:rsidR="00085BEE" w:rsidRPr="00AF64F7" w:rsidRDefault="00085BEE" w:rsidP="00085BEE">
      <w:pPr>
        <w:pStyle w:val="ListParagraph"/>
        <w:numPr>
          <w:ilvl w:val="0"/>
          <w:numId w:val="2"/>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 xml:space="preserve">The principle of predominant </w:t>
      </w:r>
      <w:r w:rsidRPr="00AF64F7">
        <w:rPr>
          <w:rFonts w:asciiTheme="majorBidi" w:hAnsiTheme="majorBidi" w:cstheme="majorBidi"/>
          <w:b/>
          <w:bCs/>
          <w:sz w:val="24"/>
          <w:szCs w:val="24"/>
        </w:rPr>
        <w:t>use of a goods</w:t>
      </w:r>
      <w:r w:rsidRPr="00AF64F7">
        <w:rPr>
          <w:rFonts w:asciiTheme="majorBidi" w:hAnsiTheme="majorBidi" w:cstheme="majorBidi"/>
          <w:sz w:val="24"/>
          <w:szCs w:val="24"/>
        </w:rPr>
        <w:t xml:space="preserve"> (or services) can be used when establishing correlations between BEC and other classifications. See Box 1 below for an example.</w:t>
      </w:r>
    </w:p>
    <w:p w14:paraId="28B17803" w14:textId="77777777" w:rsidR="00085BEE" w:rsidRPr="00AF64F7" w:rsidRDefault="00085BEE" w:rsidP="00584805">
      <w:pPr>
        <w:pStyle w:val="ListParagraph"/>
        <w:spacing w:after="160" w:line="259" w:lineRule="auto"/>
        <w:rPr>
          <w:rFonts w:asciiTheme="majorBidi" w:hAnsiTheme="majorBidi" w:cstheme="majorBidi"/>
        </w:rPr>
      </w:pPr>
    </w:p>
    <w:p w14:paraId="5331A81C" w14:textId="0E459274" w:rsidR="00085BEE" w:rsidRPr="00AF64F7" w:rsidRDefault="00085BEE" w:rsidP="00584805">
      <w:pPr>
        <w:pStyle w:val="ListParagraph"/>
        <w:spacing w:after="120" w:line="240" w:lineRule="auto"/>
        <w:contextualSpacing w:val="0"/>
        <w:rPr>
          <w:rFonts w:asciiTheme="majorBidi" w:hAnsiTheme="majorBidi" w:cstheme="majorBidi"/>
          <w:sz w:val="24"/>
          <w:szCs w:val="24"/>
        </w:rPr>
      </w:pPr>
      <w:r w:rsidRPr="00AF64F7">
        <w:rPr>
          <w:rFonts w:asciiTheme="majorBidi" w:hAnsiTheme="majorBidi" w:cstheme="majorBidi"/>
          <w:sz w:val="24"/>
          <w:szCs w:val="24"/>
        </w:rPr>
        <w:t>Box 1. An example of considerations to assign a specific product to a BEC 5 category</w:t>
      </w:r>
    </w:p>
    <w:tbl>
      <w:tblPr>
        <w:tblStyle w:val="TableGrid"/>
        <w:tblW w:w="0" w:type="auto"/>
        <w:tblInd w:w="720" w:type="dxa"/>
        <w:tblLook w:val="04A0" w:firstRow="1" w:lastRow="0" w:firstColumn="1" w:lastColumn="0" w:noHBand="0" w:noVBand="1"/>
      </w:tblPr>
      <w:tblGrid>
        <w:gridCol w:w="8296"/>
      </w:tblGrid>
      <w:tr w:rsidR="00085BEE" w:rsidRPr="00AF64F7" w14:paraId="5B529A8D" w14:textId="77777777" w:rsidTr="00584805">
        <w:tc>
          <w:tcPr>
            <w:tcW w:w="8296" w:type="dxa"/>
          </w:tcPr>
          <w:p w14:paraId="330B26D2" w14:textId="77777777" w:rsidR="00085BEE" w:rsidRPr="00AF64F7" w:rsidRDefault="00085BEE" w:rsidP="00152F8F">
            <w:pPr>
              <w:pStyle w:val="ListParagraph"/>
              <w:ind w:left="0"/>
              <w:rPr>
                <w:rFonts w:asciiTheme="majorBidi" w:hAnsiTheme="majorBidi" w:cstheme="majorBidi"/>
                <w:sz w:val="24"/>
                <w:szCs w:val="24"/>
              </w:rPr>
            </w:pPr>
            <w:r w:rsidRPr="00AF64F7">
              <w:rPr>
                <w:rFonts w:asciiTheme="majorBidi" w:hAnsiTheme="majorBidi" w:cstheme="majorBidi"/>
                <w:sz w:val="24"/>
                <w:szCs w:val="24"/>
              </w:rPr>
              <w:t>A tractor is predominantly a capital investment in the agriculture sector. It is not predominantly used as a personal vehicle. Therefore, the tractor would be allocated as (1) agriculture, (2) goods, (3) capital goods, (4) --, and (5) generic.  Parts of a tractor would however be allocated as (1) transport, (2) goods, (3) intermediate goods, (4) processed, (5) specific, and (6) durable. Some parts could probably be generic.</w:t>
            </w:r>
          </w:p>
          <w:p w14:paraId="4DDD084D" w14:textId="77777777" w:rsidR="00085BEE" w:rsidRPr="00AF64F7" w:rsidRDefault="00085BEE" w:rsidP="00152F8F">
            <w:pPr>
              <w:pStyle w:val="ListParagraph"/>
              <w:ind w:left="0"/>
              <w:rPr>
                <w:rFonts w:asciiTheme="majorBidi" w:hAnsiTheme="majorBidi" w:cstheme="majorBidi"/>
                <w:sz w:val="24"/>
                <w:szCs w:val="24"/>
              </w:rPr>
            </w:pPr>
          </w:p>
          <w:p w14:paraId="33944CC9" w14:textId="74BA3676" w:rsidR="00085BEE" w:rsidRPr="00AF64F7" w:rsidRDefault="00085BEE" w:rsidP="00152F8F">
            <w:pPr>
              <w:pStyle w:val="ListParagraph"/>
              <w:ind w:left="0"/>
              <w:rPr>
                <w:rFonts w:asciiTheme="majorBidi" w:hAnsiTheme="majorBidi" w:cstheme="majorBidi"/>
                <w:sz w:val="24"/>
                <w:szCs w:val="24"/>
              </w:rPr>
            </w:pPr>
            <w:r w:rsidRPr="00AF64F7">
              <w:rPr>
                <w:rFonts w:asciiTheme="majorBidi" w:hAnsiTheme="majorBidi" w:cstheme="majorBidi"/>
                <w:sz w:val="24"/>
                <w:szCs w:val="24"/>
              </w:rPr>
              <w:t xml:space="preserve">Dual use goods such as passenger motor cars are used extensively both for industry and for household consumption. </w:t>
            </w:r>
            <w:r w:rsidR="00FA14A5" w:rsidRPr="00AF64F7">
              <w:rPr>
                <w:rFonts w:asciiTheme="majorBidi" w:hAnsiTheme="majorBidi" w:cstheme="majorBidi"/>
                <w:sz w:val="24"/>
                <w:szCs w:val="24"/>
              </w:rPr>
              <w:t>Therefore,</w:t>
            </w:r>
            <w:r w:rsidRPr="00AF64F7">
              <w:rPr>
                <w:rFonts w:asciiTheme="majorBidi" w:hAnsiTheme="majorBidi" w:cstheme="majorBidi"/>
                <w:sz w:val="24"/>
                <w:szCs w:val="24"/>
              </w:rPr>
              <w:t xml:space="preserve"> they could be allocated as (1) transport, (2) goods, (3) final or capital goods, (4) processed, (5) generic or specific, and (6) durable or non-durable. The proportion of dual use depends on national circumstances.</w:t>
            </w:r>
          </w:p>
        </w:tc>
      </w:tr>
    </w:tbl>
    <w:p w14:paraId="0B0003C5" w14:textId="77777777" w:rsidR="00085BEE" w:rsidRPr="00AF64F7" w:rsidRDefault="00085BEE" w:rsidP="00085BEE">
      <w:pPr>
        <w:pStyle w:val="ListParagraph"/>
        <w:rPr>
          <w:rFonts w:asciiTheme="majorBidi" w:hAnsiTheme="majorBidi" w:cstheme="majorBidi"/>
          <w:sz w:val="24"/>
          <w:szCs w:val="24"/>
        </w:rPr>
      </w:pPr>
    </w:p>
    <w:p w14:paraId="51B85E2C" w14:textId="2B6A3E6C" w:rsidR="001D6FD0" w:rsidRPr="00AF64F7" w:rsidRDefault="00085BEE" w:rsidP="001D6FD0">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 xml:space="preserve"> 1st LEVEL (BEC dimension): Map HS sub-headings and CPC classes to the first top level of broad economic categories. Because a basis for the construction of those main economic classes is ISIC, then we need to decide whether to consider a goods or services as input or output to specific industries. For example, a computer is an output of ICT industry; but it can be used as input to any industries (or depends on what kind of computers). This implies whether we need to establish different correlations between imports and exports.</w:t>
      </w:r>
      <w:r w:rsidR="001D6FD0" w:rsidRPr="00AF64F7">
        <w:rPr>
          <w:rFonts w:asciiTheme="majorBidi" w:hAnsiTheme="majorBidi" w:cstheme="majorBidi"/>
          <w:sz w:val="24"/>
          <w:szCs w:val="24"/>
        </w:rPr>
        <w:t xml:space="preserve"> </w:t>
      </w:r>
    </w:p>
    <w:p w14:paraId="1F11D34F" w14:textId="77777777" w:rsidR="00085BEE" w:rsidRPr="00AF64F7" w:rsidRDefault="00085BEE" w:rsidP="00085BEE">
      <w:pPr>
        <w:pStyle w:val="ListParagraph"/>
        <w:ind w:left="1440"/>
        <w:rPr>
          <w:rFonts w:asciiTheme="majorBidi" w:hAnsiTheme="majorBidi" w:cstheme="majorBidi"/>
          <w:sz w:val="24"/>
          <w:szCs w:val="24"/>
        </w:rPr>
      </w:pPr>
    </w:p>
    <w:p w14:paraId="09E44A5B" w14:textId="77777777" w:rsidR="00085BEE" w:rsidRPr="00AF64F7" w:rsidRDefault="00085BEE" w:rsidP="00085BEE">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2nd LEVEL (Product dimension): There is no need for much work here. Goods and services are quite distinct and there are existing guidelines on how to classify them.</w:t>
      </w:r>
    </w:p>
    <w:p w14:paraId="16053192" w14:textId="77777777" w:rsidR="00085BEE" w:rsidRPr="00AF64F7" w:rsidRDefault="00085BEE" w:rsidP="00085BEE">
      <w:pPr>
        <w:pStyle w:val="ListParagraph"/>
        <w:rPr>
          <w:rFonts w:asciiTheme="majorBidi" w:hAnsiTheme="majorBidi" w:cstheme="majorBidi"/>
          <w:sz w:val="24"/>
          <w:szCs w:val="24"/>
        </w:rPr>
      </w:pPr>
    </w:p>
    <w:p w14:paraId="604B5D78" w14:textId="77777777" w:rsidR="00085BEE" w:rsidRPr="00AF64F7" w:rsidRDefault="00085BEE" w:rsidP="00085BEE">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 xml:space="preserve">3rd LEVEL (End-use dimension): Even though, this may be challenging, but for goods, we can reuse (and review) existing correlations between BEC 4 and </w:t>
      </w:r>
      <w:r w:rsidRPr="00AF64F7">
        <w:rPr>
          <w:rFonts w:asciiTheme="majorBidi" w:hAnsiTheme="majorBidi" w:cstheme="majorBidi"/>
          <w:sz w:val="24"/>
          <w:szCs w:val="24"/>
        </w:rPr>
        <w:lastRenderedPageBreak/>
        <w:t>HS 2012</w:t>
      </w:r>
      <w:r w:rsidRPr="00AF64F7">
        <w:rPr>
          <w:rStyle w:val="FootnoteReference"/>
          <w:rFonts w:asciiTheme="majorBidi" w:hAnsiTheme="majorBidi" w:cstheme="majorBidi"/>
          <w:sz w:val="24"/>
          <w:szCs w:val="24"/>
        </w:rPr>
        <w:footnoteReference w:id="2"/>
      </w:r>
      <w:r w:rsidRPr="00AF64F7">
        <w:rPr>
          <w:rFonts w:asciiTheme="majorBidi" w:hAnsiTheme="majorBidi" w:cstheme="majorBidi"/>
          <w:sz w:val="24"/>
          <w:szCs w:val="24"/>
        </w:rPr>
        <w:t>. On the contrary, for services, we may need to reach out to experts. In addition, some goods, such as personal vehicle, can have dual use, namely as capital good and as final consumption good (or gasoline – as intermediate and final consumption). They need to be flagged and given a footnote, which indicates that the proportion of dual use should be determined at national level.</w:t>
      </w:r>
    </w:p>
    <w:p w14:paraId="464D9D9C" w14:textId="77777777" w:rsidR="00085BEE" w:rsidRPr="00AF64F7" w:rsidRDefault="00085BEE" w:rsidP="00085BEE">
      <w:pPr>
        <w:pStyle w:val="ListParagraph"/>
        <w:rPr>
          <w:rFonts w:asciiTheme="majorBidi" w:hAnsiTheme="majorBidi" w:cstheme="majorBidi"/>
          <w:sz w:val="24"/>
          <w:szCs w:val="24"/>
        </w:rPr>
      </w:pPr>
    </w:p>
    <w:p w14:paraId="2AA43B6C" w14:textId="77777777" w:rsidR="00085BEE" w:rsidRPr="00AF64F7" w:rsidRDefault="00085BEE" w:rsidP="00085BEE">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 xml:space="preserve">4th LEVEL (Processing dimension): Similar with 3rd level, for goods, we can refer to existing correlations between BEC 4 and HS 2012. Note: this level is not applicable for services. </w:t>
      </w:r>
    </w:p>
    <w:p w14:paraId="7988583A" w14:textId="77777777" w:rsidR="00085BEE" w:rsidRPr="00AF64F7" w:rsidRDefault="00085BEE" w:rsidP="00085BEE">
      <w:pPr>
        <w:pStyle w:val="ListParagraph"/>
        <w:rPr>
          <w:rFonts w:asciiTheme="majorBidi" w:hAnsiTheme="majorBidi" w:cstheme="majorBidi"/>
          <w:sz w:val="24"/>
          <w:szCs w:val="24"/>
        </w:rPr>
      </w:pPr>
    </w:p>
    <w:p w14:paraId="7EAD9989" w14:textId="4560DF40" w:rsidR="00085BEE" w:rsidRPr="00AF64F7" w:rsidRDefault="00085BEE" w:rsidP="00085BEE">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5th LEVEL (Specification dimension): This is new dimension, therefore requires more research to establish correlations. The idea is to identify position (downstream/upstream) of goods/services within value-added chain (see illustration below</w:t>
      </w:r>
      <w:r w:rsidR="001D6FD0" w:rsidRPr="00AF64F7">
        <w:rPr>
          <w:rFonts w:asciiTheme="majorBidi" w:hAnsiTheme="majorBidi" w:cstheme="majorBidi"/>
          <w:sz w:val="24"/>
          <w:szCs w:val="24"/>
        </w:rPr>
        <w:t>, Figure 1</w:t>
      </w:r>
      <w:r w:rsidRPr="00AF64F7">
        <w:rPr>
          <w:rFonts w:asciiTheme="majorBidi" w:hAnsiTheme="majorBidi" w:cstheme="majorBidi"/>
          <w:sz w:val="24"/>
          <w:szCs w:val="24"/>
        </w:rPr>
        <w:t>). We would rely on industry experts and existing literatures. This is to be done case-by-case basis</w:t>
      </w:r>
      <w:r w:rsidR="00575853" w:rsidRPr="00AF64F7">
        <w:rPr>
          <w:rFonts w:asciiTheme="majorBidi" w:hAnsiTheme="majorBidi" w:cstheme="majorBidi"/>
          <w:sz w:val="24"/>
          <w:szCs w:val="24"/>
        </w:rPr>
        <w:t xml:space="preserve"> (and the problem is that HS categories may not be detailed enough)</w:t>
      </w:r>
      <w:r w:rsidRPr="00AF64F7">
        <w:rPr>
          <w:rFonts w:asciiTheme="majorBidi" w:hAnsiTheme="majorBidi" w:cstheme="majorBidi"/>
          <w:sz w:val="24"/>
          <w:szCs w:val="24"/>
        </w:rPr>
        <w:t>.</w:t>
      </w:r>
    </w:p>
    <w:p w14:paraId="64E80F55" w14:textId="3646D27F" w:rsidR="00085BEE" w:rsidRPr="00AF64F7" w:rsidRDefault="00085BEE" w:rsidP="00085BEE">
      <w:pPr>
        <w:pStyle w:val="ListParagraph"/>
        <w:rPr>
          <w:rFonts w:asciiTheme="majorBidi" w:hAnsiTheme="majorBidi" w:cstheme="majorBidi"/>
        </w:rPr>
      </w:pPr>
    </w:p>
    <w:p w14:paraId="43F1936A" w14:textId="2E47E8EA" w:rsidR="001D6FD0" w:rsidRPr="00AF64F7" w:rsidRDefault="001D6FD0" w:rsidP="00584805">
      <w:pPr>
        <w:pStyle w:val="ListParagraph"/>
        <w:keepLines/>
        <w:spacing w:after="120" w:line="240" w:lineRule="auto"/>
        <w:contextualSpacing w:val="0"/>
        <w:rPr>
          <w:rFonts w:asciiTheme="majorBidi" w:hAnsiTheme="majorBidi" w:cstheme="majorBidi"/>
          <w:sz w:val="24"/>
          <w:szCs w:val="24"/>
        </w:rPr>
      </w:pPr>
      <w:r w:rsidRPr="00AF64F7">
        <w:rPr>
          <w:rFonts w:asciiTheme="majorBidi" w:hAnsiTheme="majorBidi" w:cstheme="majorBidi"/>
          <w:sz w:val="24"/>
          <w:szCs w:val="24"/>
        </w:rPr>
        <w:t>Figure 1. BEC Rev.5, value-added chain</w:t>
      </w:r>
    </w:p>
    <w:p w14:paraId="7C9D6E51" w14:textId="17BF1A89" w:rsidR="00575853" w:rsidRPr="00AF64F7" w:rsidRDefault="00AF64F7" w:rsidP="00481740">
      <w:pPr>
        <w:pStyle w:val="ListParagraph"/>
        <w:keepLines/>
        <w:ind w:left="1440"/>
        <w:rPr>
          <w:rFonts w:asciiTheme="majorBidi" w:hAnsiTheme="majorBidi" w:cstheme="majorBidi"/>
          <w:b/>
          <w:bCs/>
          <w:sz w:val="24"/>
          <w:szCs w:val="24"/>
        </w:rPr>
      </w:pPr>
      <w:r w:rsidRPr="00AF64F7">
        <w:rPr>
          <w:rFonts w:asciiTheme="majorBidi" w:hAnsiTheme="majorBidi" w:cstheme="majorBidi"/>
          <w:noProof/>
        </w:rPr>
        <w:drawing>
          <wp:anchor distT="0" distB="0" distL="114300" distR="114300" simplePos="0" relativeHeight="251658752" behindDoc="0" locked="0" layoutInCell="1" allowOverlap="1" wp14:anchorId="4898B973" wp14:editId="03C8A388">
            <wp:simplePos x="0" y="0"/>
            <wp:positionH relativeFrom="column">
              <wp:posOffset>352425</wp:posOffset>
            </wp:positionH>
            <wp:positionV relativeFrom="page">
              <wp:posOffset>4680585</wp:posOffset>
            </wp:positionV>
            <wp:extent cx="5595620" cy="119761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2854" b="-22854"/>
                    <a:stretch/>
                  </pic:blipFill>
                  <pic:spPr>
                    <a:xfrm>
                      <a:off x="0" y="0"/>
                      <a:ext cx="5595620" cy="1197610"/>
                    </a:xfrm>
                    <a:prstGeom prst="rect">
                      <a:avLst/>
                    </a:prstGeom>
                  </pic:spPr>
                </pic:pic>
              </a:graphicData>
            </a:graphic>
            <wp14:sizeRelH relativeFrom="margin">
              <wp14:pctWidth>0</wp14:pctWidth>
            </wp14:sizeRelH>
            <wp14:sizeRelV relativeFrom="margin">
              <wp14:pctHeight>0</wp14:pctHeight>
            </wp14:sizeRelV>
          </wp:anchor>
        </w:drawing>
      </w:r>
    </w:p>
    <w:p w14:paraId="32FAC8C5" w14:textId="59F50648" w:rsidR="00481740" w:rsidRPr="00AF64F7" w:rsidRDefault="00481740" w:rsidP="00481740">
      <w:pPr>
        <w:pStyle w:val="ListParagraph"/>
        <w:keepLines/>
        <w:ind w:left="1440"/>
        <w:rPr>
          <w:rFonts w:asciiTheme="majorBidi" w:hAnsiTheme="majorBidi" w:cstheme="majorBidi"/>
          <w:b/>
          <w:bCs/>
          <w:sz w:val="24"/>
          <w:szCs w:val="24"/>
        </w:rPr>
      </w:pPr>
    </w:p>
    <w:p w14:paraId="27FED465" w14:textId="03EE09D7" w:rsidR="00481740" w:rsidRPr="00AF64F7" w:rsidRDefault="00481740" w:rsidP="00481740">
      <w:pPr>
        <w:pStyle w:val="ListParagraph"/>
        <w:keepLines/>
        <w:ind w:left="1440"/>
        <w:rPr>
          <w:rFonts w:asciiTheme="majorBidi" w:hAnsiTheme="majorBidi" w:cstheme="majorBidi"/>
          <w:b/>
          <w:bCs/>
          <w:sz w:val="24"/>
          <w:szCs w:val="24"/>
        </w:rPr>
      </w:pPr>
    </w:p>
    <w:p w14:paraId="4EFEED97" w14:textId="24ED9425" w:rsidR="00481740" w:rsidRPr="00AF64F7" w:rsidRDefault="00481740" w:rsidP="00481740">
      <w:pPr>
        <w:pStyle w:val="ListParagraph"/>
        <w:keepLines/>
        <w:ind w:left="1440"/>
        <w:rPr>
          <w:rFonts w:asciiTheme="majorBidi" w:hAnsiTheme="majorBidi" w:cstheme="majorBidi"/>
          <w:b/>
          <w:bCs/>
          <w:sz w:val="24"/>
          <w:szCs w:val="24"/>
        </w:rPr>
      </w:pPr>
    </w:p>
    <w:p w14:paraId="4959248F" w14:textId="7BDC68F9" w:rsidR="00481740" w:rsidRPr="00AF64F7" w:rsidRDefault="00481740" w:rsidP="00481740">
      <w:pPr>
        <w:pStyle w:val="ListParagraph"/>
        <w:keepLines/>
        <w:ind w:left="1440"/>
        <w:rPr>
          <w:rFonts w:asciiTheme="majorBidi" w:hAnsiTheme="majorBidi" w:cstheme="majorBidi"/>
          <w:b/>
          <w:bCs/>
          <w:sz w:val="24"/>
          <w:szCs w:val="24"/>
        </w:rPr>
      </w:pPr>
    </w:p>
    <w:p w14:paraId="51B40F4B" w14:textId="03BB8D63" w:rsidR="00481740" w:rsidRPr="00AF64F7" w:rsidRDefault="00481740" w:rsidP="00481740">
      <w:pPr>
        <w:pStyle w:val="ListParagraph"/>
        <w:keepLines/>
        <w:ind w:left="1440"/>
        <w:rPr>
          <w:rFonts w:asciiTheme="majorBidi" w:hAnsiTheme="majorBidi" w:cstheme="majorBidi"/>
          <w:b/>
          <w:bCs/>
          <w:sz w:val="24"/>
          <w:szCs w:val="24"/>
        </w:rPr>
      </w:pPr>
    </w:p>
    <w:p w14:paraId="4D2BB9F9" w14:textId="218A6957" w:rsidR="00481740" w:rsidRPr="00AF64F7" w:rsidRDefault="00481740" w:rsidP="00481740">
      <w:pPr>
        <w:pStyle w:val="ListParagraph"/>
        <w:keepLines/>
        <w:ind w:left="1440"/>
        <w:rPr>
          <w:rFonts w:asciiTheme="majorBidi" w:hAnsiTheme="majorBidi" w:cstheme="majorBidi"/>
          <w:b/>
          <w:bCs/>
          <w:sz w:val="24"/>
          <w:szCs w:val="24"/>
        </w:rPr>
      </w:pPr>
    </w:p>
    <w:p w14:paraId="154394D7" w14:textId="77777777" w:rsidR="00575853" w:rsidRPr="00AF64F7" w:rsidRDefault="00575853" w:rsidP="00575853">
      <w:pPr>
        <w:pStyle w:val="paragraph"/>
        <w:numPr>
          <w:ilvl w:val="0"/>
          <w:numId w:val="5"/>
        </w:numPr>
        <w:spacing w:before="0" w:beforeAutospacing="0" w:after="0" w:afterAutospacing="0"/>
        <w:ind w:left="1080" w:firstLine="0"/>
        <w:textAlignment w:val="baseline"/>
        <w:rPr>
          <w:color w:val="000000"/>
        </w:rPr>
      </w:pPr>
      <w:r w:rsidRPr="00AF64F7">
        <w:rPr>
          <w:rStyle w:val="normaltextrun"/>
          <w:color w:val="000000"/>
        </w:rPr>
        <w:t>6</w:t>
      </w:r>
      <w:r w:rsidRPr="00AF64F7">
        <w:rPr>
          <w:rStyle w:val="normaltextrun"/>
          <w:color w:val="000000"/>
          <w:vertAlign w:val="superscript"/>
        </w:rPr>
        <w:t>th</w:t>
      </w:r>
      <w:r w:rsidRPr="00AF64F7">
        <w:rPr>
          <w:rStyle w:val="normaltextrun"/>
          <w:color w:val="000000"/>
        </w:rPr>
        <w:t xml:space="preserve"> LEVEL (Durability dimension): Similar with 3</w:t>
      </w:r>
      <w:r w:rsidRPr="00AF64F7">
        <w:rPr>
          <w:rStyle w:val="normaltextrun"/>
          <w:color w:val="000000"/>
          <w:vertAlign w:val="superscript"/>
        </w:rPr>
        <w:t>rd</w:t>
      </w:r>
      <w:r w:rsidRPr="00AF64F7">
        <w:rPr>
          <w:rStyle w:val="normaltextrun"/>
          <w:color w:val="000000"/>
        </w:rPr>
        <w:t xml:space="preserve"> and 4</w:t>
      </w:r>
      <w:r w:rsidRPr="00AF64F7">
        <w:rPr>
          <w:rStyle w:val="normaltextrun"/>
          <w:color w:val="000000"/>
          <w:vertAlign w:val="superscript"/>
        </w:rPr>
        <w:t>th</w:t>
      </w:r>
      <w:r w:rsidRPr="00AF64F7">
        <w:rPr>
          <w:rStyle w:val="normaltextrun"/>
          <w:color w:val="000000"/>
        </w:rPr>
        <w:t xml:space="preserve"> levels, we can reuse existing correlations between BEC 4 and HS 2012 for goods. This dimension is not applicable for services.</w:t>
      </w:r>
      <w:r w:rsidRPr="00AF64F7">
        <w:rPr>
          <w:rStyle w:val="eop"/>
          <w:color w:val="000000"/>
        </w:rPr>
        <w:t> </w:t>
      </w:r>
    </w:p>
    <w:p w14:paraId="511674FF" w14:textId="46D338D9" w:rsidR="00575853" w:rsidRPr="00AF64F7" w:rsidRDefault="00575853" w:rsidP="00584805">
      <w:pPr>
        <w:tabs>
          <w:tab w:val="left" w:pos="2835"/>
        </w:tabs>
        <w:jc w:val="both"/>
        <w:rPr>
          <w:rFonts w:asciiTheme="majorBidi" w:hAnsiTheme="majorBidi" w:cstheme="majorBidi"/>
          <w:b/>
          <w:bCs/>
          <w:sz w:val="24"/>
          <w:szCs w:val="24"/>
        </w:rPr>
      </w:pPr>
    </w:p>
    <w:p w14:paraId="09E4803F" w14:textId="17A4020E" w:rsidR="00575853" w:rsidRPr="00AF64F7" w:rsidRDefault="00575853" w:rsidP="00575853">
      <w:pPr>
        <w:pStyle w:val="ListParagraph"/>
        <w:numPr>
          <w:ilvl w:val="0"/>
          <w:numId w:val="2"/>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Apparently, the main analytical use of the classification is to understand the predominant use of a goods (or services)</w:t>
      </w:r>
      <w:r w:rsidR="00AD3F87" w:rsidRPr="00AF64F7">
        <w:rPr>
          <w:rFonts w:asciiTheme="majorBidi" w:hAnsiTheme="majorBidi" w:cstheme="majorBidi"/>
          <w:sz w:val="24"/>
          <w:szCs w:val="24"/>
        </w:rPr>
        <w:t>, entailing that the main consideration is the use of (or services), or as inputs</w:t>
      </w:r>
      <w:r w:rsidRPr="00AF64F7">
        <w:rPr>
          <w:rFonts w:asciiTheme="majorBidi" w:hAnsiTheme="majorBidi" w:cstheme="majorBidi"/>
          <w:sz w:val="24"/>
          <w:szCs w:val="24"/>
        </w:rPr>
        <w:t xml:space="preserve"> </w:t>
      </w:r>
      <w:r w:rsidR="00AD3F87" w:rsidRPr="00AF64F7">
        <w:rPr>
          <w:rFonts w:asciiTheme="majorBidi" w:hAnsiTheme="majorBidi" w:cstheme="majorBidi"/>
          <w:sz w:val="24"/>
          <w:szCs w:val="24"/>
        </w:rPr>
        <w:t>to the economic activities. That is, correlations based on the principle of output can be considered alternative or secondary.</w:t>
      </w:r>
    </w:p>
    <w:p w14:paraId="09EF8478" w14:textId="221112FE" w:rsidR="007B6169" w:rsidRPr="00AF64F7" w:rsidRDefault="007B6169" w:rsidP="007B6169">
      <w:pPr>
        <w:spacing w:after="160" w:line="259" w:lineRule="auto"/>
        <w:rPr>
          <w:rFonts w:asciiTheme="majorBidi" w:hAnsiTheme="majorBidi" w:cstheme="majorBidi"/>
          <w:sz w:val="24"/>
          <w:szCs w:val="24"/>
        </w:rPr>
      </w:pPr>
    </w:p>
    <w:p w14:paraId="0E51CBBF" w14:textId="77777777" w:rsidR="007B6169" w:rsidRPr="00AF64F7" w:rsidRDefault="007B6169">
      <w:pPr>
        <w:rPr>
          <w:rFonts w:asciiTheme="majorBidi" w:hAnsiTheme="majorBidi" w:cstheme="majorBidi"/>
          <w:b/>
          <w:bCs/>
          <w:sz w:val="24"/>
          <w:szCs w:val="24"/>
        </w:rPr>
      </w:pPr>
      <w:r w:rsidRPr="00AF64F7">
        <w:rPr>
          <w:rFonts w:asciiTheme="majorBidi" w:hAnsiTheme="majorBidi" w:cstheme="majorBidi"/>
          <w:b/>
          <w:bCs/>
          <w:sz w:val="24"/>
          <w:szCs w:val="24"/>
        </w:rPr>
        <w:br w:type="page"/>
      </w:r>
    </w:p>
    <w:p w14:paraId="4FA4B4BF" w14:textId="7CB6DD39" w:rsidR="007B6169" w:rsidRPr="00AF64F7" w:rsidRDefault="007B6169" w:rsidP="004F4E79">
      <w:pPr>
        <w:tabs>
          <w:tab w:val="left" w:pos="2835"/>
        </w:tabs>
        <w:jc w:val="center"/>
        <w:rPr>
          <w:rFonts w:asciiTheme="majorBidi" w:hAnsiTheme="majorBidi" w:cstheme="majorBidi"/>
          <w:b/>
          <w:bCs/>
          <w:sz w:val="24"/>
          <w:szCs w:val="24"/>
        </w:rPr>
      </w:pPr>
      <w:r w:rsidRPr="00AF64F7">
        <w:rPr>
          <w:rFonts w:asciiTheme="majorBidi" w:hAnsiTheme="majorBidi" w:cstheme="majorBidi"/>
          <w:b/>
          <w:bCs/>
          <w:sz w:val="24"/>
          <w:szCs w:val="24"/>
        </w:rPr>
        <w:lastRenderedPageBreak/>
        <w:t>Methodology or Mechanics of Establishing Correlations</w:t>
      </w:r>
    </w:p>
    <w:p w14:paraId="16CF9BC4" w14:textId="76098DA5" w:rsidR="007B6169" w:rsidRPr="00AF64F7" w:rsidRDefault="00203686" w:rsidP="007B6169">
      <w:pPr>
        <w:pStyle w:val="ListParagraph"/>
        <w:numPr>
          <w:ilvl w:val="0"/>
          <w:numId w:val="2"/>
        </w:numPr>
        <w:rPr>
          <w:rFonts w:asciiTheme="majorBidi" w:hAnsiTheme="majorBidi" w:cstheme="majorBidi"/>
          <w:sz w:val="24"/>
          <w:szCs w:val="24"/>
        </w:rPr>
      </w:pPr>
      <w:r w:rsidRPr="00AF64F7">
        <w:rPr>
          <w:rFonts w:asciiTheme="majorBidi" w:hAnsiTheme="majorBidi" w:cstheme="majorBidi"/>
          <w:sz w:val="24"/>
          <w:szCs w:val="24"/>
        </w:rPr>
        <w:t>Several</w:t>
      </w:r>
      <w:r w:rsidR="007B6169" w:rsidRPr="00AF64F7">
        <w:rPr>
          <w:rFonts w:asciiTheme="majorBidi" w:hAnsiTheme="majorBidi" w:cstheme="majorBidi"/>
          <w:sz w:val="24"/>
          <w:szCs w:val="24"/>
        </w:rPr>
        <w:t xml:space="preserve"> tools or draft documents are already available. See Box 2 below for available draft working files.</w:t>
      </w:r>
    </w:p>
    <w:p w14:paraId="427CF222" w14:textId="2444D4AB" w:rsidR="007B6169" w:rsidRPr="00AF64F7" w:rsidRDefault="007B6169" w:rsidP="00584805">
      <w:pPr>
        <w:tabs>
          <w:tab w:val="left" w:pos="2835"/>
        </w:tabs>
        <w:jc w:val="both"/>
        <w:rPr>
          <w:rFonts w:asciiTheme="majorBidi" w:hAnsiTheme="majorBidi" w:cstheme="majorBidi"/>
          <w:b/>
          <w:bCs/>
          <w:sz w:val="24"/>
          <w:szCs w:val="24"/>
        </w:rPr>
      </w:pPr>
      <w:r w:rsidRPr="00AF64F7">
        <w:rPr>
          <w:rFonts w:asciiTheme="majorBidi" w:hAnsiTheme="majorBidi" w:cstheme="majorBidi"/>
          <w:b/>
          <w:bCs/>
          <w:sz w:val="24"/>
          <w:szCs w:val="24"/>
        </w:rPr>
        <w:t xml:space="preserve">Box 2. </w:t>
      </w:r>
      <w:r w:rsidR="00203686" w:rsidRPr="00AF64F7">
        <w:rPr>
          <w:rFonts w:asciiTheme="majorBidi" w:hAnsiTheme="majorBidi" w:cstheme="majorBidi"/>
          <w:b/>
          <w:bCs/>
          <w:sz w:val="24"/>
          <w:szCs w:val="24"/>
        </w:rPr>
        <w:t>Available working data files</w:t>
      </w:r>
    </w:p>
    <w:tbl>
      <w:tblPr>
        <w:tblStyle w:val="TableGrid"/>
        <w:tblW w:w="0" w:type="auto"/>
        <w:tblLook w:val="04A0" w:firstRow="1" w:lastRow="0" w:firstColumn="1" w:lastColumn="0" w:noHBand="0" w:noVBand="1"/>
      </w:tblPr>
      <w:tblGrid>
        <w:gridCol w:w="9016"/>
      </w:tblGrid>
      <w:tr w:rsidR="00925EB0" w:rsidRPr="00AF64F7" w14:paraId="6AC42A13" w14:textId="77777777" w:rsidTr="00152F8F">
        <w:tc>
          <w:tcPr>
            <w:tcW w:w="9350" w:type="dxa"/>
          </w:tcPr>
          <w:p w14:paraId="4A20E09C" w14:textId="17BEAF32" w:rsidR="00925EB0" w:rsidRPr="00AF64F7" w:rsidRDefault="00925EB0" w:rsidP="00925EB0">
            <w:pPr>
              <w:pStyle w:val="ListParagraph"/>
              <w:numPr>
                <w:ilvl w:val="0"/>
                <w:numId w:val="6"/>
              </w:numPr>
              <w:rPr>
                <w:rFonts w:asciiTheme="majorBidi" w:hAnsiTheme="majorBidi" w:cstheme="majorBidi"/>
                <w:sz w:val="24"/>
                <w:szCs w:val="24"/>
              </w:rPr>
            </w:pPr>
            <w:r w:rsidRPr="00AF64F7">
              <w:rPr>
                <w:rFonts w:asciiTheme="majorBidi" w:hAnsiTheme="majorBidi" w:cstheme="majorBidi"/>
                <w:sz w:val="24"/>
                <w:szCs w:val="24"/>
              </w:rPr>
              <w:t xml:space="preserve">Draft correspondences between </w:t>
            </w:r>
            <w:r w:rsidR="00DA57CD">
              <w:rPr>
                <w:rFonts w:asciiTheme="majorBidi" w:hAnsiTheme="majorBidi" w:cstheme="majorBidi"/>
                <w:sz w:val="24"/>
                <w:szCs w:val="24"/>
              </w:rPr>
              <w:t>BEC 5</w:t>
            </w:r>
            <w:r w:rsidRPr="00AF64F7">
              <w:rPr>
                <w:rFonts w:asciiTheme="majorBidi" w:hAnsiTheme="majorBidi" w:cstheme="majorBidi"/>
                <w:sz w:val="24"/>
                <w:szCs w:val="24"/>
              </w:rPr>
              <w:t xml:space="preserve"> and HS 2012 / EBOPS 2010 developed durin</w:t>
            </w:r>
            <w:r w:rsidR="000E2BB8">
              <w:rPr>
                <w:rFonts w:asciiTheme="majorBidi" w:hAnsiTheme="majorBidi" w:cstheme="majorBidi"/>
                <w:sz w:val="24"/>
                <w:szCs w:val="24"/>
              </w:rPr>
              <w:t>g the drafting of BEC 5 manual</w:t>
            </w:r>
          </w:p>
          <w:p w14:paraId="6A55A11A" w14:textId="45506CB0" w:rsidR="00925EB0" w:rsidRPr="00AF64F7" w:rsidRDefault="00925EB0" w:rsidP="00925EB0">
            <w:pPr>
              <w:pStyle w:val="ListParagraph"/>
              <w:numPr>
                <w:ilvl w:val="0"/>
                <w:numId w:val="6"/>
              </w:numPr>
              <w:rPr>
                <w:rFonts w:asciiTheme="majorBidi" w:hAnsiTheme="majorBidi" w:cstheme="majorBidi"/>
                <w:sz w:val="24"/>
                <w:szCs w:val="24"/>
              </w:rPr>
            </w:pPr>
            <w:r w:rsidRPr="00AF64F7">
              <w:rPr>
                <w:rFonts w:asciiTheme="majorBidi" w:hAnsiTheme="majorBidi" w:cstheme="majorBidi"/>
                <w:sz w:val="24"/>
                <w:szCs w:val="24"/>
              </w:rPr>
              <w:t xml:space="preserve">Existing correspondences between </w:t>
            </w:r>
            <w:r w:rsidR="00DA57CD">
              <w:rPr>
                <w:rFonts w:asciiTheme="majorBidi" w:hAnsiTheme="majorBidi" w:cstheme="majorBidi"/>
                <w:sz w:val="24"/>
                <w:szCs w:val="24"/>
              </w:rPr>
              <w:t>BEC 4</w:t>
            </w:r>
            <w:r w:rsidRPr="00AF64F7">
              <w:rPr>
                <w:rFonts w:asciiTheme="majorBidi" w:hAnsiTheme="majorBidi" w:cstheme="majorBidi"/>
                <w:sz w:val="24"/>
                <w:szCs w:val="24"/>
              </w:rPr>
              <w:t xml:space="preserve"> and HS at 4-digit and 6-digit levels to ISIC v.3, ISIC v.4.0, CPC v.1.1, GTAP and BEC End-Use with possible breakdown among intermediate, consumption and capital (no HS 201</w:t>
            </w:r>
            <w:r w:rsidR="000E2BB8">
              <w:rPr>
                <w:rFonts w:asciiTheme="majorBidi" w:hAnsiTheme="majorBidi" w:cstheme="majorBidi"/>
                <w:sz w:val="24"/>
                <w:szCs w:val="24"/>
              </w:rPr>
              <w:t>7) developed by OECD and USITC</w:t>
            </w:r>
          </w:p>
          <w:p w14:paraId="721259E1" w14:textId="5E76FC14" w:rsidR="00925EB0" w:rsidRPr="00AF64F7" w:rsidRDefault="00925EB0" w:rsidP="00925EB0">
            <w:pPr>
              <w:pStyle w:val="ListParagraph"/>
              <w:numPr>
                <w:ilvl w:val="0"/>
                <w:numId w:val="6"/>
              </w:numPr>
              <w:rPr>
                <w:rFonts w:asciiTheme="majorBidi" w:hAnsiTheme="majorBidi" w:cstheme="majorBidi"/>
                <w:sz w:val="24"/>
                <w:szCs w:val="24"/>
              </w:rPr>
            </w:pPr>
            <w:r w:rsidRPr="00AF64F7">
              <w:rPr>
                <w:rFonts w:asciiTheme="majorBidi" w:hAnsiTheme="majorBidi" w:cstheme="majorBidi"/>
                <w:sz w:val="24"/>
                <w:szCs w:val="24"/>
              </w:rPr>
              <w:t xml:space="preserve">Existing correspondences between </w:t>
            </w:r>
            <w:r w:rsidR="00DA57CD">
              <w:rPr>
                <w:rFonts w:asciiTheme="majorBidi" w:hAnsiTheme="majorBidi" w:cstheme="majorBidi"/>
                <w:sz w:val="24"/>
                <w:szCs w:val="24"/>
              </w:rPr>
              <w:t>BEC 4</w:t>
            </w:r>
            <w:r w:rsidRPr="00AF64F7">
              <w:rPr>
                <w:rFonts w:asciiTheme="majorBidi" w:hAnsiTheme="majorBidi" w:cstheme="majorBidi"/>
                <w:sz w:val="24"/>
                <w:szCs w:val="24"/>
              </w:rPr>
              <w:t xml:space="preserve"> and HS 2017 and earlier</w:t>
            </w:r>
            <w:r w:rsidR="000E2BB8">
              <w:rPr>
                <w:rFonts w:asciiTheme="majorBidi" w:hAnsiTheme="majorBidi" w:cstheme="majorBidi"/>
                <w:sz w:val="24"/>
                <w:szCs w:val="24"/>
              </w:rPr>
              <w:t xml:space="preserve"> HS editions developed by UNSD</w:t>
            </w:r>
          </w:p>
          <w:p w14:paraId="450EFB1C" w14:textId="77777777" w:rsidR="00925EB0" w:rsidRPr="00AF64F7" w:rsidRDefault="00925EB0" w:rsidP="00152F8F">
            <w:pPr>
              <w:pStyle w:val="ListParagraph"/>
              <w:rPr>
                <w:rFonts w:asciiTheme="majorBidi" w:hAnsiTheme="majorBidi" w:cstheme="majorBidi"/>
                <w:sz w:val="24"/>
                <w:szCs w:val="24"/>
              </w:rPr>
            </w:pPr>
          </w:p>
        </w:tc>
      </w:tr>
    </w:tbl>
    <w:p w14:paraId="028F10FE" w14:textId="49BD0154" w:rsidR="00925EB0" w:rsidRDefault="00925EB0" w:rsidP="00925EB0">
      <w:pPr>
        <w:rPr>
          <w:rFonts w:asciiTheme="majorBidi" w:hAnsiTheme="majorBidi" w:cstheme="majorBidi"/>
          <w:sz w:val="24"/>
          <w:szCs w:val="24"/>
        </w:rPr>
      </w:pPr>
    </w:p>
    <w:p w14:paraId="72E8C3B0" w14:textId="1EDC58F2" w:rsidR="000B71B1" w:rsidRPr="000B71B1" w:rsidRDefault="00DA57CD" w:rsidP="00925EB0">
      <w:pPr>
        <w:rPr>
          <w:rFonts w:asciiTheme="majorBidi" w:hAnsiTheme="majorBidi" w:cstheme="majorBidi"/>
          <w:b/>
          <w:bCs/>
          <w:sz w:val="24"/>
          <w:szCs w:val="24"/>
        </w:rPr>
      </w:pPr>
      <w:r>
        <w:rPr>
          <w:rFonts w:asciiTheme="majorBidi" w:hAnsiTheme="majorBidi" w:cstheme="majorBidi"/>
          <w:b/>
          <w:bCs/>
          <w:sz w:val="24"/>
          <w:szCs w:val="24"/>
        </w:rPr>
        <w:t>BEC 4</w:t>
      </w:r>
      <w:r w:rsidR="000B71B1" w:rsidRPr="000B71B1">
        <w:rPr>
          <w:rFonts w:asciiTheme="majorBidi" w:hAnsiTheme="majorBidi" w:cstheme="majorBidi"/>
          <w:b/>
          <w:bCs/>
          <w:sz w:val="24"/>
          <w:szCs w:val="24"/>
        </w:rPr>
        <w:t xml:space="preserve"> </w:t>
      </w:r>
      <w:r w:rsidR="000B71B1">
        <w:rPr>
          <w:rFonts w:asciiTheme="majorBidi" w:hAnsiTheme="majorBidi" w:cstheme="majorBidi"/>
          <w:b/>
          <w:bCs/>
          <w:sz w:val="24"/>
          <w:szCs w:val="24"/>
        </w:rPr>
        <w:t>to other classifications</w:t>
      </w:r>
      <w:r w:rsidR="001D4FAF">
        <w:rPr>
          <w:rFonts w:asciiTheme="majorBidi" w:hAnsiTheme="majorBidi" w:cstheme="majorBidi"/>
          <w:b/>
          <w:bCs/>
          <w:sz w:val="24"/>
          <w:szCs w:val="24"/>
        </w:rPr>
        <w:t xml:space="preserve"> (including HS 2017)</w:t>
      </w:r>
    </w:p>
    <w:p w14:paraId="355A404C" w14:textId="6C12FA0F" w:rsidR="00203686" w:rsidRDefault="00925EB0" w:rsidP="009F76FD">
      <w:pPr>
        <w:pStyle w:val="ListParagraph"/>
        <w:numPr>
          <w:ilvl w:val="0"/>
          <w:numId w:val="2"/>
        </w:numPr>
        <w:rPr>
          <w:rFonts w:asciiTheme="majorBidi" w:hAnsiTheme="majorBidi" w:cstheme="majorBidi"/>
          <w:sz w:val="24"/>
          <w:szCs w:val="24"/>
        </w:rPr>
      </w:pPr>
      <w:r w:rsidRPr="000E2BB8">
        <w:rPr>
          <w:rFonts w:asciiTheme="majorBidi" w:hAnsiTheme="majorBidi" w:cstheme="majorBidi"/>
          <w:sz w:val="24"/>
          <w:szCs w:val="24"/>
        </w:rPr>
        <w:t xml:space="preserve">We started by comparing existing </w:t>
      </w:r>
      <w:r w:rsidR="00DA57CD" w:rsidRPr="000E2BB8">
        <w:rPr>
          <w:rFonts w:asciiTheme="majorBidi" w:hAnsiTheme="majorBidi" w:cstheme="majorBidi"/>
          <w:sz w:val="24"/>
          <w:szCs w:val="24"/>
        </w:rPr>
        <w:t>BEC 4</w:t>
      </w:r>
      <w:r w:rsidRPr="000E2BB8">
        <w:rPr>
          <w:rFonts w:asciiTheme="majorBidi" w:hAnsiTheme="majorBidi" w:cstheme="majorBidi"/>
          <w:sz w:val="24"/>
          <w:szCs w:val="24"/>
        </w:rPr>
        <w:t xml:space="preserve"> correlations with other classifications developed se</w:t>
      </w:r>
      <w:r w:rsidR="000E2BB8">
        <w:rPr>
          <w:rFonts w:asciiTheme="majorBidi" w:hAnsiTheme="majorBidi" w:cstheme="majorBidi"/>
          <w:sz w:val="24"/>
          <w:szCs w:val="24"/>
        </w:rPr>
        <w:t xml:space="preserve">parately by OECD/USITC and UNSD. </w:t>
      </w:r>
      <w:r w:rsidRPr="000E2BB8">
        <w:rPr>
          <w:rFonts w:asciiTheme="majorBidi" w:hAnsiTheme="majorBidi" w:cstheme="majorBidi"/>
          <w:sz w:val="24"/>
          <w:szCs w:val="24"/>
        </w:rPr>
        <w:t xml:space="preserve">The discrepancies were identified and </w:t>
      </w:r>
      <w:r w:rsidR="00A47BAE" w:rsidRPr="000E2BB8">
        <w:rPr>
          <w:rFonts w:asciiTheme="majorBidi" w:hAnsiTheme="majorBidi" w:cstheme="majorBidi"/>
          <w:sz w:val="24"/>
          <w:szCs w:val="24"/>
        </w:rPr>
        <w:t>analysed</w:t>
      </w:r>
      <w:r w:rsidRPr="000E2BB8">
        <w:rPr>
          <w:rFonts w:asciiTheme="majorBidi" w:hAnsiTheme="majorBidi" w:cstheme="majorBidi"/>
          <w:sz w:val="24"/>
          <w:szCs w:val="24"/>
        </w:rPr>
        <w:t>. In July 2018, we s</w:t>
      </w:r>
      <w:r w:rsidR="000E2BB8">
        <w:rPr>
          <w:rFonts w:asciiTheme="majorBidi" w:hAnsiTheme="majorBidi" w:cstheme="majorBidi"/>
          <w:sz w:val="24"/>
          <w:szCs w:val="24"/>
        </w:rPr>
        <w:t xml:space="preserve">hared the file </w:t>
      </w:r>
      <w:r w:rsidRPr="000E2BB8">
        <w:rPr>
          <w:rFonts w:asciiTheme="majorBidi" w:hAnsiTheme="majorBidi" w:cstheme="majorBidi"/>
          <w:sz w:val="24"/>
          <w:szCs w:val="24"/>
        </w:rPr>
        <w:t>containing discrepancy of 80 HS codes (each sub-heading HS codes to be classified to primary or processed goods) with WCO requesting their feedback</w:t>
      </w:r>
      <w:r w:rsidR="000E2BB8">
        <w:rPr>
          <w:rFonts w:asciiTheme="majorBidi" w:hAnsiTheme="majorBidi" w:cstheme="majorBidi"/>
          <w:sz w:val="24"/>
          <w:szCs w:val="24"/>
        </w:rPr>
        <w:t>.</w:t>
      </w:r>
    </w:p>
    <w:p w14:paraId="41246238" w14:textId="77777777" w:rsidR="000E2BB8" w:rsidRPr="000E2BB8" w:rsidRDefault="000E2BB8" w:rsidP="000E2BB8">
      <w:pPr>
        <w:pStyle w:val="ListParagraph"/>
        <w:rPr>
          <w:rFonts w:asciiTheme="majorBidi" w:hAnsiTheme="majorBidi" w:cstheme="majorBidi"/>
          <w:sz w:val="24"/>
          <w:szCs w:val="24"/>
        </w:rPr>
      </w:pPr>
    </w:p>
    <w:p w14:paraId="0E28A6C3" w14:textId="3FB5C44E" w:rsidR="00925EB0" w:rsidRPr="00AF64F7" w:rsidRDefault="00481740" w:rsidP="00203686">
      <w:pPr>
        <w:pStyle w:val="ListParagraph"/>
        <w:numPr>
          <w:ilvl w:val="0"/>
          <w:numId w:val="2"/>
        </w:numPr>
        <w:rPr>
          <w:rFonts w:asciiTheme="majorBidi" w:hAnsiTheme="majorBidi" w:cstheme="majorBidi"/>
          <w:sz w:val="24"/>
          <w:szCs w:val="24"/>
        </w:rPr>
      </w:pPr>
      <w:r w:rsidRPr="00AF64F7">
        <w:rPr>
          <w:rFonts w:asciiTheme="majorBidi" w:hAnsiTheme="majorBidi" w:cstheme="majorBidi"/>
          <w:sz w:val="24"/>
          <w:szCs w:val="24"/>
        </w:rPr>
        <w:t>Applying</w:t>
      </w:r>
      <w:r w:rsidR="00925EB0" w:rsidRPr="00AF64F7">
        <w:rPr>
          <w:rFonts w:asciiTheme="majorBidi" w:hAnsiTheme="majorBidi" w:cstheme="majorBidi"/>
          <w:sz w:val="24"/>
          <w:szCs w:val="24"/>
        </w:rPr>
        <w:t xml:space="preserve"> UNSD correlation tables between </w:t>
      </w:r>
      <w:r w:rsidR="00DA57CD">
        <w:rPr>
          <w:rFonts w:asciiTheme="majorBidi" w:hAnsiTheme="majorBidi" w:cstheme="majorBidi"/>
          <w:sz w:val="24"/>
          <w:szCs w:val="24"/>
        </w:rPr>
        <w:t>BEC 4</w:t>
      </w:r>
      <w:r w:rsidR="00925EB0" w:rsidRPr="00AF64F7">
        <w:rPr>
          <w:rFonts w:asciiTheme="majorBidi" w:hAnsiTheme="majorBidi" w:cstheme="majorBidi"/>
          <w:sz w:val="24"/>
          <w:szCs w:val="24"/>
        </w:rPr>
        <w:t xml:space="preserve"> and HS 2017 and HS 2012 and HS 2017, we </w:t>
      </w:r>
      <w:r w:rsidR="000E2BB8">
        <w:rPr>
          <w:rFonts w:asciiTheme="majorBidi" w:hAnsiTheme="majorBidi" w:cstheme="majorBidi"/>
          <w:sz w:val="24"/>
          <w:szCs w:val="24"/>
        </w:rPr>
        <w:t xml:space="preserve">complemented OECD/USITC table </w:t>
      </w:r>
      <w:r w:rsidR="00925EB0" w:rsidRPr="00AF64F7">
        <w:rPr>
          <w:rFonts w:asciiTheme="majorBidi" w:hAnsiTheme="majorBidi" w:cstheme="majorBidi"/>
          <w:sz w:val="24"/>
          <w:szCs w:val="24"/>
        </w:rPr>
        <w:t>with HS 2017 codes. The output file is</w:t>
      </w:r>
      <w:r w:rsidR="000E2BB8">
        <w:rPr>
          <w:rFonts w:asciiTheme="majorBidi" w:hAnsiTheme="majorBidi" w:cstheme="majorBidi"/>
          <w:sz w:val="24"/>
          <w:szCs w:val="24"/>
        </w:rPr>
        <w:t xml:space="preserve"> called OECD/USITC/UNSD table.</w:t>
      </w:r>
      <w:r w:rsidR="00925EB0" w:rsidRPr="00AF64F7">
        <w:rPr>
          <w:rFonts w:asciiTheme="majorBidi" w:hAnsiTheme="majorBidi" w:cstheme="majorBidi"/>
          <w:sz w:val="24"/>
          <w:szCs w:val="24"/>
        </w:rPr>
        <w:t xml:space="preserve"> Even though, most of HS 2017 codes correlations could be derived from HS 2012 codes with following rules:</w:t>
      </w:r>
    </w:p>
    <w:p w14:paraId="48923239" w14:textId="77777777" w:rsidR="00925EB0" w:rsidRPr="00AF64F7" w:rsidRDefault="00925EB0" w:rsidP="00925EB0">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Keep pre-defined correlations of 1-to-1, n-to-1, and n-to-n (with retained codes) relationships between HS 2017 and HS 2012</w:t>
      </w:r>
    </w:p>
    <w:p w14:paraId="2B9D9511" w14:textId="77777777" w:rsidR="00925EB0" w:rsidRPr="00AF64F7" w:rsidRDefault="00925EB0" w:rsidP="00925EB0">
      <w:pPr>
        <w:pStyle w:val="ListParagraph"/>
        <w:numPr>
          <w:ilvl w:val="1"/>
          <w:numId w:val="4"/>
        </w:numPr>
        <w:spacing w:after="160" w:line="259" w:lineRule="auto"/>
        <w:rPr>
          <w:rFonts w:asciiTheme="majorBidi" w:hAnsiTheme="majorBidi" w:cstheme="majorBidi"/>
          <w:sz w:val="24"/>
          <w:szCs w:val="24"/>
        </w:rPr>
      </w:pPr>
      <w:r w:rsidRPr="00AF64F7">
        <w:rPr>
          <w:rFonts w:asciiTheme="majorBidi" w:hAnsiTheme="majorBidi" w:cstheme="majorBidi"/>
          <w:sz w:val="24"/>
          <w:szCs w:val="24"/>
        </w:rPr>
        <w:t>The rest would be done manually based on description of similar HS codes</w:t>
      </w:r>
    </w:p>
    <w:p w14:paraId="576C7747" w14:textId="41284601" w:rsidR="00925EB0" w:rsidRPr="00AF64F7" w:rsidRDefault="00925EB0" w:rsidP="00925EB0">
      <w:pPr>
        <w:pStyle w:val="ListParagraph"/>
        <w:rPr>
          <w:rFonts w:asciiTheme="majorBidi" w:hAnsiTheme="majorBidi" w:cstheme="majorBidi"/>
          <w:sz w:val="24"/>
          <w:szCs w:val="24"/>
        </w:rPr>
      </w:pPr>
      <w:r w:rsidRPr="00AF64F7">
        <w:rPr>
          <w:rFonts w:asciiTheme="majorBidi" w:hAnsiTheme="majorBidi" w:cstheme="majorBidi"/>
          <w:sz w:val="24"/>
          <w:szCs w:val="24"/>
        </w:rPr>
        <w:t>And the other HS 2017codes are to be correlated manually (by comparing with existing correlations with similar descriptions). All records added by UNSD are flagged a</w:t>
      </w:r>
      <w:r w:rsidR="000E2BB8">
        <w:rPr>
          <w:rFonts w:asciiTheme="majorBidi" w:hAnsiTheme="majorBidi" w:cstheme="majorBidi"/>
          <w:sz w:val="24"/>
          <w:szCs w:val="24"/>
        </w:rPr>
        <w:t>ccordingly.</w:t>
      </w:r>
    </w:p>
    <w:p w14:paraId="7728D148" w14:textId="5CFB0F87" w:rsidR="00925EB0" w:rsidRPr="00AF64F7" w:rsidRDefault="00925EB0" w:rsidP="00925EB0">
      <w:pPr>
        <w:pStyle w:val="ListParagraph"/>
        <w:rPr>
          <w:rFonts w:asciiTheme="majorBidi" w:hAnsiTheme="majorBidi" w:cstheme="majorBidi"/>
          <w:sz w:val="24"/>
          <w:szCs w:val="24"/>
        </w:rPr>
      </w:pPr>
    </w:p>
    <w:p w14:paraId="268F8483" w14:textId="053A89CC" w:rsidR="00203686" w:rsidRPr="00AF64F7" w:rsidRDefault="000B71B1" w:rsidP="00203686">
      <w:pPr>
        <w:rPr>
          <w:rFonts w:asciiTheme="majorBidi" w:hAnsiTheme="majorBidi" w:cstheme="majorBidi"/>
          <w:b/>
          <w:bCs/>
          <w:sz w:val="28"/>
          <w:szCs w:val="28"/>
        </w:rPr>
      </w:pPr>
      <w:r w:rsidRPr="000B71B1">
        <w:t xml:space="preserve"> </w:t>
      </w:r>
      <w:r w:rsidR="00DA57CD">
        <w:rPr>
          <w:rFonts w:asciiTheme="majorBidi" w:hAnsiTheme="majorBidi" w:cstheme="majorBidi"/>
          <w:b/>
          <w:bCs/>
          <w:sz w:val="24"/>
          <w:szCs w:val="24"/>
        </w:rPr>
        <w:t>BEC 5</w:t>
      </w:r>
      <w:r w:rsidRPr="000B71B1">
        <w:rPr>
          <w:rFonts w:asciiTheme="majorBidi" w:hAnsiTheme="majorBidi" w:cstheme="majorBidi"/>
          <w:b/>
          <w:bCs/>
          <w:sz w:val="24"/>
          <w:szCs w:val="24"/>
        </w:rPr>
        <w:t xml:space="preserve"> to other classifications.</w:t>
      </w:r>
    </w:p>
    <w:p w14:paraId="31FDDE1D" w14:textId="0A10F2B8" w:rsidR="0001687C" w:rsidRDefault="00203686" w:rsidP="00203686">
      <w:pPr>
        <w:pStyle w:val="ListParagraph"/>
        <w:numPr>
          <w:ilvl w:val="0"/>
          <w:numId w:val="2"/>
        </w:numPr>
        <w:rPr>
          <w:rFonts w:asciiTheme="majorBidi" w:hAnsiTheme="majorBidi" w:cstheme="majorBidi"/>
          <w:sz w:val="24"/>
          <w:szCs w:val="24"/>
        </w:rPr>
      </w:pPr>
      <w:r w:rsidRPr="00AF64F7">
        <w:rPr>
          <w:rFonts w:asciiTheme="majorBidi" w:hAnsiTheme="majorBidi" w:cstheme="majorBidi"/>
          <w:sz w:val="24"/>
          <w:szCs w:val="24"/>
        </w:rPr>
        <w:t xml:space="preserve">Undertake manual verification on draft correspondences between </w:t>
      </w:r>
      <w:r w:rsidR="00DA57CD">
        <w:rPr>
          <w:rFonts w:asciiTheme="majorBidi" w:hAnsiTheme="majorBidi" w:cstheme="majorBidi"/>
          <w:sz w:val="24"/>
          <w:szCs w:val="24"/>
        </w:rPr>
        <w:t>BEC 5</w:t>
      </w:r>
      <w:r w:rsidRPr="00AF64F7">
        <w:rPr>
          <w:rFonts w:asciiTheme="majorBidi" w:hAnsiTheme="majorBidi" w:cstheme="majorBidi"/>
          <w:sz w:val="24"/>
          <w:szCs w:val="24"/>
        </w:rPr>
        <w:t xml:space="preserve"> and HS 2012 / </w:t>
      </w:r>
      <w:r w:rsidR="0001687C">
        <w:rPr>
          <w:rFonts w:asciiTheme="majorBidi" w:hAnsiTheme="majorBidi" w:cstheme="majorBidi"/>
          <w:sz w:val="24"/>
          <w:szCs w:val="24"/>
        </w:rPr>
        <w:t>CPC</w:t>
      </w:r>
      <w:r w:rsidRPr="00AF64F7">
        <w:rPr>
          <w:rFonts w:asciiTheme="majorBidi" w:hAnsiTheme="majorBidi" w:cstheme="majorBidi"/>
          <w:sz w:val="24"/>
          <w:szCs w:val="24"/>
        </w:rPr>
        <w:t>.</w:t>
      </w:r>
      <w:r w:rsidR="0001687C">
        <w:rPr>
          <w:rFonts w:asciiTheme="majorBidi" w:hAnsiTheme="majorBidi" w:cstheme="majorBidi"/>
          <w:sz w:val="24"/>
          <w:szCs w:val="24"/>
        </w:rPr>
        <w:t xml:space="preserve"> For verification, we followed the following procedures</w:t>
      </w:r>
      <w:r w:rsidR="00DA57CD">
        <w:rPr>
          <w:rFonts w:asciiTheme="majorBidi" w:hAnsiTheme="majorBidi" w:cstheme="majorBidi"/>
          <w:sz w:val="24"/>
          <w:szCs w:val="24"/>
        </w:rPr>
        <w:t xml:space="preserve"> (HS 2012)</w:t>
      </w:r>
      <w:r w:rsidR="0001687C">
        <w:rPr>
          <w:rFonts w:asciiTheme="majorBidi" w:hAnsiTheme="majorBidi" w:cstheme="majorBidi"/>
          <w:sz w:val="24"/>
          <w:szCs w:val="24"/>
        </w:rPr>
        <w:t>:</w:t>
      </w:r>
    </w:p>
    <w:p w14:paraId="081D6EC4" w14:textId="7710A796" w:rsidR="0001687C" w:rsidRDefault="0001687C" w:rsidP="0001687C">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Review</w:t>
      </w:r>
      <w:r w:rsidR="00DA57CD">
        <w:rPr>
          <w:rFonts w:asciiTheme="majorBidi" w:hAnsiTheme="majorBidi" w:cstheme="majorBidi"/>
          <w:sz w:val="24"/>
          <w:szCs w:val="24"/>
        </w:rPr>
        <w:t xml:space="preserve"> existing draft</w:t>
      </w:r>
      <w:r>
        <w:rPr>
          <w:rFonts w:asciiTheme="majorBidi" w:hAnsiTheme="majorBidi" w:cstheme="majorBidi"/>
          <w:sz w:val="24"/>
          <w:szCs w:val="24"/>
        </w:rPr>
        <w:t xml:space="preserve"> and compare SNA end-use dimension </w:t>
      </w:r>
      <w:r w:rsidR="00DA57CD">
        <w:rPr>
          <w:rFonts w:asciiTheme="majorBidi" w:hAnsiTheme="majorBidi" w:cstheme="majorBidi"/>
          <w:sz w:val="24"/>
          <w:szCs w:val="24"/>
        </w:rPr>
        <w:t>with BEC 4</w:t>
      </w:r>
      <w:r>
        <w:rPr>
          <w:rFonts w:asciiTheme="majorBidi" w:hAnsiTheme="majorBidi" w:cstheme="majorBidi"/>
          <w:sz w:val="24"/>
          <w:szCs w:val="24"/>
        </w:rPr>
        <w:t xml:space="preserve">. </w:t>
      </w:r>
      <w:r w:rsidR="00DA57CD">
        <w:rPr>
          <w:rFonts w:asciiTheme="majorBidi" w:hAnsiTheme="majorBidi" w:cstheme="majorBidi"/>
          <w:sz w:val="24"/>
          <w:szCs w:val="24"/>
        </w:rPr>
        <w:t>A</w:t>
      </w:r>
      <w:r>
        <w:rPr>
          <w:rFonts w:asciiTheme="majorBidi" w:hAnsiTheme="majorBidi" w:cstheme="majorBidi"/>
          <w:sz w:val="24"/>
          <w:szCs w:val="24"/>
        </w:rPr>
        <w:t xml:space="preserve">djustment </w:t>
      </w:r>
      <w:r w:rsidR="00DA57CD">
        <w:rPr>
          <w:rFonts w:asciiTheme="majorBidi" w:hAnsiTheme="majorBidi" w:cstheme="majorBidi"/>
          <w:sz w:val="24"/>
          <w:szCs w:val="24"/>
        </w:rPr>
        <w:t xml:space="preserve">was made </w:t>
      </w:r>
      <w:r>
        <w:rPr>
          <w:rFonts w:asciiTheme="majorBidi" w:hAnsiTheme="majorBidi" w:cstheme="majorBidi"/>
          <w:sz w:val="24"/>
          <w:szCs w:val="24"/>
        </w:rPr>
        <w:t>if necessary. To the extent possible, possible dua</w:t>
      </w:r>
      <w:r w:rsidR="00DA57CD">
        <w:rPr>
          <w:rFonts w:asciiTheme="majorBidi" w:hAnsiTheme="majorBidi" w:cstheme="majorBidi"/>
          <w:sz w:val="24"/>
          <w:szCs w:val="24"/>
        </w:rPr>
        <w:t>l end-</w:t>
      </w:r>
      <w:r>
        <w:rPr>
          <w:rFonts w:asciiTheme="majorBidi" w:hAnsiTheme="majorBidi" w:cstheme="majorBidi"/>
          <w:sz w:val="24"/>
          <w:szCs w:val="24"/>
        </w:rPr>
        <w:t xml:space="preserve">use </w:t>
      </w:r>
      <w:r w:rsidR="00DA57CD">
        <w:rPr>
          <w:rFonts w:asciiTheme="majorBidi" w:hAnsiTheme="majorBidi" w:cstheme="majorBidi"/>
          <w:sz w:val="24"/>
          <w:szCs w:val="24"/>
        </w:rPr>
        <w:t xml:space="preserve">was identified </w:t>
      </w:r>
      <w:r>
        <w:rPr>
          <w:rFonts w:asciiTheme="majorBidi" w:hAnsiTheme="majorBidi" w:cstheme="majorBidi"/>
          <w:sz w:val="24"/>
          <w:szCs w:val="24"/>
        </w:rPr>
        <w:t xml:space="preserve">and </w:t>
      </w:r>
      <w:r w:rsidR="00DA57CD">
        <w:rPr>
          <w:rFonts w:asciiTheme="majorBidi" w:hAnsiTheme="majorBidi" w:cstheme="majorBidi"/>
          <w:sz w:val="24"/>
          <w:szCs w:val="24"/>
        </w:rPr>
        <w:t xml:space="preserve">then necessary </w:t>
      </w:r>
      <w:r>
        <w:rPr>
          <w:rFonts w:asciiTheme="majorBidi" w:hAnsiTheme="majorBidi" w:cstheme="majorBidi"/>
          <w:sz w:val="24"/>
          <w:szCs w:val="24"/>
        </w:rPr>
        <w:t>correspondence</w:t>
      </w:r>
      <w:r w:rsidR="00DA57CD">
        <w:rPr>
          <w:rFonts w:asciiTheme="majorBidi" w:hAnsiTheme="majorBidi" w:cstheme="majorBidi"/>
          <w:sz w:val="24"/>
          <w:szCs w:val="24"/>
        </w:rPr>
        <w:t xml:space="preserve"> was added</w:t>
      </w:r>
      <w:r>
        <w:rPr>
          <w:rFonts w:asciiTheme="majorBidi" w:hAnsiTheme="majorBidi" w:cstheme="majorBidi"/>
          <w:sz w:val="24"/>
          <w:szCs w:val="24"/>
        </w:rPr>
        <w:t>.</w:t>
      </w:r>
    </w:p>
    <w:p w14:paraId="0C5D9DBA" w14:textId="1B6F33B2" w:rsidR="0001687C" w:rsidRDefault="0001687C" w:rsidP="0001687C">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lastRenderedPageBreak/>
        <w:t xml:space="preserve">Review and adjust the processing and durability dimension (Primary vs.  Processed) </w:t>
      </w:r>
      <w:proofErr w:type="gramStart"/>
      <w:r>
        <w:rPr>
          <w:rFonts w:asciiTheme="majorBidi" w:hAnsiTheme="majorBidi" w:cstheme="majorBidi"/>
          <w:sz w:val="24"/>
          <w:szCs w:val="24"/>
        </w:rPr>
        <w:t>taking into account</w:t>
      </w:r>
      <w:proofErr w:type="gramEnd"/>
      <w:r>
        <w:rPr>
          <w:rFonts w:asciiTheme="majorBidi" w:hAnsiTheme="majorBidi" w:cstheme="majorBidi"/>
          <w:sz w:val="24"/>
          <w:szCs w:val="24"/>
        </w:rPr>
        <w:t xml:space="preserve"> the definition from original formulation of BEC</w:t>
      </w:r>
      <w:r>
        <w:rPr>
          <w:rStyle w:val="FootnoteReference"/>
          <w:rFonts w:asciiTheme="majorBidi" w:hAnsiTheme="majorBidi" w:cstheme="majorBidi"/>
          <w:sz w:val="24"/>
          <w:szCs w:val="24"/>
        </w:rPr>
        <w:footnoteReference w:id="3"/>
      </w:r>
      <w:r>
        <w:rPr>
          <w:rFonts w:asciiTheme="majorBidi" w:hAnsiTheme="majorBidi" w:cstheme="majorBidi"/>
          <w:sz w:val="24"/>
          <w:szCs w:val="24"/>
        </w:rPr>
        <w:t xml:space="preserve">. See also description on </w:t>
      </w:r>
      <w:r w:rsidR="00DA57CD">
        <w:rPr>
          <w:rFonts w:asciiTheme="majorBidi" w:hAnsiTheme="majorBidi" w:cstheme="majorBidi"/>
          <w:sz w:val="24"/>
          <w:szCs w:val="24"/>
        </w:rPr>
        <w:t>BEC 5</w:t>
      </w:r>
      <w:r>
        <w:rPr>
          <w:rFonts w:asciiTheme="majorBidi" w:hAnsiTheme="majorBidi" w:cstheme="majorBidi"/>
          <w:sz w:val="24"/>
          <w:szCs w:val="24"/>
        </w:rPr>
        <w:t xml:space="preserve"> paras 3.10-3.11 and 3.17-3.18</w:t>
      </w:r>
    </w:p>
    <w:p w14:paraId="46A0E11C" w14:textId="069251D7" w:rsidR="0001687C" w:rsidRDefault="0001687C" w:rsidP="0001687C">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Review and adjust the specification dimension following guidelines from </w:t>
      </w:r>
      <w:r w:rsidR="00DA57CD">
        <w:rPr>
          <w:rFonts w:asciiTheme="majorBidi" w:hAnsiTheme="majorBidi" w:cstheme="majorBidi"/>
          <w:sz w:val="24"/>
          <w:szCs w:val="24"/>
        </w:rPr>
        <w:t>BEC 5</w:t>
      </w:r>
      <w:r>
        <w:rPr>
          <w:rFonts w:asciiTheme="majorBidi" w:hAnsiTheme="majorBidi" w:cstheme="majorBidi"/>
          <w:sz w:val="24"/>
          <w:szCs w:val="24"/>
        </w:rPr>
        <w:t xml:space="preserve"> paras 3.12-3.16. Further, we also crossed check the result against </w:t>
      </w:r>
      <w:r>
        <w:rPr>
          <w:rFonts w:asciiTheme="majorBidi" w:hAnsiTheme="majorBidi" w:cstheme="majorBidi"/>
          <w:i/>
          <w:iCs/>
          <w:sz w:val="24"/>
          <w:szCs w:val="24"/>
        </w:rPr>
        <w:t>existing</w:t>
      </w:r>
      <w:r>
        <w:rPr>
          <w:rFonts w:asciiTheme="majorBidi" w:hAnsiTheme="majorBidi" w:cstheme="majorBidi"/>
          <w:sz w:val="24"/>
          <w:szCs w:val="24"/>
        </w:rPr>
        <w:t xml:space="preserve"> some GVC definition lists</w:t>
      </w:r>
      <w:r>
        <w:rPr>
          <w:rStyle w:val="FootnoteReference"/>
          <w:rFonts w:asciiTheme="majorBidi" w:hAnsiTheme="majorBidi" w:cstheme="majorBidi"/>
          <w:sz w:val="24"/>
          <w:szCs w:val="24"/>
        </w:rPr>
        <w:footnoteReference w:id="4"/>
      </w:r>
      <w:r>
        <w:rPr>
          <w:rFonts w:asciiTheme="majorBidi" w:hAnsiTheme="majorBidi" w:cstheme="majorBidi"/>
          <w:sz w:val="24"/>
          <w:szCs w:val="24"/>
        </w:rPr>
        <w:t xml:space="preserve"> consisting of automobile, textile, apparel, footwear and electronic.</w:t>
      </w:r>
    </w:p>
    <w:p w14:paraId="365A68EB" w14:textId="316CBF53" w:rsidR="005237DC" w:rsidRDefault="005237DC" w:rsidP="005237DC">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Finally, to the extent possible, corresponding BEC 5 codes were designated at the most detailed level. If not, then the next higher-level code would be selected (i.e., if specification dimension cannot be determined, then it would be marked “GEN/SPEC”).</w:t>
      </w:r>
    </w:p>
    <w:p w14:paraId="33F4A1FA" w14:textId="77777777" w:rsidR="00434BD1" w:rsidRDefault="00434BD1" w:rsidP="00434BD1">
      <w:pPr>
        <w:pStyle w:val="ListParagraph"/>
        <w:ind w:left="1440"/>
        <w:rPr>
          <w:rFonts w:asciiTheme="majorBidi" w:hAnsiTheme="majorBidi" w:cstheme="majorBidi"/>
          <w:sz w:val="24"/>
          <w:szCs w:val="24"/>
        </w:rPr>
      </w:pPr>
    </w:p>
    <w:p w14:paraId="382EC285" w14:textId="5D17A366" w:rsidR="00DA57CD" w:rsidRDefault="00DA57CD" w:rsidP="005237DC">
      <w:pPr>
        <w:pStyle w:val="ListParagraph"/>
        <w:ind w:left="0"/>
        <w:jc w:val="center"/>
        <w:rPr>
          <w:rFonts w:asciiTheme="majorBidi" w:hAnsiTheme="majorBidi" w:cstheme="majorBidi"/>
          <w:sz w:val="24"/>
          <w:szCs w:val="24"/>
        </w:rPr>
      </w:pPr>
      <w:r>
        <w:rPr>
          <w:rFonts w:asciiTheme="majorBidi" w:hAnsiTheme="majorBidi" w:cstheme="majorBidi"/>
          <w:sz w:val="24"/>
          <w:szCs w:val="24"/>
        </w:rPr>
        <w:t>Table 1. Summary correspondence between HS 2012 and BEC 5</w:t>
      </w:r>
    </w:p>
    <w:tbl>
      <w:tblPr>
        <w:tblStyle w:val="GridTable1Light-Accent1"/>
        <w:tblW w:w="7899" w:type="dxa"/>
        <w:jc w:val="center"/>
        <w:tblLook w:val="04A0" w:firstRow="1" w:lastRow="0" w:firstColumn="1" w:lastColumn="0" w:noHBand="0" w:noVBand="1"/>
      </w:tblPr>
      <w:tblGrid>
        <w:gridCol w:w="1192"/>
        <w:gridCol w:w="1265"/>
        <w:gridCol w:w="1386"/>
        <w:gridCol w:w="2108"/>
        <w:gridCol w:w="1948"/>
      </w:tblGrid>
      <w:tr w:rsidR="00DA57CD" w:rsidRPr="00DA57CD" w14:paraId="67949DB4" w14:textId="77777777" w:rsidTr="00DA57C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51" w:type="dxa"/>
            <w:gridSpan w:val="4"/>
            <w:noWrap/>
          </w:tcPr>
          <w:p w14:paraId="2FFC71FE" w14:textId="5CCBA13F" w:rsidR="00DA57CD" w:rsidRPr="00DA57CD" w:rsidRDefault="00DA57CD" w:rsidP="005237DC">
            <w:pPr>
              <w:jc w:val="center"/>
              <w:rPr>
                <w:rFonts w:ascii="Calibri" w:eastAsia="Times New Roman" w:hAnsi="Calibri" w:cs="Calibri"/>
                <w:color w:val="000000"/>
                <w:lang w:val="en-US"/>
              </w:rPr>
            </w:pPr>
            <w:r>
              <w:rPr>
                <w:rFonts w:ascii="Calibri" w:eastAsia="Times New Roman" w:hAnsi="Calibri" w:cs="Calibri"/>
                <w:color w:val="000000"/>
                <w:lang w:val="en-US"/>
              </w:rPr>
              <w:t>BEC 5 Dimension</w:t>
            </w:r>
          </w:p>
        </w:tc>
        <w:tc>
          <w:tcPr>
            <w:tcW w:w="1948" w:type="dxa"/>
            <w:noWrap/>
            <w:hideMark/>
          </w:tcPr>
          <w:p w14:paraId="02ADFB76" w14:textId="7C087DD0" w:rsidR="00DA57CD" w:rsidRPr="00DA57CD" w:rsidRDefault="00DA57CD" w:rsidP="005237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5237DC" w:rsidRPr="00DA57CD" w14:paraId="5C980FE6"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1E19C4BB" w14:textId="77777777" w:rsidR="00DA57CD" w:rsidRPr="00DA57CD" w:rsidRDefault="00DA57CD" w:rsidP="005237DC">
            <w:pPr>
              <w:jc w:val="center"/>
              <w:rPr>
                <w:rFonts w:ascii="Calibri" w:eastAsia="Times New Roman" w:hAnsi="Calibri" w:cs="Calibri"/>
                <w:color w:val="000000"/>
                <w:lang w:val="en-US"/>
              </w:rPr>
            </w:pPr>
            <w:r w:rsidRPr="00DA57CD">
              <w:rPr>
                <w:rFonts w:ascii="Calibri" w:eastAsia="Times New Roman" w:hAnsi="Calibri" w:cs="Calibri"/>
                <w:color w:val="000000"/>
                <w:lang w:val="en-US"/>
              </w:rPr>
              <w:t>End Use</w:t>
            </w:r>
          </w:p>
        </w:tc>
        <w:tc>
          <w:tcPr>
            <w:tcW w:w="1265" w:type="dxa"/>
            <w:noWrap/>
            <w:hideMark/>
          </w:tcPr>
          <w:p w14:paraId="5D9CFBB8" w14:textId="77777777" w:rsidR="00DA57CD" w:rsidRPr="00DA57CD" w:rsidRDefault="00DA57CD" w:rsidP="00523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DA57CD">
              <w:rPr>
                <w:rFonts w:ascii="Calibri" w:eastAsia="Times New Roman" w:hAnsi="Calibri" w:cs="Calibri"/>
                <w:b/>
                <w:bCs/>
                <w:color w:val="000000"/>
                <w:lang w:val="en-US"/>
              </w:rPr>
              <w:t>Processing</w:t>
            </w:r>
          </w:p>
        </w:tc>
        <w:tc>
          <w:tcPr>
            <w:tcW w:w="1386" w:type="dxa"/>
            <w:noWrap/>
            <w:hideMark/>
          </w:tcPr>
          <w:p w14:paraId="6A71AE1D" w14:textId="77777777" w:rsidR="00DA57CD" w:rsidRPr="00DA57CD" w:rsidRDefault="00DA57CD" w:rsidP="00523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DA57CD">
              <w:rPr>
                <w:rFonts w:ascii="Calibri" w:eastAsia="Times New Roman" w:hAnsi="Calibri" w:cs="Calibri"/>
                <w:b/>
                <w:bCs/>
                <w:color w:val="000000"/>
                <w:lang w:val="en-US"/>
              </w:rPr>
              <w:t>Specification</w:t>
            </w:r>
          </w:p>
        </w:tc>
        <w:tc>
          <w:tcPr>
            <w:tcW w:w="2108" w:type="dxa"/>
            <w:noWrap/>
            <w:hideMark/>
          </w:tcPr>
          <w:p w14:paraId="26317A6F" w14:textId="77777777" w:rsidR="00DA57CD" w:rsidRPr="00DA57CD" w:rsidRDefault="00DA57CD" w:rsidP="00523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DA57CD">
              <w:rPr>
                <w:rFonts w:ascii="Calibri" w:eastAsia="Times New Roman" w:hAnsi="Calibri" w:cs="Calibri"/>
                <w:b/>
                <w:bCs/>
                <w:color w:val="000000"/>
                <w:lang w:val="en-US"/>
              </w:rPr>
              <w:t>Durability</w:t>
            </w:r>
          </w:p>
        </w:tc>
        <w:tc>
          <w:tcPr>
            <w:tcW w:w="1948" w:type="dxa"/>
            <w:noWrap/>
            <w:hideMark/>
          </w:tcPr>
          <w:p w14:paraId="5332BD61" w14:textId="77777777" w:rsidR="00DA57CD" w:rsidRPr="00DA57CD" w:rsidRDefault="00DA57CD" w:rsidP="00523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DA57CD">
              <w:rPr>
                <w:rFonts w:ascii="Calibri" w:eastAsia="Times New Roman" w:hAnsi="Calibri" w:cs="Calibri"/>
                <w:b/>
                <w:bCs/>
                <w:color w:val="000000"/>
                <w:lang w:val="en-US"/>
              </w:rPr>
              <w:t>No of HS codes</w:t>
            </w:r>
          </w:p>
        </w:tc>
      </w:tr>
      <w:tr w:rsidR="00DA57CD" w:rsidRPr="00DA57CD" w14:paraId="1CE0715D"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B72F94E"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w:t>
            </w:r>
          </w:p>
        </w:tc>
        <w:tc>
          <w:tcPr>
            <w:tcW w:w="1265" w:type="dxa"/>
            <w:noWrap/>
            <w:hideMark/>
          </w:tcPr>
          <w:p w14:paraId="14D2F9EF"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3494" w:type="dxa"/>
            <w:gridSpan w:val="2"/>
            <w:noWrap/>
            <w:hideMark/>
          </w:tcPr>
          <w:p w14:paraId="7CCAFC1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GEN/SPEC</w:t>
            </w:r>
          </w:p>
        </w:tc>
        <w:tc>
          <w:tcPr>
            <w:tcW w:w="1948" w:type="dxa"/>
            <w:noWrap/>
            <w:hideMark/>
          </w:tcPr>
          <w:p w14:paraId="12352BDD"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96</w:t>
            </w:r>
          </w:p>
        </w:tc>
      </w:tr>
      <w:tr w:rsidR="00DA57CD" w:rsidRPr="00DA57CD" w14:paraId="2B545C79"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6969B97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w:t>
            </w:r>
          </w:p>
        </w:tc>
        <w:tc>
          <w:tcPr>
            <w:tcW w:w="1265" w:type="dxa"/>
            <w:noWrap/>
            <w:hideMark/>
          </w:tcPr>
          <w:p w14:paraId="17FD5C1B"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386" w:type="dxa"/>
            <w:noWrap/>
            <w:hideMark/>
          </w:tcPr>
          <w:p w14:paraId="6DC34907"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GENERIC</w:t>
            </w:r>
          </w:p>
        </w:tc>
        <w:tc>
          <w:tcPr>
            <w:tcW w:w="2108" w:type="dxa"/>
            <w:noWrap/>
            <w:hideMark/>
          </w:tcPr>
          <w:p w14:paraId="77D58DD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56AFA4DB" w14:textId="6F322D7A" w:rsidR="00DA57CD" w:rsidRPr="00DA57CD" w:rsidRDefault="003B4B6A"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344</w:t>
            </w:r>
          </w:p>
        </w:tc>
      </w:tr>
      <w:tr w:rsidR="00DA57CD" w:rsidRPr="00DA57CD" w14:paraId="1E015523"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5E6C4B8C"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w:t>
            </w:r>
          </w:p>
        </w:tc>
        <w:tc>
          <w:tcPr>
            <w:tcW w:w="1265" w:type="dxa"/>
            <w:noWrap/>
            <w:hideMark/>
          </w:tcPr>
          <w:p w14:paraId="7B9B1F8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386" w:type="dxa"/>
            <w:noWrap/>
            <w:hideMark/>
          </w:tcPr>
          <w:p w14:paraId="0915B745"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21248625"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113AF623" w14:textId="3D35C9BB" w:rsidR="00DA57CD" w:rsidRPr="00DA57CD" w:rsidRDefault="003B4B6A"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191</w:t>
            </w:r>
          </w:p>
        </w:tc>
      </w:tr>
      <w:tr w:rsidR="00DA57CD" w:rsidRPr="00DA57CD" w14:paraId="38226E32"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2457" w:type="dxa"/>
            <w:gridSpan w:val="2"/>
            <w:noWrap/>
            <w:hideMark/>
          </w:tcPr>
          <w:p w14:paraId="342BF0F0"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CAP/CONS</w:t>
            </w:r>
          </w:p>
        </w:tc>
        <w:tc>
          <w:tcPr>
            <w:tcW w:w="1386" w:type="dxa"/>
            <w:noWrap/>
            <w:hideMark/>
          </w:tcPr>
          <w:p w14:paraId="14C6FD2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GENERIC</w:t>
            </w:r>
          </w:p>
        </w:tc>
        <w:tc>
          <w:tcPr>
            <w:tcW w:w="2108" w:type="dxa"/>
            <w:noWrap/>
            <w:hideMark/>
          </w:tcPr>
          <w:p w14:paraId="30E9C1F1"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12C2040F" w14:textId="0F59B400" w:rsidR="00DA57CD" w:rsidRPr="00DA57CD" w:rsidRDefault="003B4B6A"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w:t>
            </w:r>
          </w:p>
        </w:tc>
      </w:tr>
      <w:tr w:rsidR="00DA57CD" w:rsidRPr="00DA57CD" w14:paraId="29A0A458"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2457" w:type="dxa"/>
            <w:gridSpan w:val="2"/>
            <w:noWrap/>
            <w:hideMark/>
          </w:tcPr>
          <w:p w14:paraId="1BEA373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CAP/CONS</w:t>
            </w:r>
          </w:p>
        </w:tc>
        <w:tc>
          <w:tcPr>
            <w:tcW w:w="1386" w:type="dxa"/>
            <w:noWrap/>
            <w:hideMark/>
          </w:tcPr>
          <w:p w14:paraId="0355755B"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0083C9E7"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5AE54BFA"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9</w:t>
            </w:r>
          </w:p>
        </w:tc>
      </w:tr>
      <w:tr w:rsidR="00DA57CD" w:rsidRPr="00DA57CD" w14:paraId="65CAF0F4"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12CD7FD7"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CAP/INT</w:t>
            </w:r>
          </w:p>
        </w:tc>
        <w:tc>
          <w:tcPr>
            <w:tcW w:w="1265" w:type="dxa"/>
            <w:noWrap/>
            <w:hideMark/>
          </w:tcPr>
          <w:p w14:paraId="70AE139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386" w:type="dxa"/>
            <w:noWrap/>
            <w:hideMark/>
          </w:tcPr>
          <w:p w14:paraId="6132D32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GENERIC</w:t>
            </w:r>
          </w:p>
        </w:tc>
        <w:tc>
          <w:tcPr>
            <w:tcW w:w="2108" w:type="dxa"/>
            <w:noWrap/>
            <w:hideMark/>
          </w:tcPr>
          <w:p w14:paraId="75DAB79C"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62C2C9F7"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28</w:t>
            </w:r>
          </w:p>
        </w:tc>
      </w:tr>
      <w:tr w:rsidR="00DA57CD" w:rsidRPr="00DA57CD" w14:paraId="5223E629"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58AB3E2"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CAP/INT</w:t>
            </w:r>
          </w:p>
        </w:tc>
        <w:tc>
          <w:tcPr>
            <w:tcW w:w="1265" w:type="dxa"/>
            <w:noWrap/>
            <w:hideMark/>
          </w:tcPr>
          <w:p w14:paraId="2523A684"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386" w:type="dxa"/>
            <w:noWrap/>
            <w:hideMark/>
          </w:tcPr>
          <w:p w14:paraId="63B7DF6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20018CBE"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76811C34"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6</w:t>
            </w:r>
          </w:p>
        </w:tc>
      </w:tr>
      <w:tr w:rsidR="00DA57CD" w:rsidRPr="00DA57CD" w14:paraId="09A64998"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64182B1"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w:t>
            </w:r>
          </w:p>
        </w:tc>
        <w:tc>
          <w:tcPr>
            <w:tcW w:w="1265" w:type="dxa"/>
            <w:noWrap/>
            <w:hideMark/>
          </w:tcPr>
          <w:p w14:paraId="5A3FAB4C"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PRIMARY</w:t>
            </w:r>
          </w:p>
        </w:tc>
        <w:tc>
          <w:tcPr>
            <w:tcW w:w="1386" w:type="dxa"/>
            <w:noWrap/>
            <w:hideMark/>
          </w:tcPr>
          <w:p w14:paraId="579B6B2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2108" w:type="dxa"/>
            <w:noWrap/>
            <w:hideMark/>
          </w:tcPr>
          <w:p w14:paraId="0069E01B"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DURABLE</w:t>
            </w:r>
          </w:p>
        </w:tc>
        <w:tc>
          <w:tcPr>
            <w:tcW w:w="1948" w:type="dxa"/>
            <w:noWrap/>
            <w:hideMark/>
          </w:tcPr>
          <w:p w14:paraId="78C71CBC" w14:textId="1336C374" w:rsidR="00DA57CD" w:rsidRPr="00DA57CD" w:rsidRDefault="005A4679"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w:t>
            </w:r>
          </w:p>
        </w:tc>
      </w:tr>
      <w:tr w:rsidR="00DA57CD" w:rsidRPr="00DA57CD" w14:paraId="5F0A7C0B"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B62004B"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w:t>
            </w:r>
          </w:p>
        </w:tc>
        <w:tc>
          <w:tcPr>
            <w:tcW w:w="1265" w:type="dxa"/>
            <w:noWrap/>
            <w:hideMark/>
          </w:tcPr>
          <w:p w14:paraId="09B2204E"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PRIMARY</w:t>
            </w:r>
          </w:p>
        </w:tc>
        <w:tc>
          <w:tcPr>
            <w:tcW w:w="1386" w:type="dxa"/>
            <w:noWrap/>
            <w:hideMark/>
          </w:tcPr>
          <w:p w14:paraId="118E08C3"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2108" w:type="dxa"/>
            <w:noWrap/>
            <w:hideMark/>
          </w:tcPr>
          <w:p w14:paraId="10F2CBB4"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NON-DURABLE</w:t>
            </w:r>
          </w:p>
        </w:tc>
        <w:tc>
          <w:tcPr>
            <w:tcW w:w="1948" w:type="dxa"/>
            <w:noWrap/>
            <w:hideMark/>
          </w:tcPr>
          <w:p w14:paraId="4D7D67F8" w14:textId="0D5AFEEA"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55</w:t>
            </w:r>
            <w:r w:rsidR="004E065D">
              <w:rPr>
                <w:rFonts w:ascii="Calibri" w:eastAsia="Times New Roman" w:hAnsi="Calibri" w:cs="Calibri"/>
                <w:color w:val="000000"/>
                <w:lang w:val="en-US"/>
              </w:rPr>
              <w:t>7</w:t>
            </w:r>
          </w:p>
        </w:tc>
      </w:tr>
      <w:tr w:rsidR="00DA57CD" w:rsidRPr="00DA57CD" w14:paraId="16D8C8C4"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045A1DE"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w:t>
            </w:r>
          </w:p>
        </w:tc>
        <w:tc>
          <w:tcPr>
            <w:tcW w:w="2651" w:type="dxa"/>
            <w:gridSpan w:val="2"/>
            <w:noWrap/>
            <w:hideMark/>
          </w:tcPr>
          <w:p w14:paraId="7A5F7C64"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2108" w:type="dxa"/>
            <w:noWrap/>
            <w:hideMark/>
          </w:tcPr>
          <w:p w14:paraId="3C33F1C1"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DURABLE</w:t>
            </w:r>
          </w:p>
        </w:tc>
        <w:tc>
          <w:tcPr>
            <w:tcW w:w="1948" w:type="dxa"/>
            <w:noWrap/>
            <w:hideMark/>
          </w:tcPr>
          <w:p w14:paraId="2FCE4278" w14:textId="402426F9" w:rsidR="00DA57CD" w:rsidRPr="00DA57CD" w:rsidRDefault="004E065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532</w:t>
            </w:r>
          </w:p>
        </w:tc>
      </w:tr>
      <w:tr w:rsidR="00DA57CD" w:rsidRPr="00DA57CD" w14:paraId="3D511FF7"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159AD282"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w:t>
            </w:r>
          </w:p>
        </w:tc>
        <w:tc>
          <w:tcPr>
            <w:tcW w:w="2651" w:type="dxa"/>
            <w:gridSpan w:val="2"/>
            <w:noWrap/>
            <w:hideMark/>
          </w:tcPr>
          <w:p w14:paraId="6F8A8DC1"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2108" w:type="dxa"/>
            <w:noWrap/>
            <w:hideMark/>
          </w:tcPr>
          <w:p w14:paraId="316D1EB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NON-DURABLE</w:t>
            </w:r>
          </w:p>
        </w:tc>
        <w:tc>
          <w:tcPr>
            <w:tcW w:w="1948" w:type="dxa"/>
            <w:noWrap/>
            <w:hideMark/>
          </w:tcPr>
          <w:p w14:paraId="4240718E" w14:textId="6737A4AF" w:rsidR="00DA57CD" w:rsidRPr="00DA57CD" w:rsidRDefault="004E065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109</w:t>
            </w:r>
          </w:p>
        </w:tc>
      </w:tr>
      <w:tr w:rsidR="00DA57CD" w:rsidRPr="00DA57CD" w14:paraId="65998AF8"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6C44163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CONS/CAP</w:t>
            </w:r>
          </w:p>
        </w:tc>
        <w:tc>
          <w:tcPr>
            <w:tcW w:w="2651" w:type="dxa"/>
            <w:gridSpan w:val="2"/>
            <w:noWrap/>
            <w:hideMark/>
          </w:tcPr>
          <w:p w14:paraId="0B15A490"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2108" w:type="dxa"/>
            <w:noWrap/>
            <w:hideMark/>
          </w:tcPr>
          <w:p w14:paraId="5856D498"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DURABLE</w:t>
            </w:r>
          </w:p>
        </w:tc>
        <w:tc>
          <w:tcPr>
            <w:tcW w:w="1948" w:type="dxa"/>
            <w:noWrap/>
            <w:hideMark/>
          </w:tcPr>
          <w:p w14:paraId="1626B279" w14:textId="6DCEFA3E" w:rsidR="00DA57CD" w:rsidRPr="00DA57CD" w:rsidRDefault="003B4B6A"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66</w:t>
            </w:r>
          </w:p>
        </w:tc>
      </w:tr>
      <w:tr w:rsidR="00DA57CD" w:rsidRPr="00DA57CD" w14:paraId="03A08FF7"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20F5290"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CONS/INT</w:t>
            </w:r>
          </w:p>
        </w:tc>
        <w:tc>
          <w:tcPr>
            <w:tcW w:w="1265" w:type="dxa"/>
            <w:noWrap/>
            <w:hideMark/>
          </w:tcPr>
          <w:p w14:paraId="40DF2C23"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PRIMARY</w:t>
            </w:r>
          </w:p>
        </w:tc>
        <w:tc>
          <w:tcPr>
            <w:tcW w:w="1386" w:type="dxa"/>
            <w:noWrap/>
            <w:hideMark/>
          </w:tcPr>
          <w:p w14:paraId="4CAD1993"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2108" w:type="dxa"/>
            <w:noWrap/>
            <w:hideMark/>
          </w:tcPr>
          <w:p w14:paraId="27BAF498"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NON-DURABLE</w:t>
            </w:r>
          </w:p>
        </w:tc>
        <w:tc>
          <w:tcPr>
            <w:tcW w:w="1948" w:type="dxa"/>
            <w:noWrap/>
            <w:hideMark/>
          </w:tcPr>
          <w:p w14:paraId="4A463D0A"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25</w:t>
            </w:r>
          </w:p>
        </w:tc>
      </w:tr>
      <w:tr w:rsidR="00DA57CD" w:rsidRPr="00DA57CD" w14:paraId="67EAA62E"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1BF965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CONS/INT</w:t>
            </w:r>
          </w:p>
        </w:tc>
        <w:tc>
          <w:tcPr>
            <w:tcW w:w="2651" w:type="dxa"/>
            <w:gridSpan w:val="2"/>
            <w:noWrap/>
            <w:hideMark/>
          </w:tcPr>
          <w:p w14:paraId="6DF7C73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2108" w:type="dxa"/>
            <w:noWrap/>
            <w:hideMark/>
          </w:tcPr>
          <w:p w14:paraId="55A1B476"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DURABLE</w:t>
            </w:r>
          </w:p>
        </w:tc>
        <w:tc>
          <w:tcPr>
            <w:tcW w:w="1948" w:type="dxa"/>
            <w:noWrap/>
            <w:hideMark/>
          </w:tcPr>
          <w:p w14:paraId="3794F0E7"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80</w:t>
            </w:r>
          </w:p>
        </w:tc>
      </w:tr>
      <w:tr w:rsidR="00DA57CD" w:rsidRPr="00DA57CD" w14:paraId="3C443E92"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FF631DE"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CONS/INT</w:t>
            </w:r>
          </w:p>
        </w:tc>
        <w:tc>
          <w:tcPr>
            <w:tcW w:w="2651" w:type="dxa"/>
            <w:gridSpan w:val="2"/>
            <w:noWrap/>
            <w:hideMark/>
          </w:tcPr>
          <w:p w14:paraId="12E3CE7E"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2108" w:type="dxa"/>
            <w:noWrap/>
            <w:hideMark/>
          </w:tcPr>
          <w:p w14:paraId="48757E2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NON-DURABLE</w:t>
            </w:r>
          </w:p>
        </w:tc>
        <w:tc>
          <w:tcPr>
            <w:tcW w:w="1948" w:type="dxa"/>
            <w:noWrap/>
            <w:hideMark/>
          </w:tcPr>
          <w:p w14:paraId="5E74A755" w14:textId="1CB714C7" w:rsidR="00DA57CD" w:rsidRPr="00DA57CD" w:rsidRDefault="004E065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14</w:t>
            </w:r>
          </w:p>
        </w:tc>
      </w:tr>
      <w:tr w:rsidR="00DA57CD" w:rsidRPr="00DA57CD" w14:paraId="17136CBB"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12146F3"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w:t>
            </w:r>
          </w:p>
        </w:tc>
        <w:tc>
          <w:tcPr>
            <w:tcW w:w="1265" w:type="dxa"/>
            <w:noWrap/>
            <w:hideMark/>
          </w:tcPr>
          <w:p w14:paraId="14AB9EF0"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PRIMARY</w:t>
            </w:r>
          </w:p>
        </w:tc>
        <w:tc>
          <w:tcPr>
            <w:tcW w:w="1386" w:type="dxa"/>
            <w:noWrap/>
            <w:hideMark/>
          </w:tcPr>
          <w:p w14:paraId="16FD1BAE"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2108" w:type="dxa"/>
            <w:noWrap/>
            <w:hideMark/>
          </w:tcPr>
          <w:p w14:paraId="071BA86C"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948" w:type="dxa"/>
            <w:noWrap/>
            <w:hideMark/>
          </w:tcPr>
          <w:p w14:paraId="4B18F247"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337</w:t>
            </w:r>
          </w:p>
        </w:tc>
      </w:tr>
      <w:tr w:rsidR="00DA57CD" w:rsidRPr="00DA57CD" w14:paraId="47B3A39E"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5F3EFAB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w:t>
            </w:r>
          </w:p>
        </w:tc>
        <w:tc>
          <w:tcPr>
            <w:tcW w:w="1265" w:type="dxa"/>
            <w:noWrap/>
            <w:hideMark/>
          </w:tcPr>
          <w:p w14:paraId="0E25A5A3"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3494" w:type="dxa"/>
            <w:gridSpan w:val="2"/>
            <w:noWrap/>
            <w:hideMark/>
          </w:tcPr>
          <w:p w14:paraId="55501F8D"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GEN/SPEC</w:t>
            </w:r>
          </w:p>
        </w:tc>
        <w:tc>
          <w:tcPr>
            <w:tcW w:w="1948" w:type="dxa"/>
            <w:noWrap/>
            <w:hideMark/>
          </w:tcPr>
          <w:p w14:paraId="7DD74D0B"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27</w:t>
            </w:r>
          </w:p>
        </w:tc>
      </w:tr>
      <w:tr w:rsidR="00DA57CD" w:rsidRPr="00DA57CD" w14:paraId="54113D0B"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5198D1B8"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w:t>
            </w:r>
          </w:p>
        </w:tc>
        <w:tc>
          <w:tcPr>
            <w:tcW w:w="1265" w:type="dxa"/>
            <w:noWrap/>
            <w:hideMark/>
          </w:tcPr>
          <w:p w14:paraId="6EB25A34"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1386" w:type="dxa"/>
            <w:noWrap/>
            <w:hideMark/>
          </w:tcPr>
          <w:p w14:paraId="4B3B7F57"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GENERIC</w:t>
            </w:r>
          </w:p>
        </w:tc>
        <w:tc>
          <w:tcPr>
            <w:tcW w:w="2108" w:type="dxa"/>
            <w:noWrap/>
            <w:hideMark/>
          </w:tcPr>
          <w:p w14:paraId="44910F96"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0C0FC550" w14:textId="609D48F3" w:rsidR="00DA57CD" w:rsidRPr="00DA57CD" w:rsidRDefault="003B4B6A"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1087</w:t>
            </w:r>
          </w:p>
        </w:tc>
      </w:tr>
      <w:tr w:rsidR="00DA57CD" w:rsidRPr="00DA57CD" w14:paraId="12978575"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45FA491"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w:t>
            </w:r>
          </w:p>
        </w:tc>
        <w:tc>
          <w:tcPr>
            <w:tcW w:w="1265" w:type="dxa"/>
            <w:noWrap/>
            <w:hideMark/>
          </w:tcPr>
          <w:p w14:paraId="543912C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1386" w:type="dxa"/>
            <w:noWrap/>
            <w:hideMark/>
          </w:tcPr>
          <w:p w14:paraId="2C92872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0C56DC3A"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7B4B4B5F" w14:textId="02BF3282"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157</w:t>
            </w:r>
            <w:r w:rsidR="003B4B6A">
              <w:rPr>
                <w:rFonts w:ascii="Calibri" w:eastAsia="Times New Roman" w:hAnsi="Calibri" w:cs="Calibri"/>
                <w:color w:val="000000"/>
                <w:lang w:val="en-US"/>
              </w:rPr>
              <w:t>2</w:t>
            </w:r>
          </w:p>
        </w:tc>
      </w:tr>
      <w:tr w:rsidR="00DA57CD" w:rsidRPr="00DA57CD" w14:paraId="7425A41A"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59E79C6A"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INT/CAP</w:t>
            </w:r>
          </w:p>
        </w:tc>
        <w:tc>
          <w:tcPr>
            <w:tcW w:w="1265" w:type="dxa"/>
            <w:noWrap/>
            <w:hideMark/>
          </w:tcPr>
          <w:p w14:paraId="25687037"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1386" w:type="dxa"/>
            <w:noWrap/>
            <w:hideMark/>
          </w:tcPr>
          <w:p w14:paraId="32A5C26D"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1C209E46"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2A64B2A1"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10</w:t>
            </w:r>
          </w:p>
        </w:tc>
      </w:tr>
      <w:tr w:rsidR="00DA57CD" w:rsidRPr="00DA57CD" w14:paraId="7E0AEB5A"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63155C93"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INT/CONS</w:t>
            </w:r>
          </w:p>
        </w:tc>
        <w:tc>
          <w:tcPr>
            <w:tcW w:w="1265" w:type="dxa"/>
            <w:noWrap/>
            <w:hideMark/>
          </w:tcPr>
          <w:p w14:paraId="458D593B"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PRIMARY</w:t>
            </w:r>
          </w:p>
        </w:tc>
        <w:tc>
          <w:tcPr>
            <w:tcW w:w="1386" w:type="dxa"/>
            <w:noWrap/>
            <w:hideMark/>
          </w:tcPr>
          <w:p w14:paraId="5AA50080"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2108" w:type="dxa"/>
            <w:noWrap/>
            <w:hideMark/>
          </w:tcPr>
          <w:p w14:paraId="07112710"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948" w:type="dxa"/>
            <w:noWrap/>
            <w:hideMark/>
          </w:tcPr>
          <w:p w14:paraId="38144E41"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4</w:t>
            </w:r>
          </w:p>
        </w:tc>
      </w:tr>
      <w:tr w:rsidR="00DA57CD" w:rsidRPr="00DA57CD" w14:paraId="081C486D"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03F3D070"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INT/CONS</w:t>
            </w:r>
          </w:p>
        </w:tc>
        <w:tc>
          <w:tcPr>
            <w:tcW w:w="1265" w:type="dxa"/>
            <w:noWrap/>
            <w:hideMark/>
          </w:tcPr>
          <w:p w14:paraId="3B900C2A"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3494" w:type="dxa"/>
            <w:gridSpan w:val="2"/>
            <w:noWrap/>
            <w:hideMark/>
          </w:tcPr>
          <w:p w14:paraId="202F78EF"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GEN/SPEC</w:t>
            </w:r>
          </w:p>
        </w:tc>
        <w:tc>
          <w:tcPr>
            <w:tcW w:w="1948" w:type="dxa"/>
            <w:noWrap/>
            <w:hideMark/>
          </w:tcPr>
          <w:p w14:paraId="583F1BD9"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1</w:t>
            </w:r>
          </w:p>
        </w:tc>
      </w:tr>
      <w:tr w:rsidR="00DA57CD" w:rsidRPr="00DA57CD" w14:paraId="49FB3542"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01322FD"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INT/CONS</w:t>
            </w:r>
          </w:p>
        </w:tc>
        <w:tc>
          <w:tcPr>
            <w:tcW w:w="1265" w:type="dxa"/>
            <w:noWrap/>
            <w:hideMark/>
          </w:tcPr>
          <w:p w14:paraId="39320FE3"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1386" w:type="dxa"/>
            <w:noWrap/>
            <w:hideMark/>
          </w:tcPr>
          <w:p w14:paraId="5098585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GENERIC</w:t>
            </w:r>
          </w:p>
        </w:tc>
        <w:tc>
          <w:tcPr>
            <w:tcW w:w="2108" w:type="dxa"/>
            <w:noWrap/>
            <w:hideMark/>
          </w:tcPr>
          <w:p w14:paraId="7F8222D9"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3E7FDAD7"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34</w:t>
            </w:r>
          </w:p>
        </w:tc>
      </w:tr>
      <w:tr w:rsidR="00DA57CD" w:rsidRPr="00DA57CD" w14:paraId="75682C9A" w14:textId="77777777" w:rsidTr="00DA57CD">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53705EF" w14:textId="77777777" w:rsidR="00DA57CD" w:rsidRPr="00DA57CD" w:rsidRDefault="00DA57CD" w:rsidP="005237DC">
            <w:pPr>
              <w:rPr>
                <w:rFonts w:ascii="Calibri" w:eastAsia="Times New Roman" w:hAnsi="Calibri" w:cs="Calibri"/>
                <w:color w:val="000000"/>
                <w:lang w:val="en-US"/>
              </w:rPr>
            </w:pPr>
            <w:r w:rsidRPr="00DA57CD">
              <w:rPr>
                <w:rFonts w:ascii="Calibri" w:eastAsia="Times New Roman" w:hAnsi="Calibri" w:cs="Calibri"/>
                <w:color w:val="000000"/>
                <w:lang w:val="en-US"/>
              </w:rPr>
              <w:t>INT/CONS</w:t>
            </w:r>
          </w:p>
        </w:tc>
        <w:tc>
          <w:tcPr>
            <w:tcW w:w="1265" w:type="dxa"/>
            <w:noWrap/>
            <w:hideMark/>
          </w:tcPr>
          <w:p w14:paraId="6AEB7D4F"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PROCESSED</w:t>
            </w:r>
          </w:p>
        </w:tc>
        <w:tc>
          <w:tcPr>
            <w:tcW w:w="1386" w:type="dxa"/>
            <w:noWrap/>
            <w:hideMark/>
          </w:tcPr>
          <w:p w14:paraId="67333795"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SPECIFIC</w:t>
            </w:r>
          </w:p>
        </w:tc>
        <w:tc>
          <w:tcPr>
            <w:tcW w:w="2108" w:type="dxa"/>
            <w:noWrap/>
            <w:hideMark/>
          </w:tcPr>
          <w:p w14:paraId="32E840F2" w14:textId="77777777" w:rsidR="00DA57CD" w:rsidRPr="00DA57CD" w:rsidRDefault="00DA57CD" w:rsidP="005237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c>
          <w:tcPr>
            <w:tcW w:w="1948" w:type="dxa"/>
            <w:noWrap/>
            <w:hideMark/>
          </w:tcPr>
          <w:p w14:paraId="13105A62" w14:textId="77777777" w:rsidR="00DA57CD" w:rsidRPr="00DA57CD" w:rsidRDefault="00DA57CD" w:rsidP="005237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66</w:t>
            </w:r>
          </w:p>
        </w:tc>
      </w:tr>
    </w:tbl>
    <w:p w14:paraId="2C2ECB3E" w14:textId="6FB2F42B" w:rsidR="005237DC" w:rsidRPr="00DA57CD" w:rsidRDefault="005237DC" w:rsidP="005237DC">
      <w:pPr>
        <w:pStyle w:val="ListParagraph"/>
        <w:ind w:left="0"/>
        <w:rPr>
          <w:rFonts w:asciiTheme="majorBidi" w:hAnsiTheme="majorBidi" w:cstheme="majorBidi"/>
          <w:b/>
          <w:bCs/>
          <w:sz w:val="24"/>
          <w:szCs w:val="24"/>
        </w:rPr>
      </w:pPr>
    </w:p>
    <w:p w14:paraId="15325C77" w14:textId="77777777" w:rsidR="00DA57CD" w:rsidRDefault="00DA57CD" w:rsidP="005237DC">
      <w:pPr>
        <w:pStyle w:val="ListParagraph"/>
        <w:ind w:left="0"/>
        <w:rPr>
          <w:rFonts w:asciiTheme="majorBidi" w:hAnsiTheme="majorBidi" w:cstheme="majorBidi"/>
          <w:sz w:val="24"/>
          <w:szCs w:val="24"/>
        </w:rPr>
      </w:pPr>
    </w:p>
    <w:p w14:paraId="2C638BFC" w14:textId="3A2184F8" w:rsidR="00DA57CD" w:rsidRDefault="00DA57CD" w:rsidP="008B344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As for CPC/EBOPS, </w:t>
      </w:r>
      <w:r w:rsidR="00F17B26">
        <w:rPr>
          <w:rFonts w:asciiTheme="majorBidi" w:hAnsiTheme="majorBidi" w:cstheme="majorBidi"/>
          <w:sz w:val="24"/>
          <w:szCs w:val="24"/>
        </w:rPr>
        <w:t xml:space="preserve">the verification task focused on ensuring that the right BEC description matches description of CPC/EBOPS. </w:t>
      </w:r>
      <w:r w:rsidR="008B3446">
        <w:rPr>
          <w:rFonts w:asciiTheme="majorBidi" w:hAnsiTheme="majorBidi" w:cstheme="majorBidi"/>
          <w:sz w:val="24"/>
          <w:szCs w:val="24"/>
        </w:rPr>
        <w:t xml:space="preserve">The processing and durability dimensions are not applicable on services, therefore, there are only three codes relevant to services: 1) Services – Intermediate Consumption – Generic; 2) </w:t>
      </w:r>
      <w:r w:rsidR="008B3446" w:rsidRPr="008B3446">
        <w:rPr>
          <w:rFonts w:asciiTheme="majorBidi" w:hAnsiTheme="majorBidi" w:cstheme="majorBidi"/>
          <w:sz w:val="24"/>
          <w:szCs w:val="24"/>
        </w:rPr>
        <w:t xml:space="preserve">Services – Intermediate Consumption – </w:t>
      </w:r>
      <w:r w:rsidR="008B3446">
        <w:rPr>
          <w:rFonts w:asciiTheme="majorBidi" w:hAnsiTheme="majorBidi" w:cstheme="majorBidi"/>
          <w:sz w:val="24"/>
          <w:szCs w:val="24"/>
        </w:rPr>
        <w:t xml:space="preserve">Specific; and 3) </w:t>
      </w:r>
      <w:r w:rsidR="008B3446" w:rsidRPr="008B3446">
        <w:rPr>
          <w:rFonts w:asciiTheme="majorBidi" w:hAnsiTheme="majorBidi" w:cstheme="majorBidi"/>
          <w:sz w:val="24"/>
          <w:szCs w:val="24"/>
        </w:rPr>
        <w:t>Serv</w:t>
      </w:r>
      <w:r w:rsidR="008B3446">
        <w:rPr>
          <w:rFonts w:asciiTheme="majorBidi" w:hAnsiTheme="majorBidi" w:cstheme="majorBidi"/>
          <w:sz w:val="24"/>
          <w:szCs w:val="24"/>
        </w:rPr>
        <w:t>ices – Final Consumption</w:t>
      </w:r>
      <w:r w:rsidR="00CC21EF">
        <w:rPr>
          <w:rFonts w:asciiTheme="majorBidi" w:hAnsiTheme="majorBidi" w:cstheme="majorBidi"/>
          <w:sz w:val="24"/>
          <w:szCs w:val="24"/>
        </w:rPr>
        <w:t>. Unfortunately, CPC codes are not detailed enough to identify specification dimension, therefore, we can only make correspondence up to SNA end-use dimension (3</w:t>
      </w:r>
      <w:r w:rsidR="00CC21EF" w:rsidRPr="00CC21EF">
        <w:rPr>
          <w:rFonts w:asciiTheme="majorBidi" w:hAnsiTheme="majorBidi" w:cstheme="majorBidi"/>
          <w:sz w:val="24"/>
          <w:szCs w:val="24"/>
          <w:vertAlign w:val="superscript"/>
        </w:rPr>
        <w:t>rd</w:t>
      </w:r>
      <w:r w:rsidR="00CC21EF">
        <w:rPr>
          <w:rFonts w:asciiTheme="majorBidi" w:hAnsiTheme="majorBidi" w:cstheme="majorBidi"/>
          <w:sz w:val="24"/>
          <w:szCs w:val="24"/>
        </w:rPr>
        <w:t xml:space="preserve"> level).</w:t>
      </w:r>
    </w:p>
    <w:p w14:paraId="32F6E3B4" w14:textId="77777777" w:rsidR="00CC21EF" w:rsidRDefault="00CC21EF" w:rsidP="00CC21EF">
      <w:pPr>
        <w:pStyle w:val="ListParagraph"/>
        <w:rPr>
          <w:rFonts w:asciiTheme="majorBidi" w:hAnsiTheme="majorBidi" w:cstheme="majorBidi"/>
          <w:sz w:val="24"/>
          <w:szCs w:val="24"/>
        </w:rPr>
      </w:pPr>
    </w:p>
    <w:p w14:paraId="3E33ABB7" w14:textId="2653C95E" w:rsidR="00CC21EF" w:rsidRPr="00CC21EF" w:rsidRDefault="00CC21EF" w:rsidP="00CC21EF">
      <w:pPr>
        <w:jc w:val="center"/>
        <w:rPr>
          <w:rFonts w:asciiTheme="majorBidi" w:hAnsiTheme="majorBidi" w:cstheme="majorBidi"/>
          <w:sz w:val="24"/>
          <w:szCs w:val="24"/>
        </w:rPr>
      </w:pPr>
      <w:r>
        <w:rPr>
          <w:rFonts w:asciiTheme="majorBidi" w:hAnsiTheme="majorBidi" w:cstheme="majorBidi"/>
          <w:sz w:val="24"/>
          <w:szCs w:val="24"/>
        </w:rPr>
        <w:t>Table 2</w:t>
      </w:r>
      <w:r w:rsidRPr="00CC21EF">
        <w:rPr>
          <w:rFonts w:asciiTheme="majorBidi" w:hAnsiTheme="majorBidi" w:cstheme="majorBidi"/>
          <w:sz w:val="24"/>
          <w:szCs w:val="24"/>
        </w:rPr>
        <w:t xml:space="preserve">. Summary correspondence between </w:t>
      </w:r>
      <w:r>
        <w:rPr>
          <w:rFonts w:asciiTheme="majorBidi" w:hAnsiTheme="majorBidi" w:cstheme="majorBidi"/>
          <w:sz w:val="24"/>
          <w:szCs w:val="24"/>
        </w:rPr>
        <w:t>CPC 2.1</w:t>
      </w:r>
      <w:r w:rsidRPr="00CC21EF">
        <w:rPr>
          <w:rFonts w:asciiTheme="majorBidi" w:hAnsiTheme="majorBidi" w:cstheme="majorBidi"/>
          <w:sz w:val="24"/>
          <w:szCs w:val="24"/>
        </w:rPr>
        <w:t xml:space="preserve"> and BEC 5</w:t>
      </w:r>
    </w:p>
    <w:tbl>
      <w:tblPr>
        <w:tblStyle w:val="GridTable1Light-Accent1"/>
        <w:tblW w:w="3140" w:type="dxa"/>
        <w:jc w:val="center"/>
        <w:tblLook w:val="04A0" w:firstRow="1" w:lastRow="0" w:firstColumn="1" w:lastColumn="0" w:noHBand="0" w:noVBand="1"/>
      </w:tblPr>
      <w:tblGrid>
        <w:gridCol w:w="1192"/>
        <w:gridCol w:w="1948"/>
      </w:tblGrid>
      <w:tr w:rsidR="00176408" w:rsidRPr="00176408" w14:paraId="16AEC3C1" w14:textId="77777777" w:rsidTr="0017640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65D6E41E" w14:textId="77777777" w:rsidR="00176408" w:rsidRPr="00DA57CD" w:rsidRDefault="00176408" w:rsidP="002919D7">
            <w:pPr>
              <w:jc w:val="center"/>
              <w:rPr>
                <w:rFonts w:ascii="Calibri" w:eastAsia="Times New Roman" w:hAnsi="Calibri" w:cs="Calibri"/>
                <w:color w:val="000000"/>
                <w:lang w:val="en-US"/>
              </w:rPr>
            </w:pPr>
            <w:r w:rsidRPr="00176408">
              <w:rPr>
                <w:rFonts w:ascii="Calibri" w:eastAsia="Times New Roman" w:hAnsi="Calibri" w:cs="Calibri"/>
                <w:color w:val="000000"/>
                <w:lang w:val="en-US"/>
              </w:rPr>
              <w:t>E</w:t>
            </w:r>
            <w:r w:rsidRPr="00DA57CD">
              <w:rPr>
                <w:rFonts w:ascii="Calibri" w:eastAsia="Times New Roman" w:hAnsi="Calibri" w:cs="Calibri"/>
                <w:color w:val="000000"/>
                <w:lang w:val="en-US"/>
              </w:rPr>
              <w:t>nd</w:t>
            </w:r>
            <w:r w:rsidRPr="00176408">
              <w:rPr>
                <w:rFonts w:ascii="Calibri" w:eastAsia="Times New Roman" w:hAnsi="Calibri" w:cs="Calibri"/>
                <w:color w:val="000000"/>
                <w:lang w:val="en-US"/>
              </w:rPr>
              <w:t xml:space="preserve"> U</w:t>
            </w:r>
            <w:r w:rsidRPr="00DA57CD">
              <w:rPr>
                <w:rFonts w:ascii="Calibri" w:eastAsia="Times New Roman" w:hAnsi="Calibri" w:cs="Calibri"/>
                <w:color w:val="000000"/>
                <w:lang w:val="en-US"/>
              </w:rPr>
              <w:t>se</w:t>
            </w:r>
          </w:p>
        </w:tc>
        <w:tc>
          <w:tcPr>
            <w:tcW w:w="1948" w:type="dxa"/>
            <w:noWrap/>
            <w:hideMark/>
          </w:tcPr>
          <w:p w14:paraId="0DBC950D" w14:textId="52BAD1CF" w:rsidR="00176408" w:rsidRPr="00DA57CD" w:rsidRDefault="00176408" w:rsidP="002919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A57CD">
              <w:rPr>
                <w:rFonts w:ascii="Calibri" w:eastAsia="Times New Roman" w:hAnsi="Calibri" w:cs="Calibri"/>
                <w:color w:val="000000"/>
                <w:lang w:val="en-US"/>
              </w:rPr>
              <w:t xml:space="preserve">No of </w:t>
            </w:r>
            <w:r w:rsidRPr="00176408">
              <w:rPr>
                <w:rFonts w:ascii="Calibri" w:eastAsia="Times New Roman" w:hAnsi="Calibri" w:cs="Calibri"/>
                <w:color w:val="000000"/>
                <w:lang w:val="en-US"/>
              </w:rPr>
              <w:t>CPC</w:t>
            </w:r>
            <w:r w:rsidRPr="00DA57CD">
              <w:rPr>
                <w:rFonts w:ascii="Calibri" w:eastAsia="Times New Roman" w:hAnsi="Calibri" w:cs="Calibri"/>
                <w:color w:val="000000"/>
                <w:lang w:val="en-US"/>
              </w:rPr>
              <w:t xml:space="preserve"> codes</w:t>
            </w:r>
          </w:p>
        </w:tc>
      </w:tr>
      <w:tr w:rsidR="00176408" w:rsidRPr="00DA57CD" w14:paraId="056F5AC4" w14:textId="77777777" w:rsidTr="00176408">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43C650A3" w14:textId="77777777" w:rsidR="00176408" w:rsidRPr="00DA57CD" w:rsidRDefault="00176408" w:rsidP="002919D7">
            <w:pPr>
              <w:rPr>
                <w:rFonts w:ascii="Calibri" w:eastAsia="Times New Roman" w:hAnsi="Calibri" w:cs="Calibri"/>
                <w:color w:val="000000"/>
                <w:lang w:val="en-US"/>
              </w:rPr>
            </w:pPr>
            <w:r w:rsidRPr="00DA57CD">
              <w:rPr>
                <w:rFonts w:ascii="Calibri" w:eastAsia="Times New Roman" w:hAnsi="Calibri" w:cs="Calibri"/>
                <w:color w:val="000000"/>
                <w:lang w:val="en-US"/>
              </w:rPr>
              <w:t>CONS</w:t>
            </w:r>
          </w:p>
        </w:tc>
        <w:tc>
          <w:tcPr>
            <w:tcW w:w="1948" w:type="dxa"/>
            <w:noWrap/>
            <w:hideMark/>
          </w:tcPr>
          <w:p w14:paraId="71AFEEF6" w14:textId="56564E38" w:rsidR="00176408" w:rsidRPr="00DA57CD" w:rsidRDefault="00176408" w:rsidP="002919D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122</w:t>
            </w:r>
          </w:p>
        </w:tc>
      </w:tr>
      <w:tr w:rsidR="00176408" w:rsidRPr="00DA57CD" w14:paraId="292EF146" w14:textId="77777777" w:rsidTr="00176408">
        <w:trPr>
          <w:trHeight w:val="300"/>
          <w:jc w:val="center"/>
        </w:trPr>
        <w:tc>
          <w:tcPr>
            <w:cnfStyle w:val="001000000000" w:firstRow="0" w:lastRow="0" w:firstColumn="1" w:lastColumn="0" w:oddVBand="0" w:evenVBand="0" w:oddHBand="0" w:evenHBand="0" w:firstRowFirstColumn="0" w:firstRowLastColumn="0" w:lastRowFirstColumn="0" w:lastRowLastColumn="0"/>
            <w:tcW w:w="1192" w:type="dxa"/>
            <w:noWrap/>
            <w:hideMark/>
          </w:tcPr>
          <w:p w14:paraId="728A4CB8" w14:textId="77777777" w:rsidR="00176408" w:rsidRPr="00DA57CD" w:rsidRDefault="00176408" w:rsidP="002919D7">
            <w:pPr>
              <w:rPr>
                <w:rFonts w:ascii="Calibri" w:eastAsia="Times New Roman" w:hAnsi="Calibri" w:cs="Calibri"/>
                <w:color w:val="000000"/>
                <w:lang w:val="en-US"/>
              </w:rPr>
            </w:pPr>
            <w:r w:rsidRPr="00DA57CD">
              <w:rPr>
                <w:rFonts w:ascii="Calibri" w:eastAsia="Times New Roman" w:hAnsi="Calibri" w:cs="Calibri"/>
                <w:color w:val="000000"/>
                <w:lang w:val="en-US"/>
              </w:rPr>
              <w:t>INT</w:t>
            </w:r>
          </w:p>
        </w:tc>
        <w:tc>
          <w:tcPr>
            <w:tcW w:w="1948" w:type="dxa"/>
            <w:noWrap/>
            <w:hideMark/>
          </w:tcPr>
          <w:p w14:paraId="5ADE9CB7" w14:textId="372135B3" w:rsidR="00176408" w:rsidRPr="00DA57CD" w:rsidRDefault="00176408" w:rsidP="002919D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167</w:t>
            </w:r>
          </w:p>
        </w:tc>
      </w:tr>
    </w:tbl>
    <w:p w14:paraId="6B91A65C" w14:textId="0C811072" w:rsidR="00CC21EF" w:rsidRDefault="00CC21EF" w:rsidP="00CC21EF">
      <w:pPr>
        <w:rPr>
          <w:rFonts w:asciiTheme="majorBidi" w:hAnsiTheme="majorBidi" w:cstheme="majorBidi"/>
          <w:sz w:val="24"/>
          <w:szCs w:val="24"/>
        </w:rPr>
      </w:pPr>
    </w:p>
    <w:p w14:paraId="4E60ACD2" w14:textId="7244F34E" w:rsidR="00434BD1" w:rsidRDefault="00434BD1" w:rsidP="00434BD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Finally, by applying existing correspondence table between HS 2012 and 2017</w:t>
      </w:r>
      <w:r>
        <w:rPr>
          <w:rStyle w:val="FootnoteReference"/>
          <w:rFonts w:asciiTheme="majorBidi" w:hAnsiTheme="majorBidi" w:cstheme="majorBidi"/>
          <w:sz w:val="24"/>
          <w:szCs w:val="24"/>
        </w:rPr>
        <w:footnoteReference w:id="5"/>
      </w:r>
      <w:r>
        <w:rPr>
          <w:rFonts w:asciiTheme="majorBidi" w:hAnsiTheme="majorBidi" w:cstheme="majorBidi"/>
          <w:sz w:val="24"/>
          <w:szCs w:val="24"/>
        </w:rPr>
        <w:t xml:space="preserve">, we derived correlation between HS 2017 and BEC 5.  </w:t>
      </w:r>
    </w:p>
    <w:p w14:paraId="5A36E016" w14:textId="77777777" w:rsidR="000E2BB8" w:rsidRPr="00434BD1" w:rsidRDefault="000E2BB8" w:rsidP="000E2BB8">
      <w:pPr>
        <w:pStyle w:val="ListParagraph"/>
        <w:rPr>
          <w:rFonts w:asciiTheme="majorBidi" w:hAnsiTheme="majorBidi" w:cstheme="majorBidi"/>
          <w:sz w:val="24"/>
          <w:szCs w:val="24"/>
        </w:rPr>
      </w:pPr>
    </w:p>
    <w:p w14:paraId="64D5A851" w14:textId="4E1FB1B7" w:rsidR="004A430B" w:rsidRPr="00DA57CD" w:rsidRDefault="00E973EB" w:rsidP="004A430B">
      <w:pPr>
        <w:rPr>
          <w:rFonts w:asciiTheme="majorBidi" w:hAnsiTheme="majorBidi" w:cstheme="majorBidi"/>
          <w:b/>
          <w:bCs/>
          <w:sz w:val="28"/>
          <w:szCs w:val="28"/>
        </w:rPr>
      </w:pPr>
      <w:r>
        <w:rPr>
          <w:rFonts w:asciiTheme="majorBidi" w:hAnsiTheme="majorBidi" w:cstheme="majorBidi"/>
          <w:b/>
          <w:bCs/>
          <w:sz w:val="24"/>
          <w:szCs w:val="24"/>
        </w:rPr>
        <w:t xml:space="preserve">Trade </w:t>
      </w:r>
      <w:r w:rsidR="004A430B">
        <w:rPr>
          <w:rFonts w:asciiTheme="majorBidi" w:hAnsiTheme="majorBidi" w:cstheme="majorBidi"/>
          <w:b/>
          <w:bCs/>
          <w:sz w:val="24"/>
          <w:szCs w:val="24"/>
        </w:rPr>
        <w:t>Data in BEC 5</w:t>
      </w:r>
    </w:p>
    <w:p w14:paraId="4A66CD0F" w14:textId="1411BB63" w:rsidR="004A430B" w:rsidRDefault="004A430B" w:rsidP="00434BD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One way to clarify the correspondence is to apply it with trade data. In this regard, imports </w:t>
      </w:r>
      <w:r w:rsidR="00943696">
        <w:rPr>
          <w:rFonts w:asciiTheme="majorBidi" w:hAnsiTheme="majorBidi" w:cstheme="majorBidi"/>
          <w:sz w:val="24"/>
          <w:szCs w:val="24"/>
        </w:rPr>
        <w:t xml:space="preserve">data </w:t>
      </w:r>
      <w:r>
        <w:rPr>
          <w:rFonts w:asciiTheme="majorBidi" w:hAnsiTheme="majorBidi" w:cstheme="majorBidi"/>
          <w:sz w:val="24"/>
          <w:szCs w:val="24"/>
        </w:rPr>
        <w:t>of USA, UK, China, Germany and France from 2012 to 2016 were utilized to create comparison of end-use category between BEC 4</w:t>
      </w:r>
      <w:r>
        <w:rPr>
          <w:rStyle w:val="FootnoteReference"/>
          <w:rFonts w:asciiTheme="majorBidi" w:hAnsiTheme="majorBidi" w:cstheme="majorBidi"/>
          <w:sz w:val="24"/>
          <w:szCs w:val="24"/>
        </w:rPr>
        <w:footnoteReference w:id="6"/>
      </w:r>
      <w:r>
        <w:rPr>
          <w:rFonts w:asciiTheme="majorBidi" w:hAnsiTheme="majorBidi" w:cstheme="majorBidi"/>
          <w:sz w:val="24"/>
          <w:szCs w:val="24"/>
        </w:rPr>
        <w:t xml:space="preserve"> and BEC 5. </w:t>
      </w:r>
      <w:r w:rsidR="00452ED2" w:rsidRPr="00452ED2">
        <w:rPr>
          <w:rFonts w:asciiTheme="majorBidi" w:hAnsiTheme="majorBidi" w:cstheme="majorBidi"/>
          <w:sz w:val="24"/>
          <w:szCs w:val="24"/>
        </w:rPr>
        <w:t>There are no differences in intermediate goods; slight differences in capital goods; and relatively large differences in consumption goods. This may be due to limitation of conversion from HS to BEC 4 which allocates some trade to NES (see that the value of NES in BEC 4 is -much more- than BEC 5).</w:t>
      </w:r>
    </w:p>
    <w:p w14:paraId="61461054" w14:textId="5629B4A1" w:rsidR="00943696" w:rsidRPr="00943696" w:rsidRDefault="00943696" w:rsidP="00943696">
      <w:pPr>
        <w:jc w:val="center"/>
        <w:rPr>
          <w:rFonts w:asciiTheme="majorBidi" w:hAnsiTheme="majorBidi" w:cstheme="majorBidi"/>
          <w:sz w:val="24"/>
          <w:szCs w:val="24"/>
        </w:rPr>
      </w:pPr>
      <w:r w:rsidRPr="00943696">
        <w:rPr>
          <w:rFonts w:asciiTheme="majorBidi" w:hAnsiTheme="majorBidi" w:cstheme="majorBidi"/>
          <w:sz w:val="24"/>
          <w:szCs w:val="24"/>
        </w:rPr>
        <w:t xml:space="preserve">Table </w:t>
      </w:r>
      <w:r>
        <w:rPr>
          <w:rFonts w:asciiTheme="majorBidi" w:hAnsiTheme="majorBidi" w:cstheme="majorBidi"/>
          <w:sz w:val="24"/>
          <w:szCs w:val="24"/>
        </w:rPr>
        <w:t>3</w:t>
      </w:r>
      <w:r w:rsidRPr="00943696">
        <w:rPr>
          <w:rFonts w:asciiTheme="majorBidi" w:hAnsiTheme="majorBidi" w:cstheme="majorBidi"/>
          <w:sz w:val="24"/>
          <w:szCs w:val="24"/>
        </w:rPr>
        <w:t>.</w:t>
      </w:r>
      <w:r>
        <w:rPr>
          <w:rFonts w:asciiTheme="majorBidi" w:hAnsiTheme="majorBidi" w:cstheme="majorBidi"/>
          <w:sz w:val="24"/>
          <w:szCs w:val="24"/>
        </w:rPr>
        <w:t xml:space="preserve"> </w:t>
      </w:r>
      <w:r w:rsidRPr="00943696">
        <w:rPr>
          <w:rFonts w:asciiTheme="majorBidi" w:hAnsiTheme="majorBidi" w:cstheme="majorBidi"/>
          <w:sz w:val="24"/>
          <w:szCs w:val="24"/>
        </w:rPr>
        <w:t>Imports of USA, UK, China, Germany and France</w:t>
      </w:r>
      <w:r>
        <w:rPr>
          <w:rFonts w:asciiTheme="majorBidi" w:hAnsiTheme="majorBidi" w:cstheme="majorBidi"/>
          <w:sz w:val="24"/>
          <w:szCs w:val="24"/>
        </w:rPr>
        <w:t xml:space="preserve"> in BEC 4 and 5</w:t>
      </w:r>
      <w:r w:rsidRPr="00943696">
        <w:rPr>
          <w:rFonts w:asciiTheme="majorBidi" w:hAnsiTheme="majorBidi" w:cstheme="majorBidi"/>
          <w:sz w:val="24"/>
          <w:szCs w:val="24"/>
        </w:rPr>
        <w:t>, 2012-2016</w:t>
      </w:r>
    </w:p>
    <w:tbl>
      <w:tblPr>
        <w:tblW w:w="7672" w:type="dxa"/>
        <w:jc w:val="center"/>
        <w:tblLook w:val="04A0" w:firstRow="1" w:lastRow="0" w:firstColumn="1" w:lastColumn="0" w:noHBand="0" w:noVBand="1"/>
      </w:tblPr>
      <w:tblGrid>
        <w:gridCol w:w="1170"/>
        <w:gridCol w:w="895"/>
        <w:gridCol w:w="990"/>
        <w:gridCol w:w="1055"/>
        <w:gridCol w:w="1767"/>
        <w:gridCol w:w="1795"/>
      </w:tblGrid>
      <w:tr w:rsidR="00452ED2" w:rsidRPr="00943696" w14:paraId="4B2FE071" w14:textId="77777777" w:rsidTr="00452ED2">
        <w:trPr>
          <w:trHeight w:val="225"/>
          <w:jc w:val="center"/>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F107" w14:textId="77777777" w:rsidR="00943696" w:rsidRPr="00943696" w:rsidRDefault="00943696" w:rsidP="00943696">
            <w:pPr>
              <w:spacing w:after="0" w:line="240" w:lineRule="auto"/>
              <w:rPr>
                <w:rFonts w:ascii="Calibri" w:eastAsia="Times New Roman" w:hAnsi="Calibri" w:cs="Calibri"/>
                <w:b/>
                <w:bCs/>
                <w:color w:val="000000"/>
                <w:sz w:val="16"/>
                <w:szCs w:val="16"/>
                <w:lang w:val="en-US"/>
              </w:rPr>
            </w:pPr>
            <w:r w:rsidRPr="00943696">
              <w:rPr>
                <w:rFonts w:ascii="Calibri" w:eastAsia="Times New Roman" w:hAnsi="Calibri" w:cs="Calibri"/>
                <w:b/>
                <w:bCs/>
                <w:color w:val="000000"/>
                <w:sz w:val="16"/>
                <w:szCs w:val="16"/>
                <w:lang w:val="en-US"/>
              </w:rPr>
              <w:t>BEC Version</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1E2F9541" w14:textId="6BE3562F" w:rsidR="00943696" w:rsidRPr="00943696" w:rsidRDefault="00452ED2" w:rsidP="00943696">
            <w:pPr>
              <w:spacing w:after="0" w:line="240" w:lineRule="auto"/>
              <w:rPr>
                <w:rFonts w:ascii="Calibri" w:eastAsia="Times New Roman" w:hAnsi="Calibri" w:cs="Calibri"/>
                <w:b/>
                <w:bCs/>
                <w:color w:val="000000"/>
                <w:sz w:val="16"/>
                <w:szCs w:val="16"/>
                <w:lang w:val="en-US"/>
              </w:rPr>
            </w:pPr>
            <w:r>
              <w:rPr>
                <w:rFonts w:ascii="Calibri" w:eastAsia="Times New Roman" w:hAnsi="Calibri" w:cs="Calibri"/>
                <w:b/>
                <w:bCs/>
                <w:color w:val="000000"/>
                <w:sz w:val="16"/>
                <w:szCs w:val="16"/>
                <w:lang w:val="en-US"/>
              </w:rPr>
              <w:t>E</w:t>
            </w:r>
            <w:r w:rsidR="00943696" w:rsidRPr="00943696">
              <w:rPr>
                <w:rFonts w:ascii="Calibri" w:eastAsia="Times New Roman" w:hAnsi="Calibri" w:cs="Calibri"/>
                <w:b/>
                <w:bCs/>
                <w:color w:val="000000"/>
                <w:sz w:val="16"/>
                <w:szCs w:val="16"/>
                <w:lang w:val="en-US"/>
              </w:rPr>
              <w:t>nd</w:t>
            </w:r>
            <w:r>
              <w:rPr>
                <w:rFonts w:ascii="Calibri" w:eastAsia="Times New Roman" w:hAnsi="Calibri" w:cs="Calibri"/>
                <w:b/>
                <w:bCs/>
                <w:color w:val="000000"/>
                <w:sz w:val="16"/>
                <w:szCs w:val="16"/>
                <w:lang w:val="en-US"/>
              </w:rPr>
              <w:t>-</w:t>
            </w:r>
            <w:r w:rsidR="00943696" w:rsidRPr="00943696">
              <w:rPr>
                <w:rFonts w:ascii="Calibri" w:eastAsia="Times New Roman" w:hAnsi="Calibri" w:cs="Calibri"/>
                <w:b/>
                <w:bCs/>
                <w:color w:val="000000"/>
                <w:sz w:val="16"/>
                <w:szCs w:val="16"/>
                <w:lang w:val="en-US"/>
              </w:rPr>
              <w:t>use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27D8DD2" w14:textId="77777777" w:rsidR="00943696" w:rsidRPr="00943696" w:rsidRDefault="00943696" w:rsidP="00943696">
            <w:pPr>
              <w:spacing w:after="0" w:line="240" w:lineRule="auto"/>
              <w:rPr>
                <w:rFonts w:ascii="Calibri" w:eastAsia="Times New Roman" w:hAnsi="Calibri" w:cs="Calibri"/>
                <w:b/>
                <w:bCs/>
                <w:color w:val="000000"/>
                <w:sz w:val="16"/>
                <w:szCs w:val="16"/>
                <w:lang w:val="en-US"/>
              </w:rPr>
            </w:pPr>
            <w:r w:rsidRPr="00943696">
              <w:rPr>
                <w:rFonts w:ascii="Calibri" w:eastAsia="Times New Roman" w:hAnsi="Calibri" w:cs="Calibri"/>
                <w:b/>
                <w:bCs/>
                <w:color w:val="000000"/>
                <w:sz w:val="16"/>
                <w:szCs w:val="16"/>
                <w:lang w:val="en-US"/>
              </w:rPr>
              <w:t>processing</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45B67566" w14:textId="77777777" w:rsidR="00943696" w:rsidRPr="00943696" w:rsidRDefault="00943696" w:rsidP="00943696">
            <w:pPr>
              <w:spacing w:after="0" w:line="240" w:lineRule="auto"/>
              <w:rPr>
                <w:rFonts w:ascii="Calibri" w:eastAsia="Times New Roman" w:hAnsi="Calibri" w:cs="Calibri"/>
                <w:b/>
                <w:bCs/>
                <w:color w:val="000000"/>
                <w:sz w:val="16"/>
                <w:szCs w:val="16"/>
                <w:lang w:val="en-US"/>
              </w:rPr>
            </w:pPr>
            <w:r w:rsidRPr="00943696">
              <w:rPr>
                <w:rFonts w:ascii="Calibri" w:eastAsia="Times New Roman" w:hAnsi="Calibri" w:cs="Calibri"/>
                <w:b/>
                <w:bCs/>
                <w:color w:val="000000"/>
                <w:sz w:val="16"/>
                <w:szCs w:val="16"/>
                <w:lang w:val="en-US"/>
              </w:rPr>
              <w:t>specification</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03C2A82B" w14:textId="77777777" w:rsidR="00943696" w:rsidRPr="00943696" w:rsidRDefault="00943696" w:rsidP="00943696">
            <w:pPr>
              <w:spacing w:after="0" w:line="240" w:lineRule="auto"/>
              <w:rPr>
                <w:rFonts w:ascii="Calibri" w:eastAsia="Times New Roman" w:hAnsi="Calibri" w:cs="Calibri"/>
                <w:b/>
                <w:bCs/>
                <w:color w:val="000000"/>
                <w:sz w:val="16"/>
                <w:szCs w:val="16"/>
                <w:lang w:val="en-US"/>
              </w:rPr>
            </w:pPr>
            <w:r w:rsidRPr="00943696">
              <w:rPr>
                <w:rFonts w:ascii="Calibri" w:eastAsia="Times New Roman" w:hAnsi="Calibri" w:cs="Calibri"/>
                <w:b/>
                <w:bCs/>
                <w:color w:val="000000"/>
                <w:sz w:val="16"/>
                <w:szCs w:val="16"/>
                <w:lang w:val="en-US"/>
              </w:rPr>
              <w:t>durability</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14:paraId="5DBA327D" w14:textId="77777777" w:rsidR="00943696" w:rsidRPr="00943696" w:rsidRDefault="00943696" w:rsidP="00943696">
            <w:pPr>
              <w:spacing w:after="0" w:line="240" w:lineRule="auto"/>
              <w:rPr>
                <w:rFonts w:ascii="Calibri" w:eastAsia="Times New Roman" w:hAnsi="Calibri" w:cs="Calibri"/>
                <w:b/>
                <w:bCs/>
                <w:color w:val="000000"/>
                <w:sz w:val="16"/>
                <w:szCs w:val="16"/>
                <w:lang w:val="en-US"/>
              </w:rPr>
            </w:pPr>
            <w:r w:rsidRPr="00943696">
              <w:rPr>
                <w:rFonts w:ascii="Calibri" w:eastAsia="Times New Roman" w:hAnsi="Calibri" w:cs="Calibri"/>
                <w:b/>
                <w:bCs/>
                <w:color w:val="000000"/>
                <w:sz w:val="16"/>
                <w:szCs w:val="16"/>
                <w:lang w:val="en-US"/>
              </w:rPr>
              <w:t>2012-2016 (</w:t>
            </w:r>
            <w:proofErr w:type="spellStart"/>
            <w:r w:rsidRPr="00943696">
              <w:rPr>
                <w:rFonts w:ascii="Calibri" w:eastAsia="Times New Roman" w:hAnsi="Calibri" w:cs="Calibri"/>
                <w:b/>
                <w:bCs/>
                <w:color w:val="000000"/>
                <w:sz w:val="16"/>
                <w:szCs w:val="16"/>
                <w:lang w:val="en-US"/>
              </w:rPr>
              <w:t>avg</w:t>
            </w:r>
            <w:proofErr w:type="spellEnd"/>
            <w:r w:rsidRPr="00943696">
              <w:rPr>
                <w:rFonts w:ascii="Calibri" w:eastAsia="Times New Roman" w:hAnsi="Calibri" w:cs="Calibri"/>
                <w:b/>
                <w:bCs/>
                <w:color w:val="000000"/>
                <w:sz w:val="16"/>
                <w:szCs w:val="16"/>
                <w:lang w:val="en-US"/>
              </w:rPr>
              <w:t>)</w:t>
            </w:r>
          </w:p>
        </w:tc>
      </w:tr>
      <w:tr w:rsidR="00452ED2" w:rsidRPr="00943696" w14:paraId="618CAE5F"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6C232A2"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631D33B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CAP</w:t>
            </w:r>
          </w:p>
        </w:tc>
        <w:tc>
          <w:tcPr>
            <w:tcW w:w="990" w:type="dxa"/>
            <w:tcBorders>
              <w:top w:val="nil"/>
              <w:left w:val="nil"/>
              <w:bottom w:val="single" w:sz="4" w:space="0" w:color="auto"/>
              <w:right w:val="single" w:sz="4" w:space="0" w:color="auto"/>
            </w:tcBorders>
            <w:shd w:val="clear" w:color="auto" w:fill="auto"/>
            <w:noWrap/>
            <w:vAlign w:val="bottom"/>
            <w:hideMark/>
          </w:tcPr>
          <w:p w14:paraId="7254C1A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3896E26A"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GEN/SPEC</w:t>
            </w:r>
          </w:p>
        </w:tc>
        <w:tc>
          <w:tcPr>
            <w:tcW w:w="1767" w:type="dxa"/>
            <w:tcBorders>
              <w:top w:val="nil"/>
              <w:left w:val="nil"/>
              <w:bottom w:val="single" w:sz="4" w:space="0" w:color="auto"/>
              <w:right w:val="single" w:sz="4" w:space="0" w:color="auto"/>
            </w:tcBorders>
            <w:shd w:val="clear" w:color="auto" w:fill="auto"/>
            <w:noWrap/>
            <w:vAlign w:val="bottom"/>
            <w:hideMark/>
          </w:tcPr>
          <w:p w14:paraId="0F78CAF6"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280EF9AA"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194,867,025,217 </w:t>
            </w:r>
          </w:p>
        </w:tc>
      </w:tr>
      <w:tr w:rsidR="00452ED2" w:rsidRPr="00943696" w14:paraId="0116453E"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D0A5484"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40593C45"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CAP</w:t>
            </w:r>
          </w:p>
        </w:tc>
        <w:tc>
          <w:tcPr>
            <w:tcW w:w="990" w:type="dxa"/>
            <w:tcBorders>
              <w:top w:val="nil"/>
              <w:left w:val="nil"/>
              <w:bottom w:val="single" w:sz="4" w:space="0" w:color="auto"/>
              <w:right w:val="single" w:sz="4" w:space="0" w:color="auto"/>
            </w:tcBorders>
            <w:shd w:val="clear" w:color="auto" w:fill="auto"/>
            <w:noWrap/>
            <w:vAlign w:val="bottom"/>
            <w:hideMark/>
          </w:tcPr>
          <w:p w14:paraId="3A6A07B2"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10B60F55"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GENERIC</w:t>
            </w:r>
          </w:p>
        </w:tc>
        <w:tc>
          <w:tcPr>
            <w:tcW w:w="1767" w:type="dxa"/>
            <w:tcBorders>
              <w:top w:val="nil"/>
              <w:left w:val="nil"/>
              <w:bottom w:val="single" w:sz="4" w:space="0" w:color="auto"/>
              <w:right w:val="single" w:sz="4" w:space="0" w:color="auto"/>
            </w:tcBorders>
            <w:shd w:val="clear" w:color="auto" w:fill="auto"/>
            <w:noWrap/>
            <w:vAlign w:val="bottom"/>
            <w:hideMark/>
          </w:tcPr>
          <w:p w14:paraId="3376F749"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75F98954"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199,909,091,767 </w:t>
            </w:r>
          </w:p>
        </w:tc>
      </w:tr>
      <w:tr w:rsidR="00452ED2" w:rsidRPr="00943696" w14:paraId="2C82EEA9"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E6B1A63"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7DE03103"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CAP</w:t>
            </w:r>
          </w:p>
        </w:tc>
        <w:tc>
          <w:tcPr>
            <w:tcW w:w="990" w:type="dxa"/>
            <w:tcBorders>
              <w:top w:val="nil"/>
              <w:left w:val="nil"/>
              <w:bottom w:val="single" w:sz="4" w:space="0" w:color="auto"/>
              <w:right w:val="single" w:sz="4" w:space="0" w:color="auto"/>
            </w:tcBorders>
            <w:shd w:val="clear" w:color="auto" w:fill="auto"/>
            <w:noWrap/>
            <w:vAlign w:val="bottom"/>
            <w:hideMark/>
          </w:tcPr>
          <w:p w14:paraId="1CC53EB9"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5603F1C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SPECIFIC</w:t>
            </w:r>
          </w:p>
        </w:tc>
        <w:tc>
          <w:tcPr>
            <w:tcW w:w="1767" w:type="dxa"/>
            <w:tcBorders>
              <w:top w:val="nil"/>
              <w:left w:val="nil"/>
              <w:bottom w:val="single" w:sz="4" w:space="0" w:color="auto"/>
              <w:right w:val="single" w:sz="4" w:space="0" w:color="auto"/>
            </w:tcBorders>
            <w:shd w:val="clear" w:color="auto" w:fill="auto"/>
            <w:noWrap/>
            <w:vAlign w:val="bottom"/>
            <w:hideMark/>
          </w:tcPr>
          <w:p w14:paraId="705F76C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195D5497"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552,954,593,598 </w:t>
            </w:r>
          </w:p>
        </w:tc>
      </w:tr>
      <w:tr w:rsidR="00943696" w:rsidRPr="00943696" w14:paraId="092D7DF8"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360AA003"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CAP BEC 5</w:t>
            </w:r>
          </w:p>
        </w:tc>
        <w:tc>
          <w:tcPr>
            <w:tcW w:w="895" w:type="dxa"/>
            <w:tcBorders>
              <w:top w:val="nil"/>
              <w:left w:val="nil"/>
              <w:bottom w:val="single" w:sz="4" w:space="0" w:color="auto"/>
              <w:right w:val="single" w:sz="4" w:space="0" w:color="auto"/>
            </w:tcBorders>
            <w:shd w:val="clear" w:color="000000" w:fill="ED7D31"/>
            <w:noWrap/>
            <w:vAlign w:val="bottom"/>
            <w:hideMark/>
          </w:tcPr>
          <w:p w14:paraId="50A96C07"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0EA239B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008BD30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0F2C89D2"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3AAFE694"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947,730,710,582 </w:t>
            </w:r>
          </w:p>
        </w:tc>
      </w:tr>
      <w:tr w:rsidR="00943696" w:rsidRPr="00943696" w14:paraId="5394EB36"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314645B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CAP BEC 4</w:t>
            </w:r>
          </w:p>
        </w:tc>
        <w:tc>
          <w:tcPr>
            <w:tcW w:w="895" w:type="dxa"/>
            <w:tcBorders>
              <w:top w:val="nil"/>
              <w:left w:val="nil"/>
              <w:bottom w:val="single" w:sz="4" w:space="0" w:color="auto"/>
              <w:right w:val="single" w:sz="4" w:space="0" w:color="auto"/>
            </w:tcBorders>
            <w:shd w:val="clear" w:color="000000" w:fill="ED7D31"/>
            <w:noWrap/>
            <w:vAlign w:val="bottom"/>
            <w:hideMark/>
          </w:tcPr>
          <w:p w14:paraId="6FEE8222"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2C0332B6"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11BD3A6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23752894"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60A275FA"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1,027,700,027,453 </w:t>
            </w:r>
          </w:p>
        </w:tc>
        <w:bookmarkStart w:id="0" w:name="_GoBack"/>
        <w:bookmarkEnd w:id="0"/>
      </w:tr>
      <w:tr w:rsidR="00452ED2" w:rsidRPr="00943696" w14:paraId="06862E41"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31045F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895" w:type="dxa"/>
            <w:tcBorders>
              <w:top w:val="nil"/>
              <w:left w:val="nil"/>
              <w:bottom w:val="single" w:sz="4" w:space="0" w:color="auto"/>
              <w:right w:val="single" w:sz="4" w:space="0" w:color="auto"/>
            </w:tcBorders>
            <w:shd w:val="clear" w:color="auto" w:fill="auto"/>
            <w:noWrap/>
            <w:vAlign w:val="bottom"/>
            <w:hideMark/>
          </w:tcPr>
          <w:p w14:paraId="7258FC47"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14:paraId="5AD3310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730D5992"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6232296D"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396C3050"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-8%</w:t>
            </w:r>
          </w:p>
        </w:tc>
      </w:tr>
      <w:tr w:rsidR="00DF5CB1" w:rsidRPr="00943696" w14:paraId="4E32EB86" w14:textId="77777777" w:rsidTr="0055083B">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4A92823" w14:textId="77777777"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4875AD37"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w:t>
            </w:r>
          </w:p>
        </w:tc>
        <w:tc>
          <w:tcPr>
            <w:tcW w:w="990" w:type="dxa"/>
            <w:tcBorders>
              <w:top w:val="nil"/>
              <w:left w:val="nil"/>
              <w:bottom w:val="single" w:sz="4" w:space="0" w:color="auto"/>
              <w:right w:val="single" w:sz="4" w:space="0" w:color="auto"/>
            </w:tcBorders>
            <w:shd w:val="clear" w:color="auto" w:fill="auto"/>
            <w:noWrap/>
            <w:vAlign w:val="bottom"/>
            <w:hideMark/>
          </w:tcPr>
          <w:p w14:paraId="65830366"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PRIMARY</w:t>
            </w:r>
          </w:p>
        </w:tc>
        <w:tc>
          <w:tcPr>
            <w:tcW w:w="1055" w:type="dxa"/>
            <w:tcBorders>
              <w:top w:val="nil"/>
              <w:left w:val="nil"/>
              <w:bottom w:val="single" w:sz="4" w:space="0" w:color="auto"/>
              <w:right w:val="single" w:sz="4" w:space="0" w:color="auto"/>
            </w:tcBorders>
            <w:shd w:val="clear" w:color="auto" w:fill="auto"/>
            <w:noWrap/>
            <w:vAlign w:val="bottom"/>
            <w:hideMark/>
          </w:tcPr>
          <w:p w14:paraId="6E2659E3"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505340A4"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DURABLE</w:t>
            </w:r>
          </w:p>
        </w:tc>
        <w:tc>
          <w:tcPr>
            <w:tcW w:w="1795" w:type="dxa"/>
            <w:tcBorders>
              <w:top w:val="nil"/>
              <w:left w:val="nil"/>
              <w:bottom w:val="single" w:sz="4" w:space="0" w:color="auto"/>
              <w:right w:val="single" w:sz="4" w:space="0" w:color="auto"/>
            </w:tcBorders>
            <w:shd w:val="clear" w:color="auto" w:fill="auto"/>
            <w:noWrap/>
            <w:hideMark/>
          </w:tcPr>
          <w:p w14:paraId="24E3B211" w14:textId="604381F4"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DF5CB1">
              <w:rPr>
                <w:rFonts w:ascii="Calibri" w:eastAsia="Times New Roman" w:hAnsi="Calibri" w:cs="Calibri"/>
                <w:color w:val="000000"/>
                <w:sz w:val="16"/>
                <w:szCs w:val="16"/>
                <w:lang w:val="en-US"/>
              </w:rPr>
              <w:t xml:space="preserve">54,061,446 </w:t>
            </w:r>
          </w:p>
        </w:tc>
      </w:tr>
      <w:tr w:rsidR="00DF5CB1" w:rsidRPr="00943696" w14:paraId="613FC455" w14:textId="77777777" w:rsidTr="0055083B">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2825A1C" w14:textId="77777777"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2DC7A343"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w:t>
            </w:r>
          </w:p>
        </w:tc>
        <w:tc>
          <w:tcPr>
            <w:tcW w:w="990" w:type="dxa"/>
            <w:tcBorders>
              <w:top w:val="nil"/>
              <w:left w:val="nil"/>
              <w:bottom w:val="single" w:sz="4" w:space="0" w:color="auto"/>
              <w:right w:val="single" w:sz="4" w:space="0" w:color="auto"/>
            </w:tcBorders>
            <w:shd w:val="clear" w:color="auto" w:fill="auto"/>
            <w:noWrap/>
            <w:vAlign w:val="bottom"/>
            <w:hideMark/>
          </w:tcPr>
          <w:p w14:paraId="5ECF18EE"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PRIMARY</w:t>
            </w:r>
          </w:p>
        </w:tc>
        <w:tc>
          <w:tcPr>
            <w:tcW w:w="1055" w:type="dxa"/>
            <w:tcBorders>
              <w:top w:val="nil"/>
              <w:left w:val="nil"/>
              <w:bottom w:val="single" w:sz="4" w:space="0" w:color="auto"/>
              <w:right w:val="single" w:sz="4" w:space="0" w:color="auto"/>
            </w:tcBorders>
            <w:shd w:val="clear" w:color="auto" w:fill="auto"/>
            <w:noWrap/>
            <w:vAlign w:val="bottom"/>
            <w:hideMark/>
          </w:tcPr>
          <w:p w14:paraId="49FC4943"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6E937145"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NON-DURABLE</w:t>
            </w:r>
          </w:p>
        </w:tc>
        <w:tc>
          <w:tcPr>
            <w:tcW w:w="1795" w:type="dxa"/>
            <w:tcBorders>
              <w:top w:val="nil"/>
              <w:left w:val="nil"/>
              <w:bottom w:val="single" w:sz="4" w:space="0" w:color="auto"/>
              <w:right w:val="single" w:sz="4" w:space="0" w:color="auto"/>
            </w:tcBorders>
            <w:shd w:val="clear" w:color="auto" w:fill="auto"/>
            <w:noWrap/>
            <w:hideMark/>
          </w:tcPr>
          <w:p w14:paraId="296D4D6B" w14:textId="0089D7A1"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DF5CB1">
              <w:rPr>
                <w:rFonts w:ascii="Calibri" w:eastAsia="Times New Roman" w:hAnsi="Calibri" w:cs="Calibri"/>
                <w:color w:val="000000"/>
                <w:sz w:val="16"/>
                <w:szCs w:val="16"/>
                <w:lang w:val="en-US"/>
              </w:rPr>
              <w:t xml:space="preserve"> 568,485,535,686 </w:t>
            </w:r>
          </w:p>
        </w:tc>
      </w:tr>
      <w:tr w:rsidR="00DF5CB1" w:rsidRPr="00943696" w14:paraId="0EDF9D55" w14:textId="77777777" w:rsidTr="0055083B">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65BCF23" w14:textId="77777777"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6B265EE2"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w:t>
            </w:r>
          </w:p>
        </w:tc>
        <w:tc>
          <w:tcPr>
            <w:tcW w:w="990" w:type="dxa"/>
            <w:tcBorders>
              <w:top w:val="nil"/>
              <w:left w:val="nil"/>
              <w:bottom w:val="single" w:sz="4" w:space="0" w:color="auto"/>
              <w:right w:val="single" w:sz="4" w:space="0" w:color="auto"/>
            </w:tcBorders>
            <w:shd w:val="clear" w:color="auto" w:fill="auto"/>
            <w:noWrap/>
            <w:vAlign w:val="bottom"/>
            <w:hideMark/>
          </w:tcPr>
          <w:p w14:paraId="3A12F6E4"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PROCESSED</w:t>
            </w:r>
          </w:p>
        </w:tc>
        <w:tc>
          <w:tcPr>
            <w:tcW w:w="1055" w:type="dxa"/>
            <w:tcBorders>
              <w:top w:val="nil"/>
              <w:left w:val="nil"/>
              <w:bottom w:val="single" w:sz="4" w:space="0" w:color="auto"/>
              <w:right w:val="single" w:sz="4" w:space="0" w:color="auto"/>
            </w:tcBorders>
            <w:shd w:val="clear" w:color="auto" w:fill="auto"/>
            <w:noWrap/>
            <w:vAlign w:val="bottom"/>
            <w:hideMark/>
          </w:tcPr>
          <w:p w14:paraId="04966D29"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19E679B1"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DURABLE</w:t>
            </w:r>
          </w:p>
        </w:tc>
        <w:tc>
          <w:tcPr>
            <w:tcW w:w="1795" w:type="dxa"/>
            <w:tcBorders>
              <w:top w:val="nil"/>
              <w:left w:val="nil"/>
              <w:bottom w:val="single" w:sz="4" w:space="0" w:color="auto"/>
              <w:right w:val="single" w:sz="4" w:space="0" w:color="auto"/>
            </w:tcBorders>
            <w:shd w:val="clear" w:color="auto" w:fill="auto"/>
            <w:noWrap/>
            <w:hideMark/>
          </w:tcPr>
          <w:p w14:paraId="39D72CD4" w14:textId="07F60A1D"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DF5CB1">
              <w:rPr>
                <w:rFonts w:ascii="Calibri" w:eastAsia="Times New Roman" w:hAnsi="Calibri" w:cs="Calibri"/>
                <w:color w:val="000000"/>
                <w:sz w:val="16"/>
                <w:szCs w:val="16"/>
                <w:lang w:val="en-US"/>
              </w:rPr>
              <w:t xml:space="preserve"> 1,086,917,528,258 </w:t>
            </w:r>
          </w:p>
        </w:tc>
      </w:tr>
      <w:tr w:rsidR="00DF5CB1" w:rsidRPr="00943696" w14:paraId="4096C0D5" w14:textId="77777777" w:rsidTr="0055083B">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33A370F7" w14:textId="77777777"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20317838"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w:t>
            </w:r>
          </w:p>
        </w:tc>
        <w:tc>
          <w:tcPr>
            <w:tcW w:w="990" w:type="dxa"/>
            <w:tcBorders>
              <w:top w:val="nil"/>
              <w:left w:val="nil"/>
              <w:bottom w:val="single" w:sz="4" w:space="0" w:color="auto"/>
              <w:right w:val="single" w:sz="4" w:space="0" w:color="auto"/>
            </w:tcBorders>
            <w:shd w:val="clear" w:color="auto" w:fill="auto"/>
            <w:noWrap/>
            <w:vAlign w:val="bottom"/>
            <w:hideMark/>
          </w:tcPr>
          <w:p w14:paraId="24DDB092"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PROCESSED</w:t>
            </w:r>
          </w:p>
        </w:tc>
        <w:tc>
          <w:tcPr>
            <w:tcW w:w="1055" w:type="dxa"/>
            <w:tcBorders>
              <w:top w:val="nil"/>
              <w:left w:val="nil"/>
              <w:bottom w:val="single" w:sz="4" w:space="0" w:color="auto"/>
              <w:right w:val="single" w:sz="4" w:space="0" w:color="auto"/>
            </w:tcBorders>
            <w:shd w:val="clear" w:color="auto" w:fill="auto"/>
            <w:noWrap/>
            <w:vAlign w:val="bottom"/>
            <w:hideMark/>
          </w:tcPr>
          <w:p w14:paraId="67CB9BAA"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091FC5AB" w14:textId="77777777" w:rsidR="00DF5CB1" w:rsidRPr="00943696" w:rsidRDefault="00DF5CB1" w:rsidP="00DF5CB1">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NON-DURABLE</w:t>
            </w:r>
          </w:p>
        </w:tc>
        <w:tc>
          <w:tcPr>
            <w:tcW w:w="1795" w:type="dxa"/>
            <w:tcBorders>
              <w:top w:val="nil"/>
              <w:left w:val="nil"/>
              <w:bottom w:val="single" w:sz="4" w:space="0" w:color="auto"/>
              <w:right w:val="single" w:sz="4" w:space="0" w:color="auto"/>
            </w:tcBorders>
            <w:shd w:val="clear" w:color="auto" w:fill="auto"/>
            <w:noWrap/>
            <w:hideMark/>
          </w:tcPr>
          <w:p w14:paraId="22EEDCBB" w14:textId="54CFCCAA" w:rsidR="00DF5CB1" w:rsidRPr="00943696" w:rsidRDefault="00DF5CB1" w:rsidP="00DF5CB1">
            <w:pPr>
              <w:spacing w:after="0" w:line="240" w:lineRule="auto"/>
              <w:jc w:val="right"/>
              <w:rPr>
                <w:rFonts w:ascii="Calibri" w:eastAsia="Times New Roman" w:hAnsi="Calibri" w:cs="Calibri"/>
                <w:color w:val="000000"/>
                <w:sz w:val="16"/>
                <w:szCs w:val="16"/>
                <w:lang w:val="en-US"/>
              </w:rPr>
            </w:pPr>
            <w:r w:rsidRPr="00DF5CB1">
              <w:rPr>
                <w:rFonts w:ascii="Calibri" w:eastAsia="Times New Roman" w:hAnsi="Calibri" w:cs="Calibri"/>
                <w:color w:val="000000"/>
                <w:sz w:val="16"/>
                <w:szCs w:val="16"/>
                <w:lang w:val="en-US"/>
              </w:rPr>
              <w:t xml:space="preserve"> 80,330,176,393 </w:t>
            </w:r>
          </w:p>
        </w:tc>
      </w:tr>
      <w:tr w:rsidR="00943696" w:rsidRPr="00943696" w14:paraId="7FE1373E"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72708F7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 BEC 5</w:t>
            </w:r>
          </w:p>
        </w:tc>
        <w:tc>
          <w:tcPr>
            <w:tcW w:w="895" w:type="dxa"/>
            <w:tcBorders>
              <w:top w:val="nil"/>
              <w:left w:val="nil"/>
              <w:bottom w:val="single" w:sz="4" w:space="0" w:color="auto"/>
              <w:right w:val="single" w:sz="4" w:space="0" w:color="auto"/>
            </w:tcBorders>
            <w:shd w:val="clear" w:color="000000" w:fill="ED7D31"/>
            <w:noWrap/>
            <w:vAlign w:val="bottom"/>
            <w:hideMark/>
          </w:tcPr>
          <w:p w14:paraId="633D554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42FE28F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2B75615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512444D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7772883B"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1,735,787,301,784 </w:t>
            </w:r>
          </w:p>
        </w:tc>
      </w:tr>
      <w:tr w:rsidR="00943696" w:rsidRPr="00943696" w14:paraId="3D1A3606"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7E11307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CONS BEC 4</w:t>
            </w:r>
          </w:p>
        </w:tc>
        <w:tc>
          <w:tcPr>
            <w:tcW w:w="895" w:type="dxa"/>
            <w:tcBorders>
              <w:top w:val="nil"/>
              <w:left w:val="nil"/>
              <w:bottom w:val="single" w:sz="4" w:space="0" w:color="auto"/>
              <w:right w:val="single" w:sz="4" w:space="0" w:color="auto"/>
            </w:tcBorders>
            <w:shd w:val="clear" w:color="000000" w:fill="ED7D31"/>
            <w:noWrap/>
            <w:vAlign w:val="bottom"/>
            <w:hideMark/>
          </w:tcPr>
          <w:p w14:paraId="747C670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638A04E9"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40EB387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1AE2BEB9"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07BB723D"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1,330,591,157,664 </w:t>
            </w:r>
          </w:p>
        </w:tc>
      </w:tr>
      <w:tr w:rsidR="00452ED2" w:rsidRPr="00943696" w14:paraId="715B29B1"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31974FE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895" w:type="dxa"/>
            <w:tcBorders>
              <w:top w:val="nil"/>
              <w:left w:val="nil"/>
              <w:bottom w:val="single" w:sz="4" w:space="0" w:color="auto"/>
              <w:right w:val="single" w:sz="4" w:space="0" w:color="auto"/>
            </w:tcBorders>
            <w:shd w:val="clear" w:color="auto" w:fill="auto"/>
            <w:noWrap/>
            <w:vAlign w:val="bottom"/>
            <w:hideMark/>
          </w:tcPr>
          <w:p w14:paraId="14E24FCE"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14:paraId="491C4C5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5DAA1394"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60BDEA6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70D68938"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29%</w:t>
            </w:r>
          </w:p>
        </w:tc>
      </w:tr>
      <w:tr w:rsidR="00452ED2" w:rsidRPr="00943696" w14:paraId="53DCE68A"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15B7159"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3C183B86"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w:t>
            </w:r>
          </w:p>
        </w:tc>
        <w:tc>
          <w:tcPr>
            <w:tcW w:w="990" w:type="dxa"/>
            <w:tcBorders>
              <w:top w:val="nil"/>
              <w:left w:val="nil"/>
              <w:bottom w:val="single" w:sz="4" w:space="0" w:color="auto"/>
              <w:right w:val="single" w:sz="4" w:space="0" w:color="auto"/>
            </w:tcBorders>
            <w:shd w:val="clear" w:color="auto" w:fill="auto"/>
            <w:noWrap/>
            <w:vAlign w:val="bottom"/>
            <w:hideMark/>
          </w:tcPr>
          <w:p w14:paraId="08B0558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PRIMARY</w:t>
            </w:r>
          </w:p>
        </w:tc>
        <w:tc>
          <w:tcPr>
            <w:tcW w:w="1055" w:type="dxa"/>
            <w:tcBorders>
              <w:top w:val="nil"/>
              <w:left w:val="nil"/>
              <w:bottom w:val="single" w:sz="4" w:space="0" w:color="auto"/>
              <w:right w:val="single" w:sz="4" w:space="0" w:color="auto"/>
            </w:tcBorders>
            <w:shd w:val="clear" w:color="auto" w:fill="auto"/>
            <w:noWrap/>
            <w:vAlign w:val="bottom"/>
            <w:hideMark/>
          </w:tcPr>
          <w:p w14:paraId="6FCCF6D3"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2525E90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3A6871A7"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836,909,600,000 </w:t>
            </w:r>
          </w:p>
        </w:tc>
      </w:tr>
      <w:tr w:rsidR="00452ED2" w:rsidRPr="00943696" w14:paraId="39F5456D"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C8511ED"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lastRenderedPageBreak/>
              <w:t>5</w:t>
            </w:r>
          </w:p>
        </w:tc>
        <w:tc>
          <w:tcPr>
            <w:tcW w:w="895" w:type="dxa"/>
            <w:tcBorders>
              <w:top w:val="nil"/>
              <w:left w:val="nil"/>
              <w:bottom w:val="single" w:sz="4" w:space="0" w:color="auto"/>
              <w:right w:val="single" w:sz="4" w:space="0" w:color="auto"/>
            </w:tcBorders>
            <w:shd w:val="clear" w:color="auto" w:fill="auto"/>
            <w:noWrap/>
            <w:vAlign w:val="bottom"/>
            <w:hideMark/>
          </w:tcPr>
          <w:p w14:paraId="780D8A1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w:t>
            </w:r>
          </w:p>
        </w:tc>
        <w:tc>
          <w:tcPr>
            <w:tcW w:w="990" w:type="dxa"/>
            <w:tcBorders>
              <w:top w:val="nil"/>
              <w:left w:val="nil"/>
              <w:bottom w:val="single" w:sz="4" w:space="0" w:color="auto"/>
              <w:right w:val="single" w:sz="4" w:space="0" w:color="auto"/>
            </w:tcBorders>
            <w:shd w:val="clear" w:color="auto" w:fill="auto"/>
            <w:noWrap/>
            <w:vAlign w:val="bottom"/>
            <w:hideMark/>
          </w:tcPr>
          <w:p w14:paraId="3A784C4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PROCESSED</w:t>
            </w:r>
          </w:p>
        </w:tc>
        <w:tc>
          <w:tcPr>
            <w:tcW w:w="1055" w:type="dxa"/>
            <w:tcBorders>
              <w:top w:val="nil"/>
              <w:left w:val="nil"/>
              <w:bottom w:val="single" w:sz="4" w:space="0" w:color="auto"/>
              <w:right w:val="single" w:sz="4" w:space="0" w:color="auto"/>
            </w:tcBorders>
            <w:shd w:val="clear" w:color="auto" w:fill="auto"/>
            <w:noWrap/>
            <w:vAlign w:val="bottom"/>
            <w:hideMark/>
          </w:tcPr>
          <w:p w14:paraId="34134697"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GEN/SPEC</w:t>
            </w:r>
          </w:p>
        </w:tc>
        <w:tc>
          <w:tcPr>
            <w:tcW w:w="1767" w:type="dxa"/>
            <w:tcBorders>
              <w:top w:val="nil"/>
              <w:left w:val="nil"/>
              <w:bottom w:val="single" w:sz="4" w:space="0" w:color="auto"/>
              <w:right w:val="single" w:sz="4" w:space="0" w:color="auto"/>
            </w:tcBorders>
            <w:shd w:val="clear" w:color="auto" w:fill="auto"/>
            <w:noWrap/>
            <w:vAlign w:val="bottom"/>
            <w:hideMark/>
          </w:tcPr>
          <w:p w14:paraId="6287DFED"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11A67578"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130,101,800,000 </w:t>
            </w:r>
          </w:p>
        </w:tc>
      </w:tr>
      <w:tr w:rsidR="00452ED2" w:rsidRPr="00943696" w14:paraId="4056301E"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1752F5B"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57A677D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w:t>
            </w:r>
          </w:p>
        </w:tc>
        <w:tc>
          <w:tcPr>
            <w:tcW w:w="990" w:type="dxa"/>
            <w:tcBorders>
              <w:top w:val="nil"/>
              <w:left w:val="nil"/>
              <w:bottom w:val="single" w:sz="4" w:space="0" w:color="auto"/>
              <w:right w:val="single" w:sz="4" w:space="0" w:color="auto"/>
            </w:tcBorders>
            <w:shd w:val="clear" w:color="auto" w:fill="auto"/>
            <w:noWrap/>
            <w:vAlign w:val="bottom"/>
            <w:hideMark/>
          </w:tcPr>
          <w:p w14:paraId="285085BE"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PROCESSED</w:t>
            </w:r>
          </w:p>
        </w:tc>
        <w:tc>
          <w:tcPr>
            <w:tcW w:w="1055" w:type="dxa"/>
            <w:tcBorders>
              <w:top w:val="nil"/>
              <w:left w:val="nil"/>
              <w:bottom w:val="single" w:sz="4" w:space="0" w:color="auto"/>
              <w:right w:val="single" w:sz="4" w:space="0" w:color="auto"/>
            </w:tcBorders>
            <w:shd w:val="clear" w:color="auto" w:fill="auto"/>
            <w:noWrap/>
            <w:vAlign w:val="bottom"/>
            <w:hideMark/>
          </w:tcPr>
          <w:p w14:paraId="34278F8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GENERIC</w:t>
            </w:r>
          </w:p>
        </w:tc>
        <w:tc>
          <w:tcPr>
            <w:tcW w:w="1767" w:type="dxa"/>
            <w:tcBorders>
              <w:top w:val="nil"/>
              <w:left w:val="nil"/>
              <w:bottom w:val="single" w:sz="4" w:space="0" w:color="auto"/>
              <w:right w:val="single" w:sz="4" w:space="0" w:color="auto"/>
            </w:tcBorders>
            <w:shd w:val="clear" w:color="auto" w:fill="auto"/>
            <w:noWrap/>
            <w:vAlign w:val="bottom"/>
            <w:hideMark/>
          </w:tcPr>
          <w:p w14:paraId="6CBB2A0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63474606"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880,078,400,000 </w:t>
            </w:r>
          </w:p>
        </w:tc>
      </w:tr>
      <w:tr w:rsidR="00452ED2" w:rsidRPr="00943696" w14:paraId="2CB2D28E"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580C3DE"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77E6F4B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w:t>
            </w:r>
          </w:p>
        </w:tc>
        <w:tc>
          <w:tcPr>
            <w:tcW w:w="990" w:type="dxa"/>
            <w:tcBorders>
              <w:top w:val="nil"/>
              <w:left w:val="nil"/>
              <w:bottom w:val="single" w:sz="4" w:space="0" w:color="auto"/>
              <w:right w:val="single" w:sz="4" w:space="0" w:color="auto"/>
            </w:tcBorders>
            <w:shd w:val="clear" w:color="auto" w:fill="auto"/>
            <w:noWrap/>
            <w:vAlign w:val="bottom"/>
            <w:hideMark/>
          </w:tcPr>
          <w:p w14:paraId="7247CF5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PROCESSED</w:t>
            </w:r>
          </w:p>
        </w:tc>
        <w:tc>
          <w:tcPr>
            <w:tcW w:w="1055" w:type="dxa"/>
            <w:tcBorders>
              <w:top w:val="nil"/>
              <w:left w:val="nil"/>
              <w:bottom w:val="single" w:sz="4" w:space="0" w:color="auto"/>
              <w:right w:val="single" w:sz="4" w:space="0" w:color="auto"/>
            </w:tcBorders>
            <w:shd w:val="clear" w:color="auto" w:fill="auto"/>
            <w:noWrap/>
            <w:vAlign w:val="bottom"/>
            <w:hideMark/>
          </w:tcPr>
          <w:p w14:paraId="47EB721D"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SPECIFIC</w:t>
            </w:r>
          </w:p>
        </w:tc>
        <w:tc>
          <w:tcPr>
            <w:tcW w:w="1767" w:type="dxa"/>
            <w:tcBorders>
              <w:top w:val="nil"/>
              <w:left w:val="nil"/>
              <w:bottom w:val="single" w:sz="4" w:space="0" w:color="auto"/>
              <w:right w:val="single" w:sz="4" w:space="0" w:color="auto"/>
            </w:tcBorders>
            <w:shd w:val="clear" w:color="auto" w:fill="auto"/>
            <w:noWrap/>
            <w:vAlign w:val="bottom"/>
            <w:hideMark/>
          </w:tcPr>
          <w:p w14:paraId="2E858D17"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54827AEE"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1,812,792,000,000 </w:t>
            </w:r>
          </w:p>
        </w:tc>
      </w:tr>
      <w:tr w:rsidR="00943696" w:rsidRPr="00943696" w14:paraId="072DBE92"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6344601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 BEC 5</w:t>
            </w:r>
          </w:p>
        </w:tc>
        <w:tc>
          <w:tcPr>
            <w:tcW w:w="895" w:type="dxa"/>
            <w:tcBorders>
              <w:top w:val="nil"/>
              <w:left w:val="nil"/>
              <w:bottom w:val="single" w:sz="4" w:space="0" w:color="auto"/>
              <w:right w:val="single" w:sz="4" w:space="0" w:color="auto"/>
            </w:tcBorders>
            <w:shd w:val="clear" w:color="000000" w:fill="ED7D31"/>
            <w:noWrap/>
            <w:vAlign w:val="bottom"/>
            <w:hideMark/>
          </w:tcPr>
          <w:p w14:paraId="5127F9C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05A6E8F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6F442E1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25A9D4F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7F5BFE0A"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3,659,881,800,000 </w:t>
            </w:r>
          </w:p>
        </w:tc>
      </w:tr>
      <w:tr w:rsidR="00943696" w:rsidRPr="00943696" w14:paraId="2DD9C5A5"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000000" w:fill="ED7D31"/>
            <w:noWrap/>
            <w:vAlign w:val="bottom"/>
            <w:hideMark/>
          </w:tcPr>
          <w:p w14:paraId="00F4A11D"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INT BEC 4</w:t>
            </w:r>
          </w:p>
        </w:tc>
        <w:tc>
          <w:tcPr>
            <w:tcW w:w="895" w:type="dxa"/>
            <w:tcBorders>
              <w:top w:val="nil"/>
              <w:left w:val="nil"/>
              <w:bottom w:val="single" w:sz="4" w:space="0" w:color="auto"/>
              <w:right w:val="single" w:sz="4" w:space="0" w:color="auto"/>
            </w:tcBorders>
            <w:shd w:val="clear" w:color="000000" w:fill="ED7D31"/>
            <w:noWrap/>
            <w:vAlign w:val="bottom"/>
            <w:hideMark/>
          </w:tcPr>
          <w:p w14:paraId="43D5803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000000" w:fill="ED7D31"/>
            <w:noWrap/>
            <w:vAlign w:val="bottom"/>
            <w:hideMark/>
          </w:tcPr>
          <w:p w14:paraId="70A5B8E4"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000000" w:fill="ED7D31"/>
            <w:noWrap/>
            <w:vAlign w:val="bottom"/>
            <w:hideMark/>
          </w:tcPr>
          <w:p w14:paraId="20B2FD7D"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000000" w:fill="ED7D31"/>
            <w:noWrap/>
            <w:vAlign w:val="bottom"/>
            <w:hideMark/>
          </w:tcPr>
          <w:p w14:paraId="0DB3653A"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000000" w:fill="ED7D31"/>
            <w:noWrap/>
            <w:vAlign w:val="bottom"/>
            <w:hideMark/>
          </w:tcPr>
          <w:p w14:paraId="363F1A1E"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3,646,880,000,000 </w:t>
            </w:r>
          </w:p>
        </w:tc>
      </w:tr>
      <w:tr w:rsidR="00452ED2" w:rsidRPr="00943696" w14:paraId="73FA9D07"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6800F2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895" w:type="dxa"/>
            <w:tcBorders>
              <w:top w:val="nil"/>
              <w:left w:val="nil"/>
              <w:bottom w:val="single" w:sz="4" w:space="0" w:color="auto"/>
              <w:right w:val="single" w:sz="4" w:space="0" w:color="auto"/>
            </w:tcBorders>
            <w:shd w:val="clear" w:color="auto" w:fill="auto"/>
            <w:noWrap/>
            <w:vAlign w:val="bottom"/>
            <w:hideMark/>
          </w:tcPr>
          <w:p w14:paraId="49D123B4"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14:paraId="77538B80"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5B1BA8E8"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4F2BAC6A"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59823A12"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2%</w:t>
            </w:r>
          </w:p>
        </w:tc>
      </w:tr>
      <w:tr w:rsidR="00452ED2" w:rsidRPr="00943696" w14:paraId="2D65C91E"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067033C"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5</w:t>
            </w:r>
          </w:p>
        </w:tc>
        <w:tc>
          <w:tcPr>
            <w:tcW w:w="895" w:type="dxa"/>
            <w:tcBorders>
              <w:top w:val="nil"/>
              <w:left w:val="nil"/>
              <w:bottom w:val="single" w:sz="4" w:space="0" w:color="auto"/>
              <w:right w:val="single" w:sz="4" w:space="0" w:color="auto"/>
            </w:tcBorders>
            <w:shd w:val="clear" w:color="auto" w:fill="auto"/>
            <w:noWrap/>
            <w:vAlign w:val="bottom"/>
            <w:hideMark/>
          </w:tcPr>
          <w:p w14:paraId="3AF4120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NES</w:t>
            </w:r>
          </w:p>
        </w:tc>
        <w:tc>
          <w:tcPr>
            <w:tcW w:w="990" w:type="dxa"/>
            <w:tcBorders>
              <w:top w:val="nil"/>
              <w:left w:val="nil"/>
              <w:bottom w:val="single" w:sz="4" w:space="0" w:color="auto"/>
              <w:right w:val="single" w:sz="4" w:space="0" w:color="auto"/>
            </w:tcBorders>
            <w:shd w:val="clear" w:color="auto" w:fill="auto"/>
            <w:noWrap/>
            <w:vAlign w:val="bottom"/>
            <w:hideMark/>
          </w:tcPr>
          <w:p w14:paraId="406377EC"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42FC5E1E"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66B3866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10371D25"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211,714,600,000 </w:t>
            </w:r>
          </w:p>
        </w:tc>
      </w:tr>
      <w:tr w:rsidR="00452ED2" w:rsidRPr="00943696" w14:paraId="4575E774"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34E151FA" w14:textId="77777777" w:rsidR="00943696" w:rsidRPr="00943696" w:rsidRDefault="00943696" w:rsidP="00943696">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4</w:t>
            </w:r>
          </w:p>
        </w:tc>
        <w:tc>
          <w:tcPr>
            <w:tcW w:w="895" w:type="dxa"/>
            <w:tcBorders>
              <w:top w:val="nil"/>
              <w:left w:val="nil"/>
              <w:bottom w:val="single" w:sz="4" w:space="0" w:color="auto"/>
              <w:right w:val="single" w:sz="4" w:space="0" w:color="auto"/>
            </w:tcBorders>
            <w:shd w:val="clear" w:color="auto" w:fill="auto"/>
            <w:noWrap/>
            <w:vAlign w:val="bottom"/>
            <w:hideMark/>
          </w:tcPr>
          <w:p w14:paraId="4312A1A3"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NES</w:t>
            </w:r>
          </w:p>
        </w:tc>
        <w:tc>
          <w:tcPr>
            <w:tcW w:w="990" w:type="dxa"/>
            <w:tcBorders>
              <w:top w:val="nil"/>
              <w:left w:val="nil"/>
              <w:bottom w:val="single" w:sz="4" w:space="0" w:color="auto"/>
              <w:right w:val="single" w:sz="4" w:space="0" w:color="auto"/>
            </w:tcBorders>
            <w:shd w:val="clear" w:color="auto" w:fill="auto"/>
            <w:noWrap/>
            <w:vAlign w:val="bottom"/>
            <w:hideMark/>
          </w:tcPr>
          <w:p w14:paraId="3CCFBE6F"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08C98876"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3684CC11"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1F9580AB"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542,732,168,572 </w:t>
            </w:r>
          </w:p>
        </w:tc>
      </w:tr>
      <w:tr w:rsidR="00452ED2" w:rsidRPr="00943696" w14:paraId="69A0C094" w14:textId="77777777" w:rsidTr="00452ED2">
        <w:trPr>
          <w:trHeight w:val="225"/>
          <w:jc w:val="center"/>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73D23F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895" w:type="dxa"/>
            <w:tcBorders>
              <w:top w:val="nil"/>
              <w:left w:val="nil"/>
              <w:bottom w:val="single" w:sz="4" w:space="0" w:color="auto"/>
              <w:right w:val="single" w:sz="4" w:space="0" w:color="auto"/>
            </w:tcBorders>
            <w:shd w:val="clear" w:color="auto" w:fill="auto"/>
            <w:noWrap/>
            <w:vAlign w:val="bottom"/>
            <w:hideMark/>
          </w:tcPr>
          <w:p w14:paraId="5F9A4207"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TOTAL </w:t>
            </w:r>
          </w:p>
        </w:tc>
        <w:tc>
          <w:tcPr>
            <w:tcW w:w="990" w:type="dxa"/>
            <w:tcBorders>
              <w:top w:val="nil"/>
              <w:left w:val="nil"/>
              <w:bottom w:val="single" w:sz="4" w:space="0" w:color="auto"/>
              <w:right w:val="single" w:sz="4" w:space="0" w:color="auto"/>
            </w:tcBorders>
            <w:shd w:val="clear" w:color="auto" w:fill="auto"/>
            <w:noWrap/>
            <w:vAlign w:val="bottom"/>
            <w:hideMark/>
          </w:tcPr>
          <w:p w14:paraId="3BE3EB52"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055" w:type="dxa"/>
            <w:tcBorders>
              <w:top w:val="nil"/>
              <w:left w:val="nil"/>
              <w:bottom w:val="single" w:sz="4" w:space="0" w:color="auto"/>
              <w:right w:val="single" w:sz="4" w:space="0" w:color="auto"/>
            </w:tcBorders>
            <w:shd w:val="clear" w:color="auto" w:fill="auto"/>
            <w:noWrap/>
            <w:vAlign w:val="bottom"/>
            <w:hideMark/>
          </w:tcPr>
          <w:p w14:paraId="31C78E65"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67" w:type="dxa"/>
            <w:tcBorders>
              <w:top w:val="nil"/>
              <w:left w:val="nil"/>
              <w:bottom w:val="single" w:sz="4" w:space="0" w:color="auto"/>
              <w:right w:val="single" w:sz="4" w:space="0" w:color="auto"/>
            </w:tcBorders>
            <w:shd w:val="clear" w:color="auto" w:fill="auto"/>
            <w:noWrap/>
            <w:vAlign w:val="bottom"/>
            <w:hideMark/>
          </w:tcPr>
          <w:p w14:paraId="4FAE77DB" w14:textId="77777777" w:rsidR="00943696" w:rsidRPr="00943696" w:rsidRDefault="00943696" w:rsidP="00943696">
            <w:pPr>
              <w:spacing w:after="0" w:line="240" w:lineRule="auto"/>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w:t>
            </w:r>
          </w:p>
        </w:tc>
        <w:tc>
          <w:tcPr>
            <w:tcW w:w="1795" w:type="dxa"/>
            <w:tcBorders>
              <w:top w:val="nil"/>
              <w:left w:val="nil"/>
              <w:bottom w:val="single" w:sz="4" w:space="0" w:color="auto"/>
              <w:right w:val="single" w:sz="4" w:space="0" w:color="auto"/>
            </w:tcBorders>
            <w:shd w:val="clear" w:color="auto" w:fill="auto"/>
            <w:noWrap/>
            <w:vAlign w:val="bottom"/>
            <w:hideMark/>
          </w:tcPr>
          <w:p w14:paraId="7338EB1E" w14:textId="77777777" w:rsidR="00943696" w:rsidRPr="00943696" w:rsidRDefault="00943696" w:rsidP="00AA0C1E">
            <w:pPr>
              <w:spacing w:after="0" w:line="240" w:lineRule="auto"/>
              <w:jc w:val="right"/>
              <w:rPr>
                <w:rFonts w:ascii="Calibri" w:eastAsia="Times New Roman" w:hAnsi="Calibri" w:cs="Calibri"/>
                <w:color w:val="000000"/>
                <w:sz w:val="16"/>
                <w:szCs w:val="16"/>
                <w:lang w:val="en-US"/>
              </w:rPr>
            </w:pPr>
            <w:r w:rsidRPr="00943696">
              <w:rPr>
                <w:rFonts w:ascii="Calibri" w:eastAsia="Times New Roman" w:hAnsi="Calibri" w:cs="Calibri"/>
                <w:color w:val="000000"/>
                <w:sz w:val="16"/>
                <w:szCs w:val="16"/>
                <w:lang w:val="en-US"/>
              </w:rPr>
              <w:t xml:space="preserve">   6,547,903,353,689 </w:t>
            </w:r>
          </w:p>
        </w:tc>
      </w:tr>
      <w:tr w:rsidR="00943696" w:rsidRPr="00943696" w14:paraId="734E894E" w14:textId="77777777" w:rsidTr="00452ED2">
        <w:trPr>
          <w:trHeight w:val="300"/>
          <w:jc w:val="center"/>
        </w:trPr>
        <w:tc>
          <w:tcPr>
            <w:tcW w:w="3055" w:type="dxa"/>
            <w:gridSpan w:val="3"/>
            <w:tcBorders>
              <w:top w:val="nil"/>
              <w:left w:val="nil"/>
              <w:bottom w:val="nil"/>
              <w:right w:val="nil"/>
            </w:tcBorders>
            <w:shd w:val="clear" w:color="auto" w:fill="auto"/>
            <w:noWrap/>
            <w:vAlign w:val="bottom"/>
            <w:hideMark/>
          </w:tcPr>
          <w:p w14:paraId="5708D025" w14:textId="77777777" w:rsidR="00943696" w:rsidRPr="00943696" w:rsidRDefault="00943696" w:rsidP="00943696">
            <w:pPr>
              <w:spacing w:after="0" w:line="240" w:lineRule="auto"/>
              <w:rPr>
                <w:rFonts w:ascii="Calibri" w:eastAsia="Times New Roman" w:hAnsi="Calibri" w:cs="Calibri"/>
                <w:color w:val="000000"/>
                <w:lang w:val="en-US"/>
              </w:rPr>
            </w:pPr>
            <w:r w:rsidRPr="00943696">
              <w:rPr>
                <w:rFonts w:ascii="Calibri" w:eastAsia="Times New Roman" w:hAnsi="Calibri" w:cs="Calibri"/>
                <w:color w:val="000000"/>
                <w:lang w:val="en-US"/>
              </w:rPr>
              <w:t>Source: UN Comtrade</w:t>
            </w:r>
          </w:p>
        </w:tc>
        <w:tc>
          <w:tcPr>
            <w:tcW w:w="1055" w:type="dxa"/>
            <w:tcBorders>
              <w:top w:val="nil"/>
              <w:left w:val="nil"/>
              <w:bottom w:val="nil"/>
              <w:right w:val="nil"/>
            </w:tcBorders>
            <w:shd w:val="clear" w:color="auto" w:fill="auto"/>
            <w:noWrap/>
            <w:vAlign w:val="bottom"/>
            <w:hideMark/>
          </w:tcPr>
          <w:p w14:paraId="0826083E" w14:textId="77777777" w:rsidR="00943696" w:rsidRPr="00943696" w:rsidRDefault="00943696" w:rsidP="00943696">
            <w:pPr>
              <w:spacing w:after="0" w:line="240" w:lineRule="auto"/>
              <w:rPr>
                <w:rFonts w:ascii="Calibri" w:eastAsia="Times New Roman" w:hAnsi="Calibri" w:cs="Calibri"/>
                <w:color w:val="000000"/>
                <w:lang w:val="en-US"/>
              </w:rPr>
            </w:pPr>
          </w:p>
        </w:tc>
        <w:tc>
          <w:tcPr>
            <w:tcW w:w="1767" w:type="dxa"/>
            <w:tcBorders>
              <w:top w:val="nil"/>
              <w:left w:val="nil"/>
              <w:bottom w:val="nil"/>
              <w:right w:val="nil"/>
            </w:tcBorders>
            <w:shd w:val="clear" w:color="auto" w:fill="auto"/>
            <w:noWrap/>
            <w:vAlign w:val="bottom"/>
            <w:hideMark/>
          </w:tcPr>
          <w:p w14:paraId="3616DC1C" w14:textId="77777777" w:rsidR="00943696" w:rsidRPr="00943696" w:rsidRDefault="00943696" w:rsidP="00943696">
            <w:pPr>
              <w:spacing w:after="0" w:line="240" w:lineRule="auto"/>
              <w:rPr>
                <w:rFonts w:ascii="Times New Roman" w:eastAsia="Times New Roman" w:hAnsi="Times New Roman" w:cs="Times New Roman"/>
                <w:sz w:val="20"/>
                <w:szCs w:val="20"/>
                <w:lang w:val="en-US"/>
              </w:rPr>
            </w:pPr>
          </w:p>
        </w:tc>
        <w:tc>
          <w:tcPr>
            <w:tcW w:w="1795" w:type="dxa"/>
            <w:tcBorders>
              <w:top w:val="nil"/>
              <w:left w:val="nil"/>
              <w:bottom w:val="nil"/>
              <w:right w:val="nil"/>
            </w:tcBorders>
            <w:shd w:val="clear" w:color="auto" w:fill="auto"/>
            <w:noWrap/>
            <w:vAlign w:val="bottom"/>
            <w:hideMark/>
          </w:tcPr>
          <w:p w14:paraId="2606F0BF" w14:textId="77777777" w:rsidR="00943696" w:rsidRPr="00943696" w:rsidRDefault="00943696" w:rsidP="00943696">
            <w:pPr>
              <w:spacing w:after="0" w:line="240" w:lineRule="auto"/>
              <w:rPr>
                <w:rFonts w:ascii="Times New Roman" w:eastAsia="Times New Roman" w:hAnsi="Times New Roman" w:cs="Times New Roman"/>
                <w:sz w:val="20"/>
                <w:szCs w:val="20"/>
                <w:lang w:val="en-US"/>
              </w:rPr>
            </w:pPr>
          </w:p>
        </w:tc>
      </w:tr>
    </w:tbl>
    <w:p w14:paraId="5D1C4390" w14:textId="08094E8E" w:rsidR="00943696" w:rsidRDefault="00943696" w:rsidP="00943696">
      <w:pPr>
        <w:rPr>
          <w:rFonts w:asciiTheme="majorBidi" w:hAnsiTheme="majorBidi" w:cstheme="majorBidi"/>
          <w:sz w:val="24"/>
          <w:szCs w:val="24"/>
        </w:rPr>
      </w:pPr>
    </w:p>
    <w:p w14:paraId="34D6F38B" w14:textId="0E79BC53" w:rsidR="0027552D" w:rsidRPr="008D0B13" w:rsidRDefault="0027552D" w:rsidP="00434BD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Looking at broad economic categories (1</w:t>
      </w:r>
      <w:r w:rsidRPr="0027552D">
        <w:rPr>
          <w:rFonts w:asciiTheme="majorBidi" w:hAnsiTheme="majorBidi" w:cstheme="majorBidi"/>
          <w:sz w:val="24"/>
          <w:szCs w:val="24"/>
          <w:vertAlign w:val="superscript"/>
        </w:rPr>
        <w:t>st</w:t>
      </w:r>
      <w:r>
        <w:rPr>
          <w:rFonts w:asciiTheme="majorBidi" w:hAnsiTheme="majorBidi" w:cstheme="majorBidi"/>
          <w:sz w:val="24"/>
          <w:szCs w:val="24"/>
        </w:rPr>
        <w:t xml:space="preserve"> level) broken down by end-use, processing, specification and durability dimensions, </w:t>
      </w:r>
      <w:r w:rsidR="008D0B13">
        <w:rPr>
          <w:rFonts w:asciiTheme="majorBidi" w:hAnsiTheme="majorBidi" w:cstheme="majorBidi"/>
          <w:sz w:val="24"/>
          <w:szCs w:val="24"/>
        </w:rPr>
        <w:t xml:space="preserve">it shows that </w:t>
      </w:r>
      <w:r w:rsidR="008D0B13" w:rsidRPr="008D0B13">
        <w:rPr>
          <w:rFonts w:asciiTheme="majorBidi" w:hAnsiTheme="majorBidi" w:cstheme="majorBidi"/>
          <w:sz w:val="24"/>
          <w:szCs w:val="24"/>
        </w:rPr>
        <w:t xml:space="preserve">high values of </w:t>
      </w:r>
      <w:r w:rsidR="008D0B13">
        <w:rPr>
          <w:rFonts w:asciiTheme="majorBidi" w:hAnsiTheme="majorBidi" w:cstheme="majorBidi"/>
          <w:sz w:val="24"/>
          <w:szCs w:val="24"/>
        </w:rPr>
        <w:t>specialized intermediate goods</w:t>
      </w:r>
      <w:r w:rsidR="008D0B13" w:rsidRPr="008D0B13">
        <w:rPr>
          <w:rFonts w:asciiTheme="majorBidi" w:hAnsiTheme="majorBidi" w:cstheme="majorBidi"/>
          <w:sz w:val="24"/>
          <w:szCs w:val="24"/>
        </w:rPr>
        <w:t xml:space="preserve"> are concentrated in BEC </w:t>
      </w:r>
      <w:r w:rsidR="008D0B13">
        <w:rPr>
          <w:rFonts w:asciiTheme="majorBidi" w:hAnsiTheme="majorBidi" w:cstheme="majorBidi"/>
          <w:sz w:val="24"/>
          <w:szCs w:val="24"/>
        </w:rPr>
        <w:t>broad economic categories</w:t>
      </w:r>
      <w:r w:rsidR="008D0B13" w:rsidRPr="008D0B13">
        <w:rPr>
          <w:rFonts w:asciiTheme="majorBidi" w:hAnsiTheme="majorBidi" w:cstheme="majorBidi"/>
          <w:sz w:val="24"/>
          <w:szCs w:val="24"/>
        </w:rPr>
        <w:t xml:space="preserve"> 5</w:t>
      </w:r>
      <w:r w:rsidR="008D0B13">
        <w:rPr>
          <w:rFonts w:asciiTheme="majorBidi" w:hAnsiTheme="majorBidi" w:cstheme="majorBidi"/>
          <w:sz w:val="24"/>
          <w:szCs w:val="24"/>
        </w:rPr>
        <w:t xml:space="preserve"> and</w:t>
      </w:r>
      <w:r w:rsidR="008D0B13" w:rsidRPr="008D0B13">
        <w:rPr>
          <w:rFonts w:asciiTheme="majorBidi" w:hAnsiTheme="majorBidi" w:cstheme="majorBidi"/>
          <w:sz w:val="24"/>
          <w:szCs w:val="24"/>
        </w:rPr>
        <w:t xml:space="preserve"> 6 which implies GVC</w:t>
      </w:r>
      <w:r w:rsidR="008D0B13">
        <w:rPr>
          <w:rFonts w:asciiTheme="majorBidi" w:hAnsiTheme="majorBidi" w:cstheme="majorBidi"/>
          <w:sz w:val="24"/>
          <w:szCs w:val="24"/>
        </w:rPr>
        <w:t>s</w:t>
      </w:r>
      <w:r w:rsidR="008D0B13" w:rsidRPr="008D0B13">
        <w:rPr>
          <w:rFonts w:asciiTheme="majorBidi" w:hAnsiTheme="majorBidi" w:cstheme="majorBidi"/>
          <w:sz w:val="24"/>
          <w:szCs w:val="24"/>
        </w:rPr>
        <w:t xml:space="preserve"> automobile and electronics, respectively. The largest value in broad economic category 2 is </w:t>
      </w:r>
      <w:r w:rsidR="008D0B13">
        <w:rPr>
          <w:rFonts w:asciiTheme="majorBidi" w:hAnsiTheme="majorBidi" w:cstheme="majorBidi"/>
          <w:sz w:val="24"/>
          <w:szCs w:val="24"/>
        </w:rPr>
        <w:t xml:space="preserve">primary </w:t>
      </w:r>
      <w:r w:rsidR="008D0B13" w:rsidRPr="008D0B13">
        <w:rPr>
          <w:rFonts w:asciiTheme="majorBidi" w:hAnsiTheme="majorBidi" w:cstheme="majorBidi"/>
          <w:sz w:val="24"/>
          <w:szCs w:val="24"/>
        </w:rPr>
        <w:t xml:space="preserve">fuels which is </w:t>
      </w:r>
      <w:r w:rsidR="008D0B13">
        <w:rPr>
          <w:rFonts w:asciiTheme="majorBidi" w:hAnsiTheme="majorBidi" w:cstheme="majorBidi"/>
          <w:sz w:val="24"/>
          <w:szCs w:val="24"/>
        </w:rPr>
        <w:t xml:space="preserve">basically </w:t>
      </w:r>
      <w:r w:rsidR="008D0B13" w:rsidRPr="008D0B13">
        <w:rPr>
          <w:rFonts w:asciiTheme="majorBidi" w:hAnsiTheme="majorBidi" w:cstheme="majorBidi"/>
          <w:sz w:val="24"/>
          <w:szCs w:val="24"/>
        </w:rPr>
        <w:t>a crude oil.</w:t>
      </w:r>
      <w:r w:rsidR="00781682">
        <w:rPr>
          <w:rFonts w:asciiTheme="majorBidi" w:hAnsiTheme="majorBidi" w:cstheme="majorBidi"/>
          <w:sz w:val="24"/>
          <w:szCs w:val="24"/>
        </w:rPr>
        <w:t xml:space="preserve"> And in processed final consumption, the broad economic categories 4 and 5 are quite significant.</w:t>
      </w:r>
    </w:p>
    <w:p w14:paraId="22B4B998" w14:textId="7CAAEC60" w:rsidR="0027552D" w:rsidRPr="00943696" w:rsidRDefault="0027552D" w:rsidP="0027552D">
      <w:pPr>
        <w:jc w:val="center"/>
        <w:rPr>
          <w:rFonts w:asciiTheme="majorBidi" w:hAnsiTheme="majorBidi" w:cstheme="majorBidi"/>
          <w:sz w:val="24"/>
          <w:szCs w:val="24"/>
        </w:rPr>
      </w:pPr>
      <w:r w:rsidRPr="00943696">
        <w:rPr>
          <w:rFonts w:asciiTheme="majorBidi" w:hAnsiTheme="majorBidi" w:cstheme="majorBidi"/>
          <w:sz w:val="24"/>
          <w:szCs w:val="24"/>
        </w:rPr>
        <w:t xml:space="preserve">Table </w:t>
      </w:r>
      <w:r>
        <w:rPr>
          <w:rFonts w:asciiTheme="majorBidi" w:hAnsiTheme="majorBidi" w:cstheme="majorBidi"/>
          <w:sz w:val="24"/>
          <w:szCs w:val="24"/>
        </w:rPr>
        <w:t>4</w:t>
      </w:r>
      <w:r w:rsidRPr="00943696">
        <w:rPr>
          <w:rFonts w:asciiTheme="majorBidi" w:hAnsiTheme="majorBidi" w:cstheme="majorBidi"/>
          <w:sz w:val="24"/>
          <w:szCs w:val="24"/>
        </w:rPr>
        <w:t>.</w:t>
      </w:r>
      <w:r>
        <w:rPr>
          <w:rFonts w:asciiTheme="majorBidi" w:hAnsiTheme="majorBidi" w:cstheme="majorBidi"/>
          <w:sz w:val="24"/>
          <w:szCs w:val="24"/>
        </w:rPr>
        <w:t xml:space="preserve"> </w:t>
      </w:r>
      <w:r w:rsidRPr="00943696">
        <w:rPr>
          <w:rFonts w:asciiTheme="majorBidi" w:hAnsiTheme="majorBidi" w:cstheme="majorBidi"/>
          <w:sz w:val="24"/>
          <w:szCs w:val="24"/>
        </w:rPr>
        <w:t>Imports of USA, UK, China, Germany and France</w:t>
      </w:r>
      <w:r>
        <w:rPr>
          <w:rFonts w:asciiTheme="majorBidi" w:hAnsiTheme="majorBidi" w:cstheme="majorBidi"/>
          <w:sz w:val="24"/>
          <w:szCs w:val="24"/>
        </w:rPr>
        <w:t xml:space="preserve"> in BEC 5 – Broad Economic Categories</w:t>
      </w:r>
      <w:r w:rsidRPr="00943696">
        <w:rPr>
          <w:rFonts w:asciiTheme="majorBidi" w:hAnsiTheme="majorBidi" w:cstheme="majorBidi"/>
          <w:sz w:val="24"/>
          <w:szCs w:val="24"/>
        </w:rPr>
        <w:t>, 2012-2016</w:t>
      </w:r>
    </w:p>
    <w:p w14:paraId="6F7B6B40" w14:textId="703134DF" w:rsidR="0027552D" w:rsidRPr="0027552D" w:rsidRDefault="005A4679" w:rsidP="0027552D">
      <w:pPr>
        <w:rPr>
          <w:rFonts w:asciiTheme="majorBidi" w:hAnsiTheme="majorBidi" w:cstheme="majorBidi"/>
          <w:sz w:val="24"/>
          <w:szCs w:val="24"/>
        </w:rPr>
      </w:pPr>
      <w:r w:rsidRPr="005A4679">
        <w:rPr>
          <w:rFonts w:asciiTheme="majorBidi" w:hAnsiTheme="majorBidi" w:cstheme="majorBidi"/>
          <w:sz w:val="24"/>
          <w:szCs w:val="24"/>
        </w:rPr>
        <w:drawing>
          <wp:inline distT="0" distB="0" distL="0" distR="0" wp14:anchorId="2AC637EA" wp14:editId="731477D7">
            <wp:extent cx="5731510" cy="1602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2740"/>
                    </a:xfrm>
                    <a:prstGeom prst="rect">
                      <a:avLst/>
                    </a:prstGeom>
                  </pic:spPr>
                </pic:pic>
              </a:graphicData>
            </a:graphic>
          </wp:inline>
        </w:drawing>
      </w:r>
    </w:p>
    <w:p w14:paraId="49B53E66" w14:textId="3B266B29" w:rsidR="0001687C" w:rsidRPr="00DA57CD" w:rsidRDefault="00952661" w:rsidP="00DA57CD">
      <w:pPr>
        <w:rPr>
          <w:rFonts w:asciiTheme="majorBidi" w:hAnsiTheme="majorBidi" w:cstheme="majorBidi"/>
          <w:b/>
          <w:bCs/>
          <w:sz w:val="28"/>
          <w:szCs w:val="28"/>
        </w:rPr>
      </w:pPr>
      <w:r>
        <w:rPr>
          <w:rFonts w:asciiTheme="majorBidi" w:hAnsiTheme="majorBidi" w:cstheme="majorBidi"/>
          <w:b/>
          <w:bCs/>
          <w:sz w:val="24"/>
          <w:szCs w:val="24"/>
        </w:rPr>
        <w:t>Way forward</w:t>
      </w:r>
    </w:p>
    <w:p w14:paraId="421577B4" w14:textId="3267FD73" w:rsidR="00203686" w:rsidRDefault="000E2BB8" w:rsidP="00BC1065">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We plan to conduct consultation in period November – December 2018 to gather feedback. </w:t>
      </w:r>
      <w:r w:rsidR="00203686" w:rsidRPr="000E2BB8">
        <w:rPr>
          <w:rFonts w:asciiTheme="majorBidi" w:hAnsiTheme="majorBidi" w:cstheme="majorBidi"/>
          <w:sz w:val="24"/>
          <w:szCs w:val="24"/>
        </w:rPr>
        <w:t xml:space="preserve">When the resulting correlations are reviewed and verified; </w:t>
      </w:r>
      <w:r>
        <w:rPr>
          <w:rFonts w:asciiTheme="majorBidi" w:hAnsiTheme="majorBidi" w:cstheme="majorBidi"/>
          <w:sz w:val="24"/>
          <w:szCs w:val="24"/>
        </w:rPr>
        <w:t>then we will publish it to UNSD website.</w:t>
      </w:r>
    </w:p>
    <w:p w14:paraId="68C8DC87" w14:textId="77777777" w:rsidR="000E2BB8" w:rsidRPr="000E2BB8" w:rsidRDefault="000E2BB8" w:rsidP="000E2BB8">
      <w:pPr>
        <w:pStyle w:val="ListParagraph"/>
        <w:rPr>
          <w:rFonts w:asciiTheme="majorBidi" w:hAnsiTheme="majorBidi" w:cstheme="majorBidi"/>
          <w:sz w:val="24"/>
          <w:szCs w:val="24"/>
        </w:rPr>
      </w:pPr>
    </w:p>
    <w:p w14:paraId="531A4B1E" w14:textId="4272E367" w:rsidR="00925EB0" w:rsidRPr="00AF64F7" w:rsidRDefault="00925EB0" w:rsidP="00434BD1">
      <w:pPr>
        <w:pStyle w:val="ListParagraph"/>
        <w:numPr>
          <w:ilvl w:val="0"/>
          <w:numId w:val="2"/>
        </w:numPr>
        <w:rPr>
          <w:rFonts w:asciiTheme="majorBidi" w:hAnsiTheme="majorBidi" w:cstheme="majorBidi"/>
          <w:sz w:val="24"/>
          <w:szCs w:val="24"/>
        </w:rPr>
      </w:pPr>
      <w:r w:rsidRPr="00AF64F7">
        <w:rPr>
          <w:rFonts w:asciiTheme="majorBidi" w:hAnsiTheme="majorBidi" w:cstheme="majorBidi"/>
          <w:sz w:val="24"/>
          <w:szCs w:val="24"/>
        </w:rPr>
        <w:t xml:space="preserve">We expect the work to be completed by </w:t>
      </w:r>
      <w:r w:rsidR="00203686" w:rsidRPr="00AF64F7">
        <w:rPr>
          <w:rFonts w:asciiTheme="majorBidi" w:hAnsiTheme="majorBidi" w:cstheme="majorBidi"/>
          <w:sz w:val="24"/>
          <w:szCs w:val="24"/>
        </w:rPr>
        <w:t xml:space="preserve">the </w:t>
      </w:r>
      <w:r w:rsidRPr="00AF64F7">
        <w:rPr>
          <w:rFonts w:asciiTheme="majorBidi" w:hAnsiTheme="majorBidi" w:cstheme="majorBidi"/>
          <w:sz w:val="24"/>
          <w:szCs w:val="24"/>
        </w:rPr>
        <w:t>end of 2018.</w:t>
      </w:r>
    </w:p>
    <w:p w14:paraId="50F8A184" w14:textId="77777777" w:rsidR="00AD3F87" w:rsidRPr="00584805" w:rsidRDefault="00AD3F87" w:rsidP="00584805">
      <w:pPr>
        <w:tabs>
          <w:tab w:val="left" w:pos="2835"/>
        </w:tabs>
        <w:jc w:val="both"/>
        <w:rPr>
          <w:rFonts w:asciiTheme="majorBidi" w:hAnsiTheme="majorBidi" w:cstheme="majorBidi"/>
          <w:sz w:val="24"/>
          <w:szCs w:val="24"/>
        </w:rPr>
      </w:pPr>
    </w:p>
    <w:p w14:paraId="524373B5" w14:textId="4C8AB82A" w:rsidR="00416ECF" w:rsidRPr="00DA399B" w:rsidRDefault="00416ECF" w:rsidP="00584805">
      <w:pPr>
        <w:pStyle w:val="ListParagraph"/>
        <w:tabs>
          <w:tab w:val="left" w:pos="2835"/>
        </w:tabs>
        <w:ind w:left="0"/>
        <w:contextualSpacing w:val="0"/>
        <w:rPr>
          <w:rFonts w:asciiTheme="majorBidi" w:hAnsiTheme="majorBidi" w:cstheme="majorBidi"/>
          <w:sz w:val="24"/>
          <w:szCs w:val="24"/>
        </w:rPr>
      </w:pPr>
    </w:p>
    <w:sectPr w:rsidR="00416ECF" w:rsidRPr="00DA399B">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23108" w14:textId="77777777" w:rsidR="009139F1" w:rsidRDefault="009139F1" w:rsidP="0004750A">
      <w:pPr>
        <w:spacing w:after="0" w:line="240" w:lineRule="auto"/>
      </w:pPr>
      <w:r>
        <w:separator/>
      </w:r>
    </w:p>
  </w:endnote>
  <w:endnote w:type="continuationSeparator" w:id="0">
    <w:p w14:paraId="03D11026" w14:textId="77777777" w:rsidR="009139F1" w:rsidRDefault="009139F1" w:rsidP="0004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06162"/>
      <w:docPartObj>
        <w:docPartGallery w:val="Page Numbers (Bottom of Page)"/>
        <w:docPartUnique/>
      </w:docPartObj>
    </w:sdtPr>
    <w:sdtEndPr>
      <w:rPr>
        <w:noProof/>
      </w:rPr>
    </w:sdtEndPr>
    <w:sdtContent>
      <w:p w14:paraId="4F8C3AA8" w14:textId="605D82B5" w:rsidR="00E968DA" w:rsidRDefault="00E968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AC6F7" w14:textId="77777777" w:rsidR="00E968DA" w:rsidRDefault="00E96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A68BD" w14:textId="77777777" w:rsidR="009139F1" w:rsidRDefault="009139F1" w:rsidP="0004750A">
      <w:pPr>
        <w:spacing w:after="0" w:line="240" w:lineRule="auto"/>
      </w:pPr>
      <w:r>
        <w:separator/>
      </w:r>
    </w:p>
  </w:footnote>
  <w:footnote w:type="continuationSeparator" w:id="0">
    <w:p w14:paraId="51A90378" w14:textId="77777777" w:rsidR="009139F1" w:rsidRDefault="009139F1" w:rsidP="0004750A">
      <w:pPr>
        <w:spacing w:after="0" w:line="240" w:lineRule="auto"/>
      </w:pPr>
      <w:r>
        <w:continuationSeparator/>
      </w:r>
    </w:p>
  </w:footnote>
  <w:footnote w:id="1">
    <w:p w14:paraId="1DBAA13F" w14:textId="690734AD" w:rsidR="00584805" w:rsidRPr="00584805" w:rsidRDefault="00584805">
      <w:pPr>
        <w:pStyle w:val="FootnoteText"/>
        <w:rPr>
          <w:lang w:val="en-US"/>
        </w:rPr>
      </w:pPr>
      <w:r>
        <w:rPr>
          <w:rStyle w:val="FootnoteReference"/>
        </w:rPr>
        <w:footnoteRef/>
      </w:r>
      <w:r>
        <w:t xml:space="preserve"> </w:t>
      </w:r>
      <w:hyperlink r:id="rId1" w:history="1">
        <w:r w:rsidRPr="00C56521">
          <w:rPr>
            <w:rStyle w:val="Hyperlink"/>
          </w:rPr>
          <w:t>https://unstats.un.org/unsd/trade/classifications/correspondence-tables.asp</w:t>
        </w:r>
      </w:hyperlink>
    </w:p>
  </w:footnote>
  <w:footnote w:id="2">
    <w:p w14:paraId="35B100ED" w14:textId="77777777" w:rsidR="00085BEE" w:rsidRDefault="00085BEE" w:rsidP="00085BEE">
      <w:pPr>
        <w:pStyle w:val="FootnoteText"/>
      </w:pPr>
      <w:r>
        <w:rPr>
          <w:rStyle w:val="FootnoteReference"/>
        </w:rPr>
        <w:footnoteRef/>
      </w:r>
      <w:r>
        <w:t xml:space="preserve"> </w:t>
      </w:r>
      <w:hyperlink r:id="rId2" w:history="1">
        <w:r w:rsidRPr="00C56521">
          <w:rPr>
            <w:rStyle w:val="Hyperlink"/>
          </w:rPr>
          <w:t>https://unstats.un.org/unsd/trade/HS2007-BEC%20-%20Explanatory%20Note.pdf</w:t>
        </w:r>
      </w:hyperlink>
      <w:r>
        <w:t xml:space="preserve"> </w:t>
      </w:r>
    </w:p>
  </w:footnote>
  <w:footnote w:id="3">
    <w:p w14:paraId="2955E3C1" w14:textId="2CF1C5D7" w:rsidR="0001687C" w:rsidRPr="0001687C" w:rsidRDefault="0001687C">
      <w:pPr>
        <w:pStyle w:val="FootnoteText"/>
        <w:rPr>
          <w:lang w:val="en-US"/>
        </w:rPr>
      </w:pPr>
      <w:r>
        <w:rPr>
          <w:rStyle w:val="FootnoteReference"/>
        </w:rPr>
        <w:footnoteRef/>
      </w:r>
      <w:r>
        <w:t xml:space="preserve"> </w:t>
      </w:r>
      <w:r>
        <w:rPr>
          <w:lang w:val="en-US"/>
        </w:rPr>
        <w:t>See E/CN.3/408 (1970).</w:t>
      </w:r>
    </w:p>
  </w:footnote>
  <w:footnote w:id="4">
    <w:p w14:paraId="60349DC9" w14:textId="2617A49E" w:rsidR="0001687C" w:rsidRPr="0001687C" w:rsidRDefault="0001687C">
      <w:pPr>
        <w:pStyle w:val="FootnoteText"/>
        <w:rPr>
          <w:lang w:val="en-US"/>
        </w:rPr>
      </w:pPr>
      <w:r>
        <w:rPr>
          <w:rStyle w:val="FootnoteReference"/>
        </w:rPr>
        <w:footnoteRef/>
      </w:r>
      <w:r>
        <w:t xml:space="preserve"> </w:t>
      </w:r>
      <w:hyperlink r:id="rId3" w:anchor="!/vizhome/GVC-ApparelElectronicsFootwareVehicles/Dashboard1" w:history="1">
        <w:r w:rsidR="007905E4" w:rsidRPr="00A475BB">
          <w:rPr>
            <w:rStyle w:val="Hyperlink"/>
          </w:rPr>
          <w:t>https://public.tableau.com/profile/uncomtrade#!/vizhome/GVC-ApparelElectronicsFootwareVehicles/Dashboard1</w:t>
        </w:r>
      </w:hyperlink>
      <w:r w:rsidR="007905E4">
        <w:t xml:space="preserve"> </w:t>
      </w:r>
    </w:p>
  </w:footnote>
  <w:footnote w:id="5">
    <w:p w14:paraId="4BD2F2CE" w14:textId="77777777" w:rsidR="00434BD1" w:rsidRPr="00434BD1" w:rsidRDefault="00434BD1" w:rsidP="00434BD1">
      <w:pPr>
        <w:pStyle w:val="FootnoteText"/>
      </w:pPr>
      <w:r>
        <w:rPr>
          <w:rStyle w:val="FootnoteReference"/>
        </w:rPr>
        <w:footnoteRef/>
      </w:r>
      <w:r>
        <w:t xml:space="preserve"> </w:t>
      </w:r>
      <w:hyperlink r:id="rId4" w:history="1">
        <w:r w:rsidRPr="00572CC2">
          <w:rPr>
            <w:rStyle w:val="Hyperlink"/>
          </w:rPr>
          <w:t>https://unstats.un.org/unsd/trade/classifications/correspondence-tables.asp</w:t>
        </w:r>
      </w:hyperlink>
      <w:r>
        <w:t xml:space="preserve"> </w:t>
      </w:r>
    </w:p>
  </w:footnote>
  <w:footnote w:id="6">
    <w:p w14:paraId="37E57556" w14:textId="16117EFF" w:rsidR="004A430B" w:rsidRPr="004A430B" w:rsidRDefault="004A430B">
      <w:pPr>
        <w:pStyle w:val="FootnoteText"/>
        <w:rPr>
          <w:lang w:val="en-US"/>
        </w:rPr>
      </w:pPr>
      <w:r>
        <w:rPr>
          <w:rStyle w:val="FootnoteReference"/>
        </w:rPr>
        <w:footnoteRef/>
      </w:r>
      <w:r>
        <w:t xml:space="preserve"> </w:t>
      </w:r>
      <w:hyperlink r:id="rId5" w:history="1">
        <w:r w:rsidRPr="00572CC2">
          <w:rPr>
            <w:rStyle w:val="Hyperlink"/>
          </w:rPr>
          <w:t>https://unstats.un.org/unsd/tradekb/Knowledgebase/50090/Intermediate-Goods-in-Trade-Statistics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15F38"/>
    <w:multiLevelType w:val="hybridMultilevel"/>
    <w:tmpl w:val="FB44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63610"/>
    <w:multiLevelType w:val="hybridMultilevel"/>
    <w:tmpl w:val="3C644D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9083D"/>
    <w:multiLevelType w:val="hybridMultilevel"/>
    <w:tmpl w:val="B8C86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9054D0"/>
    <w:multiLevelType w:val="hybridMultilevel"/>
    <w:tmpl w:val="3D1E26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BF6D5D"/>
    <w:multiLevelType w:val="multilevel"/>
    <w:tmpl w:val="9536D95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6BA4005"/>
    <w:multiLevelType w:val="hybridMultilevel"/>
    <w:tmpl w:val="25688346"/>
    <w:lvl w:ilvl="0" w:tplc="FB5C8D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54C01"/>
    <w:multiLevelType w:val="hybridMultilevel"/>
    <w:tmpl w:val="3D1E2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50559B"/>
    <w:multiLevelType w:val="hybridMultilevel"/>
    <w:tmpl w:val="690C5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CF"/>
    <w:rsid w:val="00000F9C"/>
    <w:rsid w:val="000104BE"/>
    <w:rsid w:val="00011809"/>
    <w:rsid w:val="00012CA2"/>
    <w:rsid w:val="0001687C"/>
    <w:rsid w:val="000208BE"/>
    <w:rsid w:val="000267C9"/>
    <w:rsid w:val="00030881"/>
    <w:rsid w:val="0003449A"/>
    <w:rsid w:val="00034566"/>
    <w:rsid w:val="0003456E"/>
    <w:rsid w:val="00035465"/>
    <w:rsid w:val="00036174"/>
    <w:rsid w:val="00040284"/>
    <w:rsid w:val="00040693"/>
    <w:rsid w:val="00041E14"/>
    <w:rsid w:val="00042B95"/>
    <w:rsid w:val="00043813"/>
    <w:rsid w:val="0004750A"/>
    <w:rsid w:val="0005154A"/>
    <w:rsid w:val="00056218"/>
    <w:rsid w:val="00056E60"/>
    <w:rsid w:val="00057F1C"/>
    <w:rsid w:val="000613EA"/>
    <w:rsid w:val="00063084"/>
    <w:rsid w:val="000631CA"/>
    <w:rsid w:val="000654E1"/>
    <w:rsid w:val="000663C0"/>
    <w:rsid w:val="00081316"/>
    <w:rsid w:val="000815BF"/>
    <w:rsid w:val="00082F40"/>
    <w:rsid w:val="00083CD2"/>
    <w:rsid w:val="00084695"/>
    <w:rsid w:val="00085BEE"/>
    <w:rsid w:val="00087937"/>
    <w:rsid w:val="0009255B"/>
    <w:rsid w:val="000977E9"/>
    <w:rsid w:val="000A09DF"/>
    <w:rsid w:val="000A0D65"/>
    <w:rsid w:val="000A1484"/>
    <w:rsid w:val="000A16ED"/>
    <w:rsid w:val="000A185E"/>
    <w:rsid w:val="000A3AE2"/>
    <w:rsid w:val="000A4B30"/>
    <w:rsid w:val="000A6F0D"/>
    <w:rsid w:val="000B3AA1"/>
    <w:rsid w:val="000B71B1"/>
    <w:rsid w:val="000C68C5"/>
    <w:rsid w:val="000D31F8"/>
    <w:rsid w:val="000D5A65"/>
    <w:rsid w:val="000D6BF1"/>
    <w:rsid w:val="000D7D94"/>
    <w:rsid w:val="000E2BB8"/>
    <w:rsid w:val="000E7783"/>
    <w:rsid w:val="000F4B8E"/>
    <w:rsid w:val="001020A6"/>
    <w:rsid w:val="0010540C"/>
    <w:rsid w:val="001072E1"/>
    <w:rsid w:val="00107CE7"/>
    <w:rsid w:val="0011241C"/>
    <w:rsid w:val="00113381"/>
    <w:rsid w:val="00114B32"/>
    <w:rsid w:val="001248AA"/>
    <w:rsid w:val="001252AE"/>
    <w:rsid w:val="0012542D"/>
    <w:rsid w:val="00131C9D"/>
    <w:rsid w:val="001370C8"/>
    <w:rsid w:val="001375F9"/>
    <w:rsid w:val="00144957"/>
    <w:rsid w:val="0014535C"/>
    <w:rsid w:val="00145EB2"/>
    <w:rsid w:val="00155814"/>
    <w:rsid w:val="0015675D"/>
    <w:rsid w:val="00162F7B"/>
    <w:rsid w:val="0016507E"/>
    <w:rsid w:val="00171155"/>
    <w:rsid w:val="00176408"/>
    <w:rsid w:val="00176CE8"/>
    <w:rsid w:val="00182ACC"/>
    <w:rsid w:val="00183883"/>
    <w:rsid w:val="001874C3"/>
    <w:rsid w:val="00187AA6"/>
    <w:rsid w:val="00187C13"/>
    <w:rsid w:val="00191A34"/>
    <w:rsid w:val="001A072A"/>
    <w:rsid w:val="001A5430"/>
    <w:rsid w:val="001A56C5"/>
    <w:rsid w:val="001A6667"/>
    <w:rsid w:val="001B0EB5"/>
    <w:rsid w:val="001D40A8"/>
    <w:rsid w:val="001D4897"/>
    <w:rsid w:val="001D4A21"/>
    <w:rsid w:val="001D4FAF"/>
    <w:rsid w:val="001D6FD0"/>
    <w:rsid w:val="001E142C"/>
    <w:rsid w:val="001E691E"/>
    <w:rsid w:val="001E7C20"/>
    <w:rsid w:val="001F3FD7"/>
    <w:rsid w:val="001F552B"/>
    <w:rsid w:val="001F6C96"/>
    <w:rsid w:val="001F6CB0"/>
    <w:rsid w:val="001F6E4B"/>
    <w:rsid w:val="00203686"/>
    <w:rsid w:val="00203F2B"/>
    <w:rsid w:val="00211616"/>
    <w:rsid w:val="00212240"/>
    <w:rsid w:val="0022059A"/>
    <w:rsid w:val="00220EB3"/>
    <w:rsid w:val="002248C5"/>
    <w:rsid w:val="0022566D"/>
    <w:rsid w:val="00226100"/>
    <w:rsid w:val="00226423"/>
    <w:rsid w:val="00230881"/>
    <w:rsid w:val="002448F6"/>
    <w:rsid w:val="00245665"/>
    <w:rsid w:val="00250506"/>
    <w:rsid w:val="00254E3F"/>
    <w:rsid w:val="00256A10"/>
    <w:rsid w:val="00262D2A"/>
    <w:rsid w:val="002649C8"/>
    <w:rsid w:val="00265C18"/>
    <w:rsid w:val="00265FFF"/>
    <w:rsid w:val="002702C4"/>
    <w:rsid w:val="0027552D"/>
    <w:rsid w:val="00277A9F"/>
    <w:rsid w:val="002843D5"/>
    <w:rsid w:val="00291381"/>
    <w:rsid w:val="00291A51"/>
    <w:rsid w:val="00291B4C"/>
    <w:rsid w:val="0029624F"/>
    <w:rsid w:val="00296ECF"/>
    <w:rsid w:val="002A44C7"/>
    <w:rsid w:val="002C3F61"/>
    <w:rsid w:val="002C40E3"/>
    <w:rsid w:val="002D1769"/>
    <w:rsid w:val="002D1A41"/>
    <w:rsid w:val="002E6FB4"/>
    <w:rsid w:val="002E782E"/>
    <w:rsid w:val="002F32F3"/>
    <w:rsid w:val="002F4554"/>
    <w:rsid w:val="002F4664"/>
    <w:rsid w:val="003002C8"/>
    <w:rsid w:val="00300F70"/>
    <w:rsid w:val="003020EE"/>
    <w:rsid w:val="0030316A"/>
    <w:rsid w:val="003035C1"/>
    <w:rsid w:val="003044D4"/>
    <w:rsid w:val="00304B8C"/>
    <w:rsid w:val="00304F77"/>
    <w:rsid w:val="00305F3A"/>
    <w:rsid w:val="00310AFD"/>
    <w:rsid w:val="00312E8B"/>
    <w:rsid w:val="0032120E"/>
    <w:rsid w:val="00322A84"/>
    <w:rsid w:val="0033600B"/>
    <w:rsid w:val="00336508"/>
    <w:rsid w:val="00340D6D"/>
    <w:rsid w:val="00341199"/>
    <w:rsid w:val="0034380B"/>
    <w:rsid w:val="00345E34"/>
    <w:rsid w:val="00350C14"/>
    <w:rsid w:val="003562F9"/>
    <w:rsid w:val="00360C5E"/>
    <w:rsid w:val="0036126C"/>
    <w:rsid w:val="00363BF8"/>
    <w:rsid w:val="003651FC"/>
    <w:rsid w:val="003726CC"/>
    <w:rsid w:val="003803DF"/>
    <w:rsid w:val="00380D28"/>
    <w:rsid w:val="003877C3"/>
    <w:rsid w:val="003877FC"/>
    <w:rsid w:val="00387838"/>
    <w:rsid w:val="00392DA2"/>
    <w:rsid w:val="003B01DB"/>
    <w:rsid w:val="003B3551"/>
    <w:rsid w:val="003B3917"/>
    <w:rsid w:val="003B4B6A"/>
    <w:rsid w:val="003C7880"/>
    <w:rsid w:val="003D07A3"/>
    <w:rsid w:val="003D1FAB"/>
    <w:rsid w:val="003D376C"/>
    <w:rsid w:val="003D7FD5"/>
    <w:rsid w:val="003E2A66"/>
    <w:rsid w:val="003E2D5B"/>
    <w:rsid w:val="003E2F80"/>
    <w:rsid w:val="003E35EC"/>
    <w:rsid w:val="003F26E3"/>
    <w:rsid w:val="003F3ED5"/>
    <w:rsid w:val="003F4D8D"/>
    <w:rsid w:val="003F63BB"/>
    <w:rsid w:val="00400BF3"/>
    <w:rsid w:val="004059A4"/>
    <w:rsid w:val="00416D2F"/>
    <w:rsid w:val="00416ECF"/>
    <w:rsid w:val="0042286C"/>
    <w:rsid w:val="0042664D"/>
    <w:rsid w:val="004279D2"/>
    <w:rsid w:val="00432EEA"/>
    <w:rsid w:val="004336BF"/>
    <w:rsid w:val="00434BD1"/>
    <w:rsid w:val="00440CDB"/>
    <w:rsid w:val="00447B16"/>
    <w:rsid w:val="00452ED2"/>
    <w:rsid w:val="0045621B"/>
    <w:rsid w:val="00463768"/>
    <w:rsid w:val="00465DA4"/>
    <w:rsid w:val="00471BF9"/>
    <w:rsid w:val="00473425"/>
    <w:rsid w:val="00474C4B"/>
    <w:rsid w:val="00475F0D"/>
    <w:rsid w:val="00477083"/>
    <w:rsid w:val="00481740"/>
    <w:rsid w:val="00490B6A"/>
    <w:rsid w:val="0049159D"/>
    <w:rsid w:val="00494F39"/>
    <w:rsid w:val="00495B31"/>
    <w:rsid w:val="004960DA"/>
    <w:rsid w:val="00497E76"/>
    <w:rsid w:val="004A1B16"/>
    <w:rsid w:val="004A1D12"/>
    <w:rsid w:val="004A2034"/>
    <w:rsid w:val="004A430B"/>
    <w:rsid w:val="004A4F99"/>
    <w:rsid w:val="004A6770"/>
    <w:rsid w:val="004A717F"/>
    <w:rsid w:val="004B5031"/>
    <w:rsid w:val="004C0D41"/>
    <w:rsid w:val="004C1452"/>
    <w:rsid w:val="004C58B1"/>
    <w:rsid w:val="004C73DE"/>
    <w:rsid w:val="004D0733"/>
    <w:rsid w:val="004D4667"/>
    <w:rsid w:val="004D5D11"/>
    <w:rsid w:val="004D6863"/>
    <w:rsid w:val="004D7235"/>
    <w:rsid w:val="004D7AC5"/>
    <w:rsid w:val="004E065D"/>
    <w:rsid w:val="004E268E"/>
    <w:rsid w:val="004E37DE"/>
    <w:rsid w:val="004E6DBF"/>
    <w:rsid w:val="004E759F"/>
    <w:rsid w:val="004F0FD4"/>
    <w:rsid w:val="004F4E79"/>
    <w:rsid w:val="004F64A2"/>
    <w:rsid w:val="004F6DE0"/>
    <w:rsid w:val="00504653"/>
    <w:rsid w:val="00507742"/>
    <w:rsid w:val="00507DAE"/>
    <w:rsid w:val="00512CEF"/>
    <w:rsid w:val="00516694"/>
    <w:rsid w:val="005237DC"/>
    <w:rsid w:val="00530BDB"/>
    <w:rsid w:val="00530E0D"/>
    <w:rsid w:val="0053238D"/>
    <w:rsid w:val="00536C11"/>
    <w:rsid w:val="00545DD2"/>
    <w:rsid w:val="00553755"/>
    <w:rsid w:val="00554827"/>
    <w:rsid w:val="00565E9B"/>
    <w:rsid w:val="00570821"/>
    <w:rsid w:val="00570E86"/>
    <w:rsid w:val="00575853"/>
    <w:rsid w:val="00577C5B"/>
    <w:rsid w:val="00584805"/>
    <w:rsid w:val="005861A2"/>
    <w:rsid w:val="00591952"/>
    <w:rsid w:val="0059414A"/>
    <w:rsid w:val="00594B97"/>
    <w:rsid w:val="0059523D"/>
    <w:rsid w:val="005952A1"/>
    <w:rsid w:val="005A4679"/>
    <w:rsid w:val="005A72A6"/>
    <w:rsid w:val="005B29D2"/>
    <w:rsid w:val="005B3EBA"/>
    <w:rsid w:val="005B4061"/>
    <w:rsid w:val="005B4E2F"/>
    <w:rsid w:val="005B4F36"/>
    <w:rsid w:val="005B5579"/>
    <w:rsid w:val="005B68CD"/>
    <w:rsid w:val="005C5D0D"/>
    <w:rsid w:val="005C718F"/>
    <w:rsid w:val="005D2DB2"/>
    <w:rsid w:val="005D5E61"/>
    <w:rsid w:val="005D77F2"/>
    <w:rsid w:val="005E14A6"/>
    <w:rsid w:val="005E5983"/>
    <w:rsid w:val="005E5AF1"/>
    <w:rsid w:val="005E783F"/>
    <w:rsid w:val="005F044F"/>
    <w:rsid w:val="005F1126"/>
    <w:rsid w:val="005F64B9"/>
    <w:rsid w:val="005F734F"/>
    <w:rsid w:val="005F7CC3"/>
    <w:rsid w:val="006001AD"/>
    <w:rsid w:val="0060338E"/>
    <w:rsid w:val="006038E2"/>
    <w:rsid w:val="00611278"/>
    <w:rsid w:val="00612A02"/>
    <w:rsid w:val="0061738D"/>
    <w:rsid w:val="006243F7"/>
    <w:rsid w:val="00630482"/>
    <w:rsid w:val="00634485"/>
    <w:rsid w:val="006359A8"/>
    <w:rsid w:val="0063792F"/>
    <w:rsid w:val="0064304A"/>
    <w:rsid w:val="0064339F"/>
    <w:rsid w:val="00644220"/>
    <w:rsid w:val="006460F5"/>
    <w:rsid w:val="00646DA6"/>
    <w:rsid w:val="00654D37"/>
    <w:rsid w:val="00664396"/>
    <w:rsid w:val="00664921"/>
    <w:rsid w:val="00664BEE"/>
    <w:rsid w:val="00672935"/>
    <w:rsid w:val="006733A7"/>
    <w:rsid w:val="00674588"/>
    <w:rsid w:val="006802BA"/>
    <w:rsid w:val="0068106B"/>
    <w:rsid w:val="0068407A"/>
    <w:rsid w:val="00684898"/>
    <w:rsid w:val="006865BE"/>
    <w:rsid w:val="006A66D1"/>
    <w:rsid w:val="006A6DA9"/>
    <w:rsid w:val="006B0BC1"/>
    <w:rsid w:val="006B11DE"/>
    <w:rsid w:val="006B41C4"/>
    <w:rsid w:val="006C0D46"/>
    <w:rsid w:val="006C1234"/>
    <w:rsid w:val="006C1E4E"/>
    <w:rsid w:val="006C57E2"/>
    <w:rsid w:val="006D01FC"/>
    <w:rsid w:val="006D3C8E"/>
    <w:rsid w:val="006D6AD4"/>
    <w:rsid w:val="006D70A5"/>
    <w:rsid w:val="006E6A9F"/>
    <w:rsid w:val="006E7A5B"/>
    <w:rsid w:val="006F1498"/>
    <w:rsid w:val="006F36C7"/>
    <w:rsid w:val="006F4031"/>
    <w:rsid w:val="006F5456"/>
    <w:rsid w:val="006F63CC"/>
    <w:rsid w:val="00700C67"/>
    <w:rsid w:val="00703EE3"/>
    <w:rsid w:val="00703FB6"/>
    <w:rsid w:val="007046D7"/>
    <w:rsid w:val="00707A7B"/>
    <w:rsid w:val="0071059C"/>
    <w:rsid w:val="00715630"/>
    <w:rsid w:val="0072204E"/>
    <w:rsid w:val="00723911"/>
    <w:rsid w:val="00723CDF"/>
    <w:rsid w:val="00724426"/>
    <w:rsid w:val="00724FDE"/>
    <w:rsid w:val="00725883"/>
    <w:rsid w:val="00726F94"/>
    <w:rsid w:val="0072759A"/>
    <w:rsid w:val="007310D9"/>
    <w:rsid w:val="00731822"/>
    <w:rsid w:val="00731D60"/>
    <w:rsid w:val="007345F2"/>
    <w:rsid w:val="007355C9"/>
    <w:rsid w:val="0073797A"/>
    <w:rsid w:val="00745198"/>
    <w:rsid w:val="00746ACC"/>
    <w:rsid w:val="00747B96"/>
    <w:rsid w:val="0075251A"/>
    <w:rsid w:val="0075530B"/>
    <w:rsid w:val="007562D0"/>
    <w:rsid w:val="00760C2C"/>
    <w:rsid w:val="00761FD5"/>
    <w:rsid w:val="007621A7"/>
    <w:rsid w:val="00766510"/>
    <w:rsid w:val="00774574"/>
    <w:rsid w:val="007745A2"/>
    <w:rsid w:val="007746E8"/>
    <w:rsid w:val="007748CA"/>
    <w:rsid w:val="00781506"/>
    <w:rsid w:val="00781682"/>
    <w:rsid w:val="00781C4E"/>
    <w:rsid w:val="00787CD8"/>
    <w:rsid w:val="007905E4"/>
    <w:rsid w:val="00791CC9"/>
    <w:rsid w:val="007975D4"/>
    <w:rsid w:val="007A1F7E"/>
    <w:rsid w:val="007B6169"/>
    <w:rsid w:val="007B62F7"/>
    <w:rsid w:val="007B7E22"/>
    <w:rsid w:val="007C224C"/>
    <w:rsid w:val="007D035E"/>
    <w:rsid w:val="007D0D05"/>
    <w:rsid w:val="007E0939"/>
    <w:rsid w:val="007F0152"/>
    <w:rsid w:val="007F50DC"/>
    <w:rsid w:val="007F5346"/>
    <w:rsid w:val="007F55BD"/>
    <w:rsid w:val="007F665C"/>
    <w:rsid w:val="007F69DD"/>
    <w:rsid w:val="008010C0"/>
    <w:rsid w:val="00802814"/>
    <w:rsid w:val="00805198"/>
    <w:rsid w:val="00805930"/>
    <w:rsid w:val="00811876"/>
    <w:rsid w:val="00813D94"/>
    <w:rsid w:val="00814C43"/>
    <w:rsid w:val="00821A36"/>
    <w:rsid w:val="00822198"/>
    <w:rsid w:val="00832697"/>
    <w:rsid w:val="00836E5B"/>
    <w:rsid w:val="0084139E"/>
    <w:rsid w:val="00844AC6"/>
    <w:rsid w:val="0084501F"/>
    <w:rsid w:val="00863E92"/>
    <w:rsid w:val="008708A9"/>
    <w:rsid w:val="00870C75"/>
    <w:rsid w:val="00873A04"/>
    <w:rsid w:val="008746E6"/>
    <w:rsid w:val="00881659"/>
    <w:rsid w:val="00883370"/>
    <w:rsid w:val="00885DCC"/>
    <w:rsid w:val="00885FCA"/>
    <w:rsid w:val="00886BDE"/>
    <w:rsid w:val="008877B0"/>
    <w:rsid w:val="00890177"/>
    <w:rsid w:val="00892AE9"/>
    <w:rsid w:val="008A6231"/>
    <w:rsid w:val="008A6B45"/>
    <w:rsid w:val="008B3446"/>
    <w:rsid w:val="008B5A7D"/>
    <w:rsid w:val="008C0CF5"/>
    <w:rsid w:val="008C2ED6"/>
    <w:rsid w:val="008C40D5"/>
    <w:rsid w:val="008C7EC2"/>
    <w:rsid w:val="008D0B13"/>
    <w:rsid w:val="008D1275"/>
    <w:rsid w:val="008E0285"/>
    <w:rsid w:val="008E5CA8"/>
    <w:rsid w:val="008E768C"/>
    <w:rsid w:val="008F3B93"/>
    <w:rsid w:val="00902168"/>
    <w:rsid w:val="00902D5B"/>
    <w:rsid w:val="00903290"/>
    <w:rsid w:val="00910101"/>
    <w:rsid w:val="00910B7E"/>
    <w:rsid w:val="00911412"/>
    <w:rsid w:val="009139F1"/>
    <w:rsid w:val="00917D21"/>
    <w:rsid w:val="00917F8A"/>
    <w:rsid w:val="00925EB0"/>
    <w:rsid w:val="00926EDB"/>
    <w:rsid w:val="00934276"/>
    <w:rsid w:val="00942ED7"/>
    <w:rsid w:val="00943696"/>
    <w:rsid w:val="009479C5"/>
    <w:rsid w:val="009505BE"/>
    <w:rsid w:val="00950705"/>
    <w:rsid w:val="00952661"/>
    <w:rsid w:val="00955EB7"/>
    <w:rsid w:val="00960969"/>
    <w:rsid w:val="009609F0"/>
    <w:rsid w:val="0096398E"/>
    <w:rsid w:val="009705B1"/>
    <w:rsid w:val="0097606D"/>
    <w:rsid w:val="009913F6"/>
    <w:rsid w:val="00993A84"/>
    <w:rsid w:val="00997BE7"/>
    <w:rsid w:val="009A0DB2"/>
    <w:rsid w:val="009A0E36"/>
    <w:rsid w:val="009A3A04"/>
    <w:rsid w:val="009A4FC8"/>
    <w:rsid w:val="009A5BE5"/>
    <w:rsid w:val="009B3CDA"/>
    <w:rsid w:val="009B47A0"/>
    <w:rsid w:val="009B5BF8"/>
    <w:rsid w:val="009B75F4"/>
    <w:rsid w:val="009C21CB"/>
    <w:rsid w:val="009E59EE"/>
    <w:rsid w:val="009F1279"/>
    <w:rsid w:val="009F1352"/>
    <w:rsid w:val="009F1969"/>
    <w:rsid w:val="009F422A"/>
    <w:rsid w:val="009F6AFC"/>
    <w:rsid w:val="00A0167B"/>
    <w:rsid w:val="00A02E02"/>
    <w:rsid w:val="00A033E8"/>
    <w:rsid w:val="00A03F40"/>
    <w:rsid w:val="00A10F76"/>
    <w:rsid w:val="00A11F02"/>
    <w:rsid w:val="00A14E10"/>
    <w:rsid w:val="00A17751"/>
    <w:rsid w:val="00A17C97"/>
    <w:rsid w:val="00A227EC"/>
    <w:rsid w:val="00A22A82"/>
    <w:rsid w:val="00A257FC"/>
    <w:rsid w:val="00A3168A"/>
    <w:rsid w:val="00A323C8"/>
    <w:rsid w:val="00A343C4"/>
    <w:rsid w:val="00A35CE6"/>
    <w:rsid w:val="00A377F1"/>
    <w:rsid w:val="00A40C99"/>
    <w:rsid w:val="00A41ECE"/>
    <w:rsid w:val="00A42378"/>
    <w:rsid w:val="00A477FC"/>
    <w:rsid w:val="00A47BAE"/>
    <w:rsid w:val="00A5094B"/>
    <w:rsid w:val="00A50959"/>
    <w:rsid w:val="00A53EE3"/>
    <w:rsid w:val="00A60C76"/>
    <w:rsid w:val="00A60DC3"/>
    <w:rsid w:val="00A621B2"/>
    <w:rsid w:val="00A63B4A"/>
    <w:rsid w:val="00A662DC"/>
    <w:rsid w:val="00A666FD"/>
    <w:rsid w:val="00A669BA"/>
    <w:rsid w:val="00A744C7"/>
    <w:rsid w:val="00A772B0"/>
    <w:rsid w:val="00A83D17"/>
    <w:rsid w:val="00A83DBE"/>
    <w:rsid w:val="00A84078"/>
    <w:rsid w:val="00A908E6"/>
    <w:rsid w:val="00A90948"/>
    <w:rsid w:val="00A91E6E"/>
    <w:rsid w:val="00A9249F"/>
    <w:rsid w:val="00A926AC"/>
    <w:rsid w:val="00A95A52"/>
    <w:rsid w:val="00AA0242"/>
    <w:rsid w:val="00AA0C1E"/>
    <w:rsid w:val="00AA3B71"/>
    <w:rsid w:val="00AA4097"/>
    <w:rsid w:val="00AA59B4"/>
    <w:rsid w:val="00AA6451"/>
    <w:rsid w:val="00AA696F"/>
    <w:rsid w:val="00AA6F2F"/>
    <w:rsid w:val="00AB1EA9"/>
    <w:rsid w:val="00AB63D4"/>
    <w:rsid w:val="00AB6F01"/>
    <w:rsid w:val="00AB7DC4"/>
    <w:rsid w:val="00AC571F"/>
    <w:rsid w:val="00AD03DC"/>
    <w:rsid w:val="00AD3F87"/>
    <w:rsid w:val="00AD4566"/>
    <w:rsid w:val="00AD61C9"/>
    <w:rsid w:val="00AD6A71"/>
    <w:rsid w:val="00AE1163"/>
    <w:rsid w:val="00AE420B"/>
    <w:rsid w:val="00AE67A0"/>
    <w:rsid w:val="00AE749F"/>
    <w:rsid w:val="00AE7ECF"/>
    <w:rsid w:val="00AF35AD"/>
    <w:rsid w:val="00AF4E93"/>
    <w:rsid w:val="00AF64F7"/>
    <w:rsid w:val="00B04C14"/>
    <w:rsid w:val="00B115BA"/>
    <w:rsid w:val="00B24FEC"/>
    <w:rsid w:val="00B3034D"/>
    <w:rsid w:val="00B3297F"/>
    <w:rsid w:val="00B32FC4"/>
    <w:rsid w:val="00B35077"/>
    <w:rsid w:val="00B36E0D"/>
    <w:rsid w:val="00B429BD"/>
    <w:rsid w:val="00B504EA"/>
    <w:rsid w:val="00B50A24"/>
    <w:rsid w:val="00B5206D"/>
    <w:rsid w:val="00B54844"/>
    <w:rsid w:val="00B6155E"/>
    <w:rsid w:val="00B65F4A"/>
    <w:rsid w:val="00B71AA6"/>
    <w:rsid w:val="00B80523"/>
    <w:rsid w:val="00B83C97"/>
    <w:rsid w:val="00B842C5"/>
    <w:rsid w:val="00B90135"/>
    <w:rsid w:val="00B942C0"/>
    <w:rsid w:val="00B94808"/>
    <w:rsid w:val="00B95371"/>
    <w:rsid w:val="00BA17C0"/>
    <w:rsid w:val="00BA3A79"/>
    <w:rsid w:val="00BA538E"/>
    <w:rsid w:val="00BB09B6"/>
    <w:rsid w:val="00BB3716"/>
    <w:rsid w:val="00BB450E"/>
    <w:rsid w:val="00BB62FF"/>
    <w:rsid w:val="00BC07AA"/>
    <w:rsid w:val="00BC53B7"/>
    <w:rsid w:val="00BC71C6"/>
    <w:rsid w:val="00BD2401"/>
    <w:rsid w:val="00BD2B77"/>
    <w:rsid w:val="00BD5E8C"/>
    <w:rsid w:val="00BD6F17"/>
    <w:rsid w:val="00BD7DC4"/>
    <w:rsid w:val="00BE0640"/>
    <w:rsid w:val="00BE11C2"/>
    <w:rsid w:val="00BE45EA"/>
    <w:rsid w:val="00BF072E"/>
    <w:rsid w:val="00BF0CD6"/>
    <w:rsid w:val="00BF481A"/>
    <w:rsid w:val="00C02779"/>
    <w:rsid w:val="00C03E8D"/>
    <w:rsid w:val="00C05437"/>
    <w:rsid w:val="00C11148"/>
    <w:rsid w:val="00C12121"/>
    <w:rsid w:val="00C131B4"/>
    <w:rsid w:val="00C13377"/>
    <w:rsid w:val="00C13A37"/>
    <w:rsid w:val="00C175A4"/>
    <w:rsid w:val="00C25F93"/>
    <w:rsid w:val="00C27F90"/>
    <w:rsid w:val="00C345A2"/>
    <w:rsid w:val="00C35DE8"/>
    <w:rsid w:val="00C41E46"/>
    <w:rsid w:val="00C46659"/>
    <w:rsid w:val="00C53E18"/>
    <w:rsid w:val="00C57987"/>
    <w:rsid w:val="00C60861"/>
    <w:rsid w:val="00C60B87"/>
    <w:rsid w:val="00C73A8D"/>
    <w:rsid w:val="00C819F2"/>
    <w:rsid w:val="00C83960"/>
    <w:rsid w:val="00C85827"/>
    <w:rsid w:val="00C876F4"/>
    <w:rsid w:val="00C90FCE"/>
    <w:rsid w:val="00C953AB"/>
    <w:rsid w:val="00C966BC"/>
    <w:rsid w:val="00C96CE1"/>
    <w:rsid w:val="00CA5856"/>
    <w:rsid w:val="00CA7169"/>
    <w:rsid w:val="00CB4ECB"/>
    <w:rsid w:val="00CC21EF"/>
    <w:rsid w:val="00CC2AB7"/>
    <w:rsid w:val="00CC4B04"/>
    <w:rsid w:val="00CD7960"/>
    <w:rsid w:val="00CE1A45"/>
    <w:rsid w:val="00CE3E7F"/>
    <w:rsid w:val="00CE6563"/>
    <w:rsid w:val="00CE7632"/>
    <w:rsid w:val="00CE7D26"/>
    <w:rsid w:val="00CF0340"/>
    <w:rsid w:val="00CF11B1"/>
    <w:rsid w:val="00CF729B"/>
    <w:rsid w:val="00D03B31"/>
    <w:rsid w:val="00D0535D"/>
    <w:rsid w:val="00D1141A"/>
    <w:rsid w:val="00D118AE"/>
    <w:rsid w:val="00D11B07"/>
    <w:rsid w:val="00D209B2"/>
    <w:rsid w:val="00D2273D"/>
    <w:rsid w:val="00D22ED9"/>
    <w:rsid w:val="00D3407F"/>
    <w:rsid w:val="00D3545A"/>
    <w:rsid w:val="00D36877"/>
    <w:rsid w:val="00D36B09"/>
    <w:rsid w:val="00D426D8"/>
    <w:rsid w:val="00D43257"/>
    <w:rsid w:val="00D44A64"/>
    <w:rsid w:val="00D47FB1"/>
    <w:rsid w:val="00D52D85"/>
    <w:rsid w:val="00D537EB"/>
    <w:rsid w:val="00D55611"/>
    <w:rsid w:val="00D55E74"/>
    <w:rsid w:val="00D565F3"/>
    <w:rsid w:val="00D57047"/>
    <w:rsid w:val="00D6008E"/>
    <w:rsid w:val="00D604E9"/>
    <w:rsid w:val="00D6275E"/>
    <w:rsid w:val="00D632D3"/>
    <w:rsid w:val="00D6504D"/>
    <w:rsid w:val="00D767C1"/>
    <w:rsid w:val="00D7762F"/>
    <w:rsid w:val="00D801B0"/>
    <w:rsid w:val="00D810A8"/>
    <w:rsid w:val="00D833D2"/>
    <w:rsid w:val="00D9600B"/>
    <w:rsid w:val="00DA0F24"/>
    <w:rsid w:val="00DA30F7"/>
    <w:rsid w:val="00DA399B"/>
    <w:rsid w:val="00DA4EEE"/>
    <w:rsid w:val="00DA57CD"/>
    <w:rsid w:val="00DA5880"/>
    <w:rsid w:val="00DB501E"/>
    <w:rsid w:val="00DB62C1"/>
    <w:rsid w:val="00DB6C25"/>
    <w:rsid w:val="00DB7F34"/>
    <w:rsid w:val="00DC4CA2"/>
    <w:rsid w:val="00DD2A5E"/>
    <w:rsid w:val="00DD48CB"/>
    <w:rsid w:val="00DD5350"/>
    <w:rsid w:val="00DD55C9"/>
    <w:rsid w:val="00DD6358"/>
    <w:rsid w:val="00DE2C8B"/>
    <w:rsid w:val="00DE3412"/>
    <w:rsid w:val="00DE44AE"/>
    <w:rsid w:val="00DE4546"/>
    <w:rsid w:val="00DE5056"/>
    <w:rsid w:val="00DF3A67"/>
    <w:rsid w:val="00DF55ED"/>
    <w:rsid w:val="00DF5CB1"/>
    <w:rsid w:val="00DF776C"/>
    <w:rsid w:val="00DF7E75"/>
    <w:rsid w:val="00E007C8"/>
    <w:rsid w:val="00E03C06"/>
    <w:rsid w:val="00E06075"/>
    <w:rsid w:val="00E14431"/>
    <w:rsid w:val="00E16F60"/>
    <w:rsid w:val="00E20219"/>
    <w:rsid w:val="00E21D10"/>
    <w:rsid w:val="00E22ED1"/>
    <w:rsid w:val="00E24454"/>
    <w:rsid w:val="00E268B8"/>
    <w:rsid w:val="00E310D2"/>
    <w:rsid w:val="00E32A39"/>
    <w:rsid w:val="00E34856"/>
    <w:rsid w:val="00E4050C"/>
    <w:rsid w:val="00E41B3D"/>
    <w:rsid w:val="00E424EC"/>
    <w:rsid w:val="00E44FFD"/>
    <w:rsid w:val="00E52D4C"/>
    <w:rsid w:val="00E7102E"/>
    <w:rsid w:val="00E74840"/>
    <w:rsid w:val="00E779E5"/>
    <w:rsid w:val="00E81EF7"/>
    <w:rsid w:val="00E84681"/>
    <w:rsid w:val="00E86C4D"/>
    <w:rsid w:val="00E87D3D"/>
    <w:rsid w:val="00E918B3"/>
    <w:rsid w:val="00E968DA"/>
    <w:rsid w:val="00E96B89"/>
    <w:rsid w:val="00E973EB"/>
    <w:rsid w:val="00EA107A"/>
    <w:rsid w:val="00EA2E79"/>
    <w:rsid w:val="00EA49A9"/>
    <w:rsid w:val="00EA4CFB"/>
    <w:rsid w:val="00EA612B"/>
    <w:rsid w:val="00EA793A"/>
    <w:rsid w:val="00EA7D92"/>
    <w:rsid w:val="00EB4311"/>
    <w:rsid w:val="00EB4458"/>
    <w:rsid w:val="00EC38E7"/>
    <w:rsid w:val="00EC40ED"/>
    <w:rsid w:val="00ED058C"/>
    <w:rsid w:val="00ED0F04"/>
    <w:rsid w:val="00ED1557"/>
    <w:rsid w:val="00ED1844"/>
    <w:rsid w:val="00EE2D07"/>
    <w:rsid w:val="00EE4ABA"/>
    <w:rsid w:val="00EE6EF0"/>
    <w:rsid w:val="00EE7F13"/>
    <w:rsid w:val="00EF1205"/>
    <w:rsid w:val="00EF22BD"/>
    <w:rsid w:val="00EF40A8"/>
    <w:rsid w:val="00EF4FDF"/>
    <w:rsid w:val="00EF6967"/>
    <w:rsid w:val="00F0073B"/>
    <w:rsid w:val="00F01859"/>
    <w:rsid w:val="00F05C7B"/>
    <w:rsid w:val="00F17B26"/>
    <w:rsid w:val="00F202D9"/>
    <w:rsid w:val="00F22AAA"/>
    <w:rsid w:val="00F22D59"/>
    <w:rsid w:val="00F25620"/>
    <w:rsid w:val="00F257B5"/>
    <w:rsid w:val="00F30D18"/>
    <w:rsid w:val="00F31759"/>
    <w:rsid w:val="00F4149F"/>
    <w:rsid w:val="00F440C1"/>
    <w:rsid w:val="00F5025A"/>
    <w:rsid w:val="00F562A0"/>
    <w:rsid w:val="00F601DA"/>
    <w:rsid w:val="00F615BD"/>
    <w:rsid w:val="00F6471F"/>
    <w:rsid w:val="00F7204E"/>
    <w:rsid w:val="00F76BB9"/>
    <w:rsid w:val="00F77652"/>
    <w:rsid w:val="00F77B5A"/>
    <w:rsid w:val="00F77F48"/>
    <w:rsid w:val="00F80EA5"/>
    <w:rsid w:val="00F8148B"/>
    <w:rsid w:val="00F82423"/>
    <w:rsid w:val="00F834EE"/>
    <w:rsid w:val="00F87F90"/>
    <w:rsid w:val="00F9090F"/>
    <w:rsid w:val="00F92E92"/>
    <w:rsid w:val="00F949D5"/>
    <w:rsid w:val="00F975E0"/>
    <w:rsid w:val="00FA14A5"/>
    <w:rsid w:val="00FA2F10"/>
    <w:rsid w:val="00FA354B"/>
    <w:rsid w:val="00FA5E78"/>
    <w:rsid w:val="00FA71F7"/>
    <w:rsid w:val="00FB1435"/>
    <w:rsid w:val="00FB177E"/>
    <w:rsid w:val="00FB42B5"/>
    <w:rsid w:val="00FB6EDD"/>
    <w:rsid w:val="00FC2980"/>
    <w:rsid w:val="00FC5DA2"/>
    <w:rsid w:val="00FC63A2"/>
    <w:rsid w:val="00FC6AF1"/>
    <w:rsid w:val="00FD12F6"/>
    <w:rsid w:val="00FD4E3E"/>
    <w:rsid w:val="00FD772D"/>
    <w:rsid w:val="00FE5C79"/>
    <w:rsid w:val="00FE771B"/>
    <w:rsid w:val="00FF6E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736C"/>
  <w15:chartTrackingRefBased/>
  <w15:docId w15:val="{3843D63A-91F9-4627-B8FB-E827A44E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CF"/>
    <w:rPr>
      <w:color w:val="0000FF" w:themeColor="hyperlink"/>
      <w:u w:val="single"/>
    </w:rPr>
  </w:style>
  <w:style w:type="character" w:styleId="Mention">
    <w:name w:val="Mention"/>
    <w:basedOn w:val="DefaultParagraphFont"/>
    <w:uiPriority w:val="99"/>
    <w:semiHidden/>
    <w:unhideWhenUsed/>
    <w:rsid w:val="00416ECF"/>
    <w:rPr>
      <w:color w:val="2B579A"/>
      <w:shd w:val="clear" w:color="auto" w:fill="E6E6E6"/>
    </w:rPr>
  </w:style>
  <w:style w:type="paragraph" w:styleId="Header">
    <w:name w:val="header"/>
    <w:basedOn w:val="Normal"/>
    <w:link w:val="HeaderChar"/>
    <w:uiPriority w:val="99"/>
    <w:unhideWhenUsed/>
    <w:rsid w:val="00047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0A"/>
  </w:style>
  <w:style w:type="paragraph" w:styleId="Footer">
    <w:name w:val="footer"/>
    <w:basedOn w:val="Normal"/>
    <w:link w:val="FooterChar"/>
    <w:uiPriority w:val="99"/>
    <w:unhideWhenUsed/>
    <w:rsid w:val="00047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0A"/>
  </w:style>
  <w:style w:type="paragraph" w:styleId="ListParagraph">
    <w:name w:val="List Paragraph"/>
    <w:basedOn w:val="Normal"/>
    <w:uiPriority w:val="34"/>
    <w:qFormat/>
    <w:rsid w:val="0004750A"/>
    <w:pPr>
      <w:ind w:left="720"/>
      <w:contextualSpacing/>
    </w:pPr>
  </w:style>
  <w:style w:type="paragraph" w:styleId="FootnoteText">
    <w:name w:val="footnote text"/>
    <w:basedOn w:val="Normal"/>
    <w:link w:val="FootnoteTextChar"/>
    <w:uiPriority w:val="99"/>
    <w:semiHidden/>
    <w:unhideWhenUsed/>
    <w:rsid w:val="00047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50A"/>
    <w:rPr>
      <w:sz w:val="20"/>
      <w:szCs w:val="20"/>
    </w:rPr>
  </w:style>
  <w:style w:type="character" w:styleId="FootnoteReference">
    <w:name w:val="footnote reference"/>
    <w:basedOn w:val="DefaultParagraphFont"/>
    <w:uiPriority w:val="99"/>
    <w:semiHidden/>
    <w:unhideWhenUsed/>
    <w:rsid w:val="0004750A"/>
    <w:rPr>
      <w:vertAlign w:val="superscript"/>
    </w:rPr>
  </w:style>
  <w:style w:type="paragraph" w:styleId="BalloonText">
    <w:name w:val="Balloon Text"/>
    <w:basedOn w:val="Normal"/>
    <w:link w:val="BalloonTextChar"/>
    <w:uiPriority w:val="99"/>
    <w:semiHidden/>
    <w:unhideWhenUsed/>
    <w:rsid w:val="00296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24F"/>
    <w:rPr>
      <w:rFonts w:ascii="Segoe UI" w:hAnsi="Segoe UI" w:cs="Segoe UI"/>
      <w:sz w:val="18"/>
      <w:szCs w:val="18"/>
    </w:rPr>
  </w:style>
  <w:style w:type="table" w:styleId="TableGrid">
    <w:name w:val="Table Grid"/>
    <w:basedOn w:val="TableNormal"/>
    <w:uiPriority w:val="39"/>
    <w:rsid w:val="00085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758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75853"/>
  </w:style>
  <w:style w:type="character" w:customStyle="1" w:styleId="eop">
    <w:name w:val="eop"/>
    <w:basedOn w:val="DefaultParagraphFont"/>
    <w:rsid w:val="00575853"/>
  </w:style>
  <w:style w:type="table" w:styleId="GridTable1Light-Accent1">
    <w:name w:val="Grid Table 1 Light Accent 1"/>
    <w:basedOn w:val="TableNormal"/>
    <w:uiPriority w:val="46"/>
    <w:rsid w:val="00DA57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905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81790">
      <w:bodyDiv w:val="1"/>
      <w:marLeft w:val="0"/>
      <w:marRight w:val="0"/>
      <w:marTop w:val="0"/>
      <w:marBottom w:val="0"/>
      <w:divBdr>
        <w:top w:val="none" w:sz="0" w:space="0" w:color="auto"/>
        <w:left w:val="none" w:sz="0" w:space="0" w:color="auto"/>
        <w:bottom w:val="none" w:sz="0" w:space="0" w:color="auto"/>
        <w:right w:val="none" w:sz="0" w:space="0" w:color="auto"/>
      </w:divBdr>
    </w:div>
    <w:div w:id="526065443">
      <w:bodyDiv w:val="1"/>
      <w:marLeft w:val="0"/>
      <w:marRight w:val="0"/>
      <w:marTop w:val="0"/>
      <w:marBottom w:val="0"/>
      <w:divBdr>
        <w:top w:val="none" w:sz="0" w:space="0" w:color="auto"/>
        <w:left w:val="none" w:sz="0" w:space="0" w:color="auto"/>
        <w:bottom w:val="none" w:sz="0" w:space="0" w:color="auto"/>
        <w:right w:val="none" w:sz="0" w:space="0" w:color="auto"/>
      </w:divBdr>
    </w:div>
    <w:div w:id="1250653817">
      <w:bodyDiv w:val="1"/>
      <w:marLeft w:val="0"/>
      <w:marRight w:val="0"/>
      <w:marTop w:val="0"/>
      <w:marBottom w:val="0"/>
      <w:divBdr>
        <w:top w:val="none" w:sz="0" w:space="0" w:color="auto"/>
        <w:left w:val="none" w:sz="0" w:space="0" w:color="auto"/>
        <w:bottom w:val="none" w:sz="0" w:space="0" w:color="auto"/>
        <w:right w:val="none" w:sz="0" w:space="0" w:color="auto"/>
      </w:divBdr>
    </w:div>
    <w:div w:id="1567256869">
      <w:bodyDiv w:val="1"/>
      <w:marLeft w:val="0"/>
      <w:marRight w:val="0"/>
      <w:marTop w:val="0"/>
      <w:marBottom w:val="0"/>
      <w:divBdr>
        <w:top w:val="none" w:sz="0" w:space="0" w:color="auto"/>
        <w:left w:val="none" w:sz="0" w:space="0" w:color="auto"/>
        <w:bottom w:val="none" w:sz="0" w:space="0" w:color="auto"/>
        <w:right w:val="none" w:sz="0" w:space="0" w:color="auto"/>
      </w:divBdr>
    </w:div>
    <w:div w:id="1579703766">
      <w:bodyDiv w:val="1"/>
      <w:marLeft w:val="0"/>
      <w:marRight w:val="0"/>
      <w:marTop w:val="0"/>
      <w:marBottom w:val="0"/>
      <w:divBdr>
        <w:top w:val="none" w:sz="0" w:space="0" w:color="auto"/>
        <w:left w:val="none" w:sz="0" w:space="0" w:color="auto"/>
        <w:bottom w:val="none" w:sz="0" w:space="0" w:color="auto"/>
        <w:right w:val="none" w:sz="0" w:space="0" w:color="auto"/>
      </w:divBdr>
      <w:divsChild>
        <w:div w:id="1653408378">
          <w:marLeft w:val="0"/>
          <w:marRight w:val="0"/>
          <w:marTop w:val="0"/>
          <w:marBottom w:val="0"/>
          <w:divBdr>
            <w:top w:val="none" w:sz="0" w:space="0" w:color="auto"/>
            <w:left w:val="none" w:sz="0" w:space="0" w:color="auto"/>
            <w:bottom w:val="none" w:sz="0" w:space="0" w:color="auto"/>
            <w:right w:val="none" w:sz="0" w:space="0" w:color="auto"/>
          </w:divBdr>
        </w:div>
        <w:div w:id="768430243">
          <w:marLeft w:val="0"/>
          <w:marRight w:val="0"/>
          <w:marTop w:val="0"/>
          <w:marBottom w:val="0"/>
          <w:divBdr>
            <w:top w:val="none" w:sz="0" w:space="0" w:color="auto"/>
            <w:left w:val="none" w:sz="0" w:space="0" w:color="auto"/>
            <w:bottom w:val="none" w:sz="0" w:space="0" w:color="auto"/>
            <w:right w:val="none" w:sz="0" w:space="0" w:color="auto"/>
          </w:divBdr>
          <w:divsChild>
            <w:div w:id="29107424">
              <w:marLeft w:val="0"/>
              <w:marRight w:val="0"/>
              <w:marTop w:val="0"/>
              <w:marBottom w:val="0"/>
              <w:divBdr>
                <w:top w:val="none" w:sz="0" w:space="0" w:color="auto"/>
                <w:left w:val="none" w:sz="0" w:space="0" w:color="auto"/>
                <w:bottom w:val="none" w:sz="0" w:space="0" w:color="auto"/>
                <w:right w:val="none" w:sz="0" w:space="0" w:color="auto"/>
              </w:divBdr>
              <w:divsChild>
                <w:div w:id="1343581575">
                  <w:marLeft w:val="0"/>
                  <w:marRight w:val="0"/>
                  <w:marTop w:val="0"/>
                  <w:marBottom w:val="0"/>
                  <w:divBdr>
                    <w:top w:val="none" w:sz="0" w:space="0" w:color="auto"/>
                    <w:left w:val="none" w:sz="0" w:space="0" w:color="auto"/>
                    <w:bottom w:val="none" w:sz="0" w:space="0" w:color="auto"/>
                    <w:right w:val="none" w:sz="0" w:space="0" w:color="auto"/>
                  </w:divBdr>
                  <w:divsChild>
                    <w:div w:id="1863516602">
                      <w:marLeft w:val="0"/>
                      <w:marRight w:val="0"/>
                      <w:marTop w:val="0"/>
                      <w:marBottom w:val="0"/>
                      <w:divBdr>
                        <w:top w:val="none" w:sz="0" w:space="0" w:color="auto"/>
                        <w:left w:val="none" w:sz="0" w:space="0" w:color="auto"/>
                        <w:bottom w:val="none" w:sz="0" w:space="0" w:color="auto"/>
                        <w:right w:val="none" w:sz="0" w:space="0" w:color="auto"/>
                      </w:divBdr>
                      <w:divsChild>
                        <w:div w:id="142358800">
                          <w:marLeft w:val="0"/>
                          <w:marRight w:val="0"/>
                          <w:marTop w:val="0"/>
                          <w:marBottom w:val="0"/>
                          <w:divBdr>
                            <w:top w:val="none" w:sz="0" w:space="0" w:color="auto"/>
                            <w:left w:val="none" w:sz="0" w:space="0" w:color="auto"/>
                            <w:bottom w:val="none" w:sz="0" w:space="0" w:color="auto"/>
                            <w:right w:val="none" w:sz="0" w:space="0" w:color="auto"/>
                          </w:divBdr>
                        </w:div>
                        <w:div w:id="679544439">
                          <w:marLeft w:val="0"/>
                          <w:marRight w:val="0"/>
                          <w:marTop w:val="0"/>
                          <w:marBottom w:val="0"/>
                          <w:divBdr>
                            <w:top w:val="none" w:sz="0" w:space="0" w:color="auto"/>
                            <w:left w:val="none" w:sz="0" w:space="0" w:color="auto"/>
                            <w:bottom w:val="none" w:sz="0" w:space="0" w:color="auto"/>
                            <w:right w:val="none" w:sz="0" w:space="0" w:color="auto"/>
                          </w:divBdr>
                        </w:div>
                        <w:div w:id="16557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13233">
          <w:marLeft w:val="0"/>
          <w:marRight w:val="0"/>
          <w:marTop w:val="0"/>
          <w:marBottom w:val="0"/>
          <w:divBdr>
            <w:top w:val="none" w:sz="0" w:space="0" w:color="auto"/>
            <w:left w:val="none" w:sz="0" w:space="0" w:color="auto"/>
            <w:bottom w:val="none" w:sz="0" w:space="0" w:color="auto"/>
            <w:right w:val="none" w:sz="0" w:space="0" w:color="auto"/>
          </w:divBdr>
        </w:div>
        <w:div w:id="418872252">
          <w:marLeft w:val="0"/>
          <w:marRight w:val="0"/>
          <w:marTop w:val="0"/>
          <w:marBottom w:val="0"/>
          <w:divBdr>
            <w:top w:val="none" w:sz="0" w:space="0" w:color="auto"/>
            <w:left w:val="none" w:sz="0" w:space="0" w:color="auto"/>
            <w:bottom w:val="none" w:sz="0" w:space="0" w:color="auto"/>
            <w:right w:val="none" w:sz="0" w:space="0" w:color="auto"/>
          </w:divBdr>
        </w:div>
        <w:div w:id="551505345">
          <w:marLeft w:val="0"/>
          <w:marRight w:val="0"/>
          <w:marTop w:val="0"/>
          <w:marBottom w:val="0"/>
          <w:divBdr>
            <w:top w:val="none" w:sz="0" w:space="0" w:color="auto"/>
            <w:left w:val="none" w:sz="0" w:space="0" w:color="auto"/>
            <w:bottom w:val="none" w:sz="0" w:space="0" w:color="auto"/>
            <w:right w:val="none" w:sz="0" w:space="0" w:color="auto"/>
          </w:divBdr>
        </w:div>
        <w:div w:id="131103256">
          <w:marLeft w:val="0"/>
          <w:marRight w:val="0"/>
          <w:marTop w:val="0"/>
          <w:marBottom w:val="0"/>
          <w:divBdr>
            <w:top w:val="none" w:sz="0" w:space="0" w:color="auto"/>
            <w:left w:val="none" w:sz="0" w:space="0" w:color="auto"/>
            <w:bottom w:val="none" w:sz="0" w:space="0" w:color="auto"/>
            <w:right w:val="none" w:sz="0" w:space="0" w:color="auto"/>
          </w:divBdr>
        </w:div>
        <w:div w:id="134682998">
          <w:marLeft w:val="0"/>
          <w:marRight w:val="0"/>
          <w:marTop w:val="0"/>
          <w:marBottom w:val="0"/>
          <w:divBdr>
            <w:top w:val="none" w:sz="0" w:space="0" w:color="auto"/>
            <w:left w:val="none" w:sz="0" w:space="0" w:color="auto"/>
            <w:bottom w:val="none" w:sz="0" w:space="0" w:color="auto"/>
            <w:right w:val="none" w:sz="0" w:space="0" w:color="auto"/>
          </w:divBdr>
        </w:div>
        <w:div w:id="1647465438">
          <w:marLeft w:val="0"/>
          <w:marRight w:val="0"/>
          <w:marTop w:val="0"/>
          <w:marBottom w:val="0"/>
          <w:divBdr>
            <w:top w:val="none" w:sz="0" w:space="0" w:color="auto"/>
            <w:left w:val="none" w:sz="0" w:space="0" w:color="auto"/>
            <w:bottom w:val="none" w:sz="0" w:space="0" w:color="auto"/>
            <w:right w:val="none" w:sz="0" w:space="0" w:color="auto"/>
          </w:divBdr>
        </w:div>
      </w:divsChild>
    </w:div>
    <w:div w:id="18849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ublic.tableau.com/profile/uncomtrade" TargetMode="External"/><Relationship Id="rId2" Type="http://schemas.openxmlformats.org/officeDocument/2006/relationships/hyperlink" Target="https://unstats.un.org/unsd/trade/HS2007-BEC%20-%20Explanatory%20Note.pdf" TargetMode="External"/><Relationship Id="rId1" Type="http://schemas.openxmlformats.org/officeDocument/2006/relationships/hyperlink" Target="https://unstats.un.org/unsd/trade/classifications/correspondence-tables.asp" TargetMode="External"/><Relationship Id="rId5" Type="http://schemas.openxmlformats.org/officeDocument/2006/relationships/hyperlink" Target="https://unstats.un.org/unsd/tradekb/Knowledgebase/50090/Intermediate-Goods-in-Trade-Statistics" TargetMode="External"/><Relationship Id="rId4" Type="http://schemas.openxmlformats.org/officeDocument/2006/relationships/hyperlink" Target="https://unstats.un.org/unsd/trade/classifications/correspondence-tab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35DC8-6D74-468B-8AD1-1A86185E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Markie Muryawan</dc:creator>
  <cp:keywords/>
  <dc:description/>
  <cp:lastModifiedBy>Markie Muryawan</cp:lastModifiedBy>
  <cp:revision>14</cp:revision>
  <cp:lastPrinted>2018-10-02T15:49:00Z</cp:lastPrinted>
  <dcterms:created xsi:type="dcterms:W3CDTF">2018-11-08T15:02:00Z</dcterms:created>
  <dcterms:modified xsi:type="dcterms:W3CDTF">2018-11-08T19:12:00Z</dcterms:modified>
</cp:coreProperties>
</file>