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SOMA Small/Large Viewer — User Manual</w:t>
      </w:r>
    </w:p>
    <w:p>
      <w:pPr>
        <w:pStyle w:val="Subtitle"/>
      </w:pPr>
      <w:r>
        <w:t xml:space="preserve">Interactive SMPL body + IMU viewer · INTERNAL ONLY</w:t>
      </w:r>
    </w:p>
    <w:p>
      <w:pPr>
        <w:pStyle w:val="Date"/>
      </w:pPr>
      <w:r>
        <w:t xml:space="preserve">2026-09-26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13" w:name="overview"/>
    <w:p>
      <w:pPr>
        <w:pStyle w:val="Heading1"/>
      </w:pPr>
      <w:r>
        <w:t xml:space="preserve">1. Overview</w:t>
      </w:r>
    </w:p>
    <w:p>
      <w:pPr>
        <w:pStyle w:val="FirstParagraph"/>
        <w:ind w:firstLine="360"/>
      </w:pPr>
      <w:r>
        <w:t xml:space="preserve">This viewer shows, interactively inside Blender, the subject’s</w:t>
      </w:r>
      <w:r>
        <w:t xml:space="preserve"> </w:t>
      </w:r>
      <w:r>
        <w:rPr>
          <w:b/>
          <w:bCs/>
        </w:rPr>
        <w:t xml:space="preserve">real-shape SMPL body mesh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RGB sensor axes at the 8 IMU locations</w:t>
      </w:r>
      <w:r>
        <w:t xml:space="preserve">, reconstructed from the PRISM</w:t>
      </w:r>
      <w:r>
        <w:t xml:space="preserve"> </w:t>
      </w:r>
      <w:r>
        <w:rPr>
          <w:b/>
          <w:bCs/>
        </w:rPr>
        <w:t xml:space="preserve">small / large / anthro</w:t>
      </w:r>
      <w:r>
        <w:t xml:space="preserve"> </w:t>
      </w:r>
      <w:r>
        <w:t xml:space="preserve">reference data. It is not a video (mp4) but a 3D scene you can</w:t>
      </w:r>
      <w:r>
        <w:t xml:space="preserve"> </w:t>
      </w:r>
      <w:r>
        <w:rPr>
          <w:b/>
          <w:bCs/>
        </w:rPr>
        <w:t xml:space="preserve">orbit, play, and scrub</w:t>
      </w:r>
      <w:r>
        <w:t xml:space="preserve">, with two analysis features on top (dataset-run switching and per-IMU</w:t>
      </w:r>
      <w:r>
        <w:t xml:space="preserve"> </w:t>
      </w:r>
      <w:r>
        <w:t xml:space="preserve">live signal plots).</w:t>
      </w:r>
    </w:p>
    <w:p>
      <w:pPr>
        <w:pStyle w:val="CaptionedFigure"/>
        <w:jc w:val="center"/>
      </w:pPr>
      <w:r>
        <w:drawing>
          <wp:inline>
            <wp:extent cx="1519707" cy="2485622"/>
            <wp:effectExtent b="0" l="0" r="0" t="0"/>
            <wp:docPr descr="The viewer — subject SMPL body + the 8 IMU RGB axes (X=red, Y=green, Z=blue)." title="" id="911" name="Picture"/>
            <a:graphic>
              <a:graphicData uri="http://schemas.openxmlformats.org/drawingml/2006/picture">
                <pic:pic>
                  <pic:nvPicPr>
                    <pic:cNvPr descr="figures/viewer_body.png" id="912" name="Picture"/>
                    <pic:cNvPicPr>
                      <a:picLocks noChangeArrowheads="1" noChangeAspect="1"/>
                    </pic:cNvPicPr>
                  </pic:nvPicPr>
                  <pic:blipFill>
                    <a:blip r:embed="rId9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9707" cy="24856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t xml:space="preserve">The viewer — subject SMPL body + the 8 IMU RGB axes (X=red, Y=green, Z=blue).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Shape</w:t>
      </w:r>
      <w:r>
        <w:t xml:space="preserve">: an exact mesh built from the subject’s own SMPL betas.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8 IMU sites</w:t>
      </w:r>
      <w:r>
        <w:t xml:space="preserve"> </w:t>
      </w:r>
      <w:r>
        <w:t xml:space="preserve">(sensor codes):</w:t>
      </w:r>
      <w:r>
        <w:t xml:space="preserve"> </w:t>
      </w:r>
      <w:r>
        <w:rPr>
          <w:rStyle w:val="VerbatimChar"/>
        </w:rPr>
        <w:t xml:space="preserve">back_T4</w:t>
      </w:r>
      <w:r>
        <w:t xml:space="preserve"> </w:t>
      </w:r>
      <w:r>
        <w:t xml:space="preserve">(upper thoracic back) ·</w:t>
      </w:r>
      <w:r>
        <w:t xml:space="preserve"> </w:t>
      </w:r>
      <w:r>
        <w:rPr>
          <w:rStyle w:val="VerbatimChar"/>
        </w:rPr>
        <w:t xml:space="preserve">occiput</w:t>
      </w:r>
      <w:r>
        <w:t xml:space="preserve"> </w:t>
      </w:r>
      <w:r>
        <w:t xml:space="preserve">(back of head) ·</w:t>
      </w:r>
      <w:r>
        <w:t xml:space="preserve"> </w:t>
      </w:r>
      <w:r>
        <w:rPr>
          <w:rStyle w:val="VerbatimChar"/>
        </w:rPr>
        <w:t xml:space="preserve">wrist_l</w:t>
      </w:r>
      <w:r>
        <w:t xml:space="preserve">·</w:t>
      </w:r>
      <w:r>
        <w:rPr>
          <w:rStyle w:val="VerbatimChar"/>
        </w:rPr>
        <w:t xml:space="preserve">wrist_r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shank_l</w:t>
      </w:r>
      <w:r>
        <w:t xml:space="preserve">·</w:t>
      </w:r>
      <w:r>
        <w:rPr>
          <w:rStyle w:val="VerbatimChar"/>
        </w:rPr>
        <w:t xml:space="preserve">shank_r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foot_l</w:t>
      </w:r>
      <w:r>
        <w:t xml:space="preserve">·</w:t>
      </w:r>
      <w:r>
        <w:rPr>
          <w:rStyle w:val="VerbatimChar"/>
        </w:rPr>
        <w:t xml:space="preserve">foot_r</w:t>
      </w:r>
      <w:r>
        <w:t xml:space="preserve"> </w:t>
      </w:r>
      <w:r>
        <w:t xml:space="preserve">(insole).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Axis convention</w:t>
      </w:r>
      <w:r>
        <w:t xml:space="preserve">: X=red, Y=green, Z=blue (computer-vision standard frame,</w:t>
      </w:r>
      <w:r>
        <w:t xml:space="preserve"> </w:t>
      </w:r>
      <w:r>
        <w:rPr>
          <w:rStyle w:val="VerbatimChar"/>
        </w:rPr>
        <w:t xml:space="preserve">00_sensors.qmd</w:t>
      </w:r>
      <w:r>
        <w:t xml:space="preserve"> </w:t>
      </w:r>
      <w:r>
        <w:t xml:space="preserve">spec).</w:t>
      </w:r>
    </w:p>
    <w:bookmarkEnd w:id="913"/>
    <w:bookmarkStart w:id="914" w:name="how-to-run-no-installation"/>
    <w:p>
      <w:pPr>
        <w:pStyle w:val="Heading1"/>
      </w:pPr>
      <w:r>
        <w:t xml:space="preserve">2. How to run (no installation)</w:t>
      </w:r>
    </w:p>
    <w:p>
      <w:pPr>
        <w:pStyle w:val="FirstParagraph"/>
        <w:ind w:firstLine="360"/>
      </w:pPr>
      <w:r>
        <w:t xml:space="preserve">This viewer is</w:t>
      </w:r>
      <w:r>
        <w:t xml:space="preserve"> </w:t>
      </w:r>
      <w:r>
        <w:rPr>
          <w:b/>
          <w:bCs/>
        </w:rPr>
        <w:t xml:space="preserve">Windows only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Double-click</w:t>
      </w:r>
      <w:r>
        <w:t xml:space="preserve"> </w:t>
      </w:r>
      <w:r>
        <w:rPr>
          <w:rStyle w:val="VerbatimChar"/>
        </w:rPr>
        <w:t xml:space="preserve">launch.exe</w:t>
      </w:r>
      <w:r>
        <w:t xml:space="preserve"> </w:t>
      </w:r>
      <w:r>
        <w:t xml:space="preserve">in the distribution folder.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 Python, Blender, or add-on needs to be installed</w:t>
      </w:r>
      <w:r>
        <w:t xml:space="preserve"> </w:t>
      </w:r>
      <w:r>
        <w:t xml:space="preserve">on this PC — Blender, the scripts and the</w:t>
      </w:r>
      <w:r>
        <w:t xml:space="preserve"> </w:t>
      </w:r>
      <w:r>
        <w:t xml:space="preserve">plotting library are all inside the folder. The data is read from this PC’s bundles, so set</w:t>
      </w:r>
      <w:r>
        <w:t xml:space="preserve"> </w:t>
      </w:r>
      <w:r>
        <w:rPr>
          <w:rStyle w:val="VerbatimChar"/>
        </w:rPr>
        <w:t xml:space="preserve">SOMA_DATA_ROOT</w:t>
      </w:r>
      <w:r>
        <w:t xml:space="preserve"> </w:t>
      </w:r>
      <w:r>
        <w:t xml:space="preserve">first (see</w:t>
      </w:r>
      <w:r>
        <w:t xml:space="preserve"> </w:t>
      </w:r>
      <w:r>
        <w:t xml:space="preserve">“Data location and adding runs”</w:t>
      </w:r>
      <w:r>
        <w:t xml:space="preserve"> </w:t>
      </w:r>
      <w:r>
        <w:t xml:space="preserve">below).</w:t>
      </w:r>
    </w:p>
    <w:p>
      <w:pPr>
        <w:pStyle w:val="Compact"/>
        <w:numPr>
          <w:ilvl w:val="0"/>
          <w:numId w:val="1002"/>
        </w:numPr>
      </w:pPr>
      <w:r>
        <w:t xml:space="preserve">On first launch the Blender splash appears briefly, then the scene loads.</w:t>
      </w:r>
    </w:p>
    <w:bookmarkEnd w:id="914"/>
    <w:bookmarkStart w:id="918" w:name="screen-and-basic-controls"/>
    <w:p>
      <w:pPr>
        <w:pStyle w:val="Heading1"/>
      </w:pPr>
      <w:r>
        <w:t xml:space="preserve">3. Screen and basic controls</w:t>
      </w:r>
    </w:p>
    <w:p>
      <w:pPr>
        <w:pStyle w:val="FirstParagraph"/>
        <w:ind w:firstLine="360"/>
      </w:pPr>
      <w:r>
        <w:t xml:space="preserve">In the 3D viewport: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Key / mouse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Play / pause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Spacebar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Orbit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middle-mouse drag</w:t>
            </w:r>
          </w:p>
        </w:tc>
      </w:tr>
      <w:tr>
        <w:tc>
          <w:tcPr/>
          <w:p>
            <w:pPr>
              <w:pStyle w:val="Compact"/>
            </w:pPr>
            <w:r>
              <w:t xml:space="preserve">Zoom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mouse wheel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Move frame</w:t>
            </w:r>
          </w:p>
        </w:tc>
        <w:tc>
          <w:tcPr/>
          <w:p>
            <w:pPr>
              <w:pStyle w:val="Compact"/>
            </w:pPr>
            <w:r>
              <w:t xml:space="preserve">drag the timeline below</w:t>
            </w:r>
          </w:p>
        </w:tc>
      </w:tr>
    </w:tbl>
    <w:p>
      <w:pPr>
        <w:pStyle w:val="BodyText"/>
        <w:ind w:firstLine="360"/>
      </w:pPr>
      <w:r>
        <w:t xml:space="preserve">All features are controlled from the</w:t>
      </w:r>
      <w:r>
        <w:t xml:space="preserve"> </w:t>
      </w:r>
      <w:r>
        <w:rPr>
          <w:rStyle w:val="VerbatimChar"/>
          <w:b/>
          <w:bCs/>
        </w:rPr>
        <w:t xml:space="preserve">SOMA</w:t>
      </w:r>
      <w:r>
        <w:rPr>
          <w:b/>
          <w:bCs/>
        </w:rPr>
        <w:t xml:space="preserve"> </w:t>
      </w:r>
      <w:r>
        <w:rPr>
          <w:b/>
          <w:bCs/>
        </w:rPr>
        <w:t xml:space="preserve">panel</w:t>
      </w:r>
      <w:r>
        <w:t xml:space="preserve"> </w:t>
      </w:r>
      <w:r>
        <w:t xml:space="preserve">on the right. If it is hidden, press</w:t>
      </w:r>
      <w:r>
        <w:t xml:space="preserve"> </w:t>
      </w:r>
      <w:r>
        <w:rPr>
          <w:rStyle w:val="VerbatimChar"/>
          <w:b/>
          <w:bCs/>
        </w:rPr>
        <w:t xml:space="preserve">N</w:t>
      </w:r>
      <w:r>
        <w:t xml:space="preserve"> </w:t>
      </w:r>
      <w:r>
        <w:t xml:space="preserve">in the</w:t>
      </w:r>
      <w:r>
        <w:t xml:space="preserve"> </w:t>
      </w:r>
      <w:r>
        <w:t xml:space="preserve">3D view to open the sidebar and select the</w:t>
      </w:r>
      <w:r>
        <w:t xml:space="preserve"> </w:t>
      </w:r>
      <w:r>
        <w:rPr>
          <w:rStyle w:val="VerbatimChar"/>
        </w:rPr>
        <w:t xml:space="preserve">SOMA</w:t>
      </w:r>
      <w:r>
        <w:t xml:space="preserve"> </w:t>
      </w:r>
      <w:r>
        <w:t xml:space="preserve">tab.</w:t>
      </w:r>
    </w:p>
    <w:p>
      <w:pPr>
        <w:pStyle w:val="CaptionedFigure"/>
        <w:jc w:val="center"/>
      </w:pPr>
      <w:r>
        <w:drawing>
          <wp:inline>
            <wp:extent cx="2849880" cy="3189151"/>
            <wp:effectExtent b="0" l="0" r="0" t="0"/>
            <wp:docPr descr="The SOMA side panel — run selector (count · Reload · Rescan) · IMU plot · display toggles · playback speed · plot update rate." title="" id="916" name="Picture"/>
            <a:graphic>
              <a:graphicData uri="http://schemas.openxmlformats.org/drawingml/2006/picture">
                <pic:pic>
                  <pic:nvPicPr>
                    <pic:cNvPr descr="figures/ui_side_panel.png" id="917" name="Picture"/>
                    <pic:cNvPicPr>
                      <a:picLocks noChangeArrowheads="1" noChangeAspect="1"/>
                    </pic:cNvPicPr>
                  </pic:nvPicPr>
                  <pic:blipFill>
                    <a:blip r:embed="rId9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9880" cy="31891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t xml:space="preserve">The SOMA side panel — run selector (count · Reload · Rescan) · IMU plot · display toggles · playback speed · plot update rate.</w:t>
      </w:r>
    </w:p>
    <w:bookmarkEnd w:id="918"/>
    <w:bookmarkStart w:id="930" w:name="features"/>
    <w:p>
      <w:pPr>
        <w:pStyle w:val="Heading1"/>
      </w:pPr>
      <w:r>
        <w:t xml:space="preserve">4. Features</w:t>
      </w:r>
    </w:p>
    <w:bookmarkStart w:id="919" w:name="dataset-run-selector"/>
    <w:p>
      <w:pPr>
        <w:pStyle w:val="Heading2"/>
      </w:pPr>
      <w:r>
        <w:t xml:space="preserve">4.1 Dataset run selector</w:t>
      </w:r>
    </w:p>
    <w:p>
      <w:pPr>
        <w:pStyle w:val="FirstParagraph"/>
        <w:ind w:firstLine="360"/>
      </w:pPr>
      <w:r>
        <w:t xml:space="preserve">With hundreds or thousands of runs a single list is useless, so the top of the</w:t>
      </w:r>
      <w:r>
        <w:t xml:space="preserve"> </w:t>
      </w:r>
      <w:r>
        <w:rPr>
          <w:rStyle w:val="VerbatimChar"/>
        </w:rPr>
        <w:t xml:space="preserve">SOMA</w:t>
      </w:r>
      <w:r>
        <w:t xml:space="preserve"> </w:t>
      </w:r>
      <w:r>
        <w:t xml:space="preserve">panel narrows</w:t>
      </w:r>
      <w:r>
        <w:t xml:space="preserve"> </w:t>
      </w:r>
      <w:r>
        <w:t xml:space="preserve">in</w:t>
      </w:r>
      <w:r>
        <w:t xml:space="preserve"> </w:t>
      </w:r>
      <w:r>
        <w:rPr>
          <w:b/>
          <w:bCs/>
        </w:rPr>
        <w:t xml:space="preserve">three steps</w:t>
      </w:r>
      <w:r>
        <w:t xml:space="preserve">.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Collection</w:t>
            </w:r>
            <w:r>
              <w:t xml:space="preserve"> </w:t>
            </w:r>
            <w:r>
              <w:t xml:space="preserve">dropdown</w:t>
            </w:r>
          </w:p>
        </w:tc>
        <w:tc>
          <w:tcPr/>
          <w:p>
            <w:pPr>
              <w:pStyle w:val="Compact"/>
            </w:pPr>
            <w:r>
              <w:t xml:space="preserve">Runs grouped by dataset and subject (e.g. </w:t>
            </w:r>
            <w:r>
              <w:rPr>
                <w:rStyle w:val="VerbatimChar"/>
              </w:rPr>
              <w:t xml:space="preserve">prism_faithful_full/prism-subj001 (25)</w:t>
            </w:r>
            <w:r>
              <w:t xml:space="preserve">); the number is how many runs it holds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Search box</w:t>
            </w:r>
            <w:r>
              <w:t xml:space="preserve"> </w:t>
            </w:r>
            <w:r>
              <w:t xml:space="preserve">(magnifier)</w:t>
            </w:r>
          </w:p>
        </w:tc>
        <w:tc>
          <w:tcPr/>
          <w:p>
            <w:pPr>
              <w:pStyle w:val="Compact"/>
            </w:pPr>
            <w:r>
              <w:t xml:space="preserve">Keeps only runs whose name contains what you 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Run</w:t>
            </w:r>
            <w:r>
              <w:t xml:space="preserve"> </w:t>
            </w:r>
            <w:r>
              <w:t xml:space="preserve">dropdown</w:t>
            </w:r>
          </w:p>
        </w:tc>
        <w:tc>
          <w:tcPr/>
          <w:p>
            <w:pPr>
              <w:pStyle w:val="Compact"/>
            </w:pPr>
            <w:r>
              <w:t xml:space="preserve">Lists only the runs matching both</w:t>
            </w:r>
          </w:p>
        </w:tc>
      </w:tr>
    </w:tbl>
    <w:p>
      <w:pPr>
        <w:pStyle w:val="BodyText"/>
        <w:ind w:firstLine="360"/>
      </w:pPr>
      <w:r>
        <w:t xml:space="preserve">Changing the collection re-points the run list and selects its first run, rebuilding the body + IMU</w:t>
      </w:r>
      <w:r>
        <w:t xml:space="preserve"> </w:t>
      </w:r>
      <w:r>
        <w:t xml:space="preserve">animation (seconds to tens of seconds for the rig).</w:t>
      </w:r>
      <w:r>
        <w:t xml:space="preserve"> </w:t>
      </w:r>
      <w:r>
        <w:rPr>
          <w:b/>
          <w:bCs/>
        </w:rPr>
        <w:t xml:space="preserve">[Reload run]</w:t>
      </w:r>
      <w:r>
        <w:t xml:space="preserve"> </w:t>
      </w:r>
      <w:r>
        <w:t xml:space="preserve">rebuilds the current run. If a</w:t>
      </w:r>
      <w:r>
        <w:t xml:space="preserve"> </w:t>
      </w:r>
      <w:r>
        <w:t xml:space="preserve">collection holds a great many runs the list shows the first 200 and says</w:t>
      </w:r>
      <w:r>
        <w:t xml:space="preserve"> </w:t>
      </w:r>
      <w:r>
        <w:rPr>
          <w:b/>
          <w:bCs/>
        </w:rPr>
        <w:t xml:space="preserve">“showing N of M”</w:t>
      </w:r>
      <w:r>
        <w:t xml:space="preserve">, so you</w:t>
      </w:r>
      <w:r>
        <w:t xml:space="preserve"> </w:t>
      </w:r>
      <w:r>
        <w:t xml:space="preserve">can narrow further with the search box — nothing is truncated silently.</w:t>
      </w:r>
    </w:p>
    <w:p>
      <w:pPr>
        <w:pStyle w:val="BodyText"/>
        <w:ind w:firstLine="360"/>
      </w:pPr>
      <w:r>
        <w:rPr>
          <w:b/>
          <w:bCs/>
        </w:rPr>
        <w:t xml:space="preserve">Opening a dropdown re-scans the dataset folder</w:t>
      </w:r>
      <w:r>
        <w:t xml:space="preserve">, so a run copied in while the viewer is running</w:t>
      </w:r>
      <w:r>
        <w:t xml:space="preserve"> </w:t>
      </w:r>
      <w:r>
        <w:t xml:space="preserve">still shows up. Press</w:t>
      </w:r>
      <w:r>
        <w:t xml:space="preserve"> </w:t>
      </w:r>
      <w:r>
        <w:rPr>
          <w:b/>
          <w:bCs/>
        </w:rPr>
        <w:t xml:space="preserve">[Rescan dataset]</w:t>
      </w:r>
      <w:r>
        <w:t xml:space="preserve"> </w:t>
      </w:r>
      <w:r>
        <w:t xml:space="preserve">to look again immediately. The total number of runs found</w:t>
      </w:r>
      <w:r>
        <w:t xml:space="preserve"> </w:t>
      </w:r>
      <w:r>
        <w:t xml:space="preserve">is shown at the top.</w:t>
      </w:r>
    </w:p>
    <w:bookmarkEnd w:id="919"/>
    <w:bookmarkStart w:id="923" w:name="imu-live-plot"/>
    <w:p>
      <w:pPr>
        <w:pStyle w:val="Heading2"/>
      </w:pPr>
      <w:r>
        <w:t xml:space="preserve">4.2 IMU live plot</w:t>
      </w:r>
    </w:p>
    <w:p>
      <w:pPr>
        <w:pStyle w:val="FirstParagraph"/>
        <w:ind w:firstLine="360"/>
      </w:pPr>
      <w:r>
        <w:t xml:space="preserve">Pick an IMU from the</w:t>
      </w:r>
      <w:r>
        <w:t xml:space="preserve"> </w:t>
      </w:r>
      <w:hyperlink w:anchor="imu-live-plot">
        <w:r>
          <w:rPr>
            <w:rStyle w:val="Hyperlink"/>
            <w:b/>
            <w:bCs/>
          </w:rPr>
          <w:t xml:space="preserve">IMU live plot</w:t>
        </w:r>
      </w:hyperlink>
      <w:r>
        <w:t xml:space="preserve"> </w:t>
      </w:r>
      <w:r>
        <w:t xml:space="preserve">dropdown and its signals show in the adjacent image panel in</w:t>
      </w:r>
      <w:r>
        <w:t xml:space="preserve"> </w:t>
      </w:r>
      <w:r>
        <w:rPr>
          <w:b/>
          <w:bCs/>
        </w:rPr>
        <w:t xml:space="preserve">three stacked plots</w:t>
      </w:r>
      <w:r>
        <w:t xml:space="preserve"> </w:t>
      </w:r>
      <w:r>
        <w:t xml:space="preserve">— from top:</w:t>
      </w:r>
      <w:r>
        <w:t xml:space="preserve"> </w:t>
      </w:r>
      <w:r>
        <w:rPr>
          <w:b/>
          <w:bCs/>
        </w:rPr>
        <w:t xml:space="preserve">acceleration (m/s²) · angular velocity (deg/s) · orientation</w:t>
      </w:r>
      <w:r>
        <w:rPr>
          <w:b/>
          <w:bCs/>
        </w:rPr>
        <w:t xml:space="preserve"> </w:t>
      </w:r>
      <w:r>
        <w:rPr>
          <w:b/>
          <w:bCs/>
        </w:rPr>
        <w:t xml:space="preserve">(deg, roll·pitch·yaw)</w:t>
      </w:r>
      <w:r>
        <w:t xml:space="preserve">. The three line colors (red·green·blue) in each plot are the same X·Y·Z axes as</w:t>
      </w:r>
      <w:r>
        <w:t xml:space="preserve"> </w:t>
      </w:r>
      <w:r>
        <w:t xml:space="preserve">the RGB axes in the 3D view. During playback a</w:t>
      </w:r>
      <w:r>
        <w:t xml:space="preserve"> </w:t>
      </w:r>
      <w:r>
        <w:rPr>
          <w:b/>
          <w:bCs/>
        </w:rPr>
        <w:t xml:space="preserve">vertical cursor</w:t>
      </w:r>
      <w:r>
        <w:t xml:space="preserve"> </w:t>
      </w:r>
      <w:r>
        <w:t xml:space="preserve">tracks the current frame.</w:t>
      </w:r>
    </w:p>
    <w:p>
      <w:pPr>
        <w:pStyle w:val="CaptionedFigure"/>
        <w:jc w:val="center"/>
      </w:pPr>
      <w:r>
        <w:drawing>
          <wp:inline>
            <wp:extent cx="3108960" cy="3956858"/>
            <wp:effectExtent b="0" l="0" r="0" t="0"/>
            <wp:docPr descr="IMU live plot — acceleration, angular velocity, orientation (3 panels); the vertical line is the current frame." title="" id="921" name="Picture"/>
            <a:graphic>
              <a:graphicData uri="http://schemas.openxmlformats.org/drawingml/2006/picture">
                <pic:pic>
                  <pic:nvPicPr>
                    <pic:cNvPr descr="figures/imu_plot.png" id="922" name="Picture"/>
                    <pic:cNvPicPr>
                      <a:picLocks noChangeArrowheads="1" noChangeAspect="1"/>
                    </pic:cNvPicPr>
                  </pic:nvPicPr>
                  <pic:blipFill>
                    <a:blip r:embed="rId9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960" cy="39568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t xml:space="preserve">IMU live plot — acceleration, angular velocity, orientation (3 panels); the vertical line is the current frame.</w:t>
      </w:r>
    </w:p>
    <w:p>
      <w:pPr>
        <w:pStyle w:val="BodyText"/>
        <w:ind w:firstLine="360"/>
      </w:pPr>
      <w:r>
        <w:t xml:space="preserve">The dropdown names are the</w:t>
      </w:r>
      <w:r>
        <w:t xml:space="preserve"> </w:t>
      </w:r>
      <w:r>
        <w:rPr>
          <w:rStyle w:val="VerbatimChar"/>
        </w:rPr>
        <w:t xml:space="preserve">small_reference.npz</w:t>
      </w:r>
      <w:r>
        <w:t xml:space="preserve"> </w:t>
      </w:r>
      <w:r>
        <w:t xml:space="preserve">sensor codes directly:</w:t>
      </w:r>
      <w:r>
        <w:t xml:space="preserve"> </w:t>
      </w:r>
      <w:r>
        <w:rPr>
          <w:rStyle w:val="VerbatimChar"/>
        </w:rPr>
        <w:t xml:space="preserve">back_T4</w:t>
      </w:r>
      <w:r>
        <w:t xml:space="preserve"> </w:t>
      </w:r>
      <w:r>
        <w:t xml:space="preserve">(upper thoracic</w:t>
      </w:r>
      <w:r>
        <w:t xml:space="preserve"> </w:t>
      </w:r>
      <w:r>
        <w:t xml:space="preserve">back) ·</w:t>
      </w:r>
      <w:r>
        <w:t xml:space="preserve"> </w:t>
      </w:r>
      <w:r>
        <w:rPr>
          <w:rStyle w:val="VerbatimChar"/>
        </w:rPr>
        <w:t xml:space="preserve">occiput</w:t>
      </w:r>
      <w:r>
        <w:t xml:space="preserve"> </w:t>
      </w:r>
      <w:r>
        <w:t xml:space="preserve">(back of head) ·</w:t>
      </w:r>
      <w:r>
        <w:t xml:space="preserve"> </w:t>
      </w:r>
      <w:r>
        <w:rPr>
          <w:rStyle w:val="VerbatimChar"/>
        </w:rPr>
        <w:t xml:space="preserve">wrist_l</w:t>
      </w:r>
      <w:r>
        <w:t xml:space="preserve">·</w:t>
      </w:r>
      <w:r>
        <w:rPr>
          <w:rStyle w:val="VerbatimChar"/>
        </w:rPr>
        <w:t xml:space="preserve">wrist_r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shank_l</w:t>
      </w:r>
      <w:r>
        <w:t xml:space="preserve">·</w:t>
      </w:r>
      <w:r>
        <w:rPr>
          <w:rStyle w:val="VerbatimChar"/>
        </w:rPr>
        <w:t xml:space="preserve">shank_r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foot_l</w:t>
      </w:r>
      <w:r>
        <w:t xml:space="preserve">·</w:t>
      </w:r>
      <w:r>
        <w:rPr>
          <w:rStyle w:val="VerbatimChar"/>
        </w:rPr>
        <w:t xml:space="preserve">foot_r</w:t>
      </w:r>
      <w:r>
        <w:t xml:space="preserve"> </w:t>
      </w:r>
      <w:r>
        <w:t xml:space="preserve">(insole).</w:t>
      </w:r>
    </w:p>
    <w:bookmarkEnd w:id="923"/>
    <w:bookmarkStart w:id="927" w:name="display-toggles"/>
    <w:p>
      <w:pPr>
        <w:pStyle w:val="Heading2"/>
      </w:pPr>
      <w:r>
        <w:t xml:space="preserve">4.3 Display toggles</w:t>
      </w:r>
    </w:p>
    <w:p>
      <w:pPr>
        <w:pStyle w:val="FirstParagraph"/>
        <w:ind w:firstLine="360"/>
      </w:pPr>
      <w:r>
        <w:t xml:space="preserve">Two toggles on the</w:t>
      </w:r>
      <w:r>
        <w:t xml:space="preserve"> </w:t>
      </w:r>
      <w:r>
        <w:rPr>
          <w:b/>
          <w:bCs/>
        </w:rPr>
        <w:t xml:space="preserve">Display</w:t>
      </w:r>
      <w:r>
        <w:t xml:space="preserve"> </w:t>
      </w:r>
      <w:r>
        <w:t xml:space="preserve">row of the</w:t>
      </w:r>
      <w:r>
        <w:t xml:space="preserve"> </w:t>
      </w:r>
      <w:r>
        <w:rPr>
          <w:rStyle w:val="VerbatimChar"/>
        </w:rPr>
        <w:t xml:space="preserve">SOMA</w:t>
      </w:r>
      <w:r>
        <w:t xml:space="preserve"> </w:t>
      </w:r>
      <w:r>
        <w:t xml:space="preserve">panel keep the view clean.</w:t>
      </w:r>
    </w:p>
    <w:p>
      <w:pPr>
        <w:pStyle w:val="CaptionedFigure"/>
        <w:jc w:val="center"/>
      </w:pPr>
      <w:r>
        <w:drawing>
          <wp:inline>
            <wp:extent cx="2281187" cy="1010652"/>
            <wp:effectExtent b="0" l="0" r="0" t="0"/>
            <wp:docPr descr="Display toggles — show/hide the IMU axes and the joint skeleton." title="" id="925" name="Picture"/>
            <a:graphic>
              <a:graphicData uri="http://schemas.openxmlformats.org/drawingml/2006/picture">
                <pic:pic>
                  <pic:nvPicPr>
                    <pic:cNvPr descr="figures/ui_toggle.png" id="926" name="Picture"/>
                    <pic:cNvPicPr>
                      <a:picLocks noChangeArrowheads="1" noChangeAspect="1"/>
                    </pic:cNvPicPr>
                  </pic:nvPicPr>
                  <pic:blipFill>
                    <a:blip r:embed="rId9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1187" cy="10106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t xml:space="preserve">Display toggles — show/hide the IMU axes and the joint skeleton.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IMU axes</w:t>
      </w:r>
      <w:r>
        <w:t xml:space="preserve"> </w:t>
      </w:r>
      <w:r>
        <w:t xml:space="preserve">(on by default): show/hide the 8 IMU RGB axes.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Skeleton</w:t>
      </w:r>
      <w:r>
        <w:t xml:space="preserve"> </w:t>
      </w:r>
      <w:r>
        <w:t xml:space="preserve">(off by default): show/hide the SMPL joint skeleton (armature). There is one bone per</w:t>
      </w:r>
      <w:r>
        <w:t xml:space="preserve"> </w:t>
      </w:r>
      <w:r>
        <w:t xml:space="preserve">joint (24 total), so it is hidden by default. Hiding it does not affect the mesh deformation.</w:t>
      </w:r>
    </w:p>
    <w:bookmarkEnd w:id="927"/>
    <w:bookmarkStart w:id="928" w:name="playback-speed"/>
    <w:p>
      <w:pPr>
        <w:pStyle w:val="Heading2"/>
      </w:pPr>
      <w:r>
        <w:t xml:space="preserve">4.4 Playback speed</w:t>
      </w:r>
    </w:p>
    <w:p>
      <w:pPr>
        <w:pStyle w:val="FirstParagraph"/>
        <w:ind w:firstLine="360"/>
      </w:pPr>
      <w:r>
        <w:t xml:space="preserve">The</w:t>
      </w:r>
      <w:r>
        <w:t xml:space="preserve"> </w:t>
      </w:r>
      <w:r>
        <w:rPr>
          <w:b/>
          <w:bCs/>
        </w:rPr>
        <w:t xml:space="preserve">[Speed (fps)]</w:t>
      </w:r>
      <w:r>
        <w:t xml:space="preserve"> </w:t>
      </w:r>
      <w:r>
        <w:t xml:space="preserve">slider sets the playback rate. The data is 100 Hz, so</w:t>
      </w:r>
      <w:r>
        <w:t xml:space="preserve"> </w:t>
      </w:r>
      <w:r>
        <w:rPr>
          <w:b/>
          <w:bCs/>
        </w:rPr>
        <w:t xml:space="preserve">100 = real time</w:t>
      </w:r>
      <w:r>
        <w:t xml:space="preserve"> </w:t>
      </w:r>
      <w:r>
        <w:t xml:space="preserve">(10 s</w:t>
      </w:r>
      <w:r>
        <w:t xml:space="preserve"> </w:t>
      </w:r>
      <w:r>
        <w:t xml:space="preserve">total); lower is slower (e.g. 25 → 4× slow motion), higher is faster. The scene is heavy, so if the PC</w:t>
      </w:r>
      <w:r>
        <w:t xml:space="preserve"> </w:t>
      </w:r>
      <w:r>
        <w:t xml:space="preserve">cannot reach 100 fps the playback slows down — but this viewer uses</w:t>
      </w:r>
      <w:r>
        <w:t xml:space="preserve"> </w:t>
      </w:r>
      <w:r>
        <w:rPr>
          <w:b/>
          <w:bCs/>
        </w:rPr>
        <w:t xml:space="preserve">frame dropping</w:t>
      </w:r>
      <w:r>
        <w:t xml:space="preserve">, so it skips</w:t>
      </w:r>
      <w:r>
        <w:t xml:space="preserve"> </w:t>
      </w:r>
      <w:r>
        <w:t xml:space="preserve">frames it cannot draw and</w:t>
      </w:r>
      <w:r>
        <w:t xml:space="preserve"> </w:t>
      </w:r>
      <w:r>
        <w:rPr>
          <w:b/>
          <w:bCs/>
        </w:rPr>
        <w:t xml:space="preserve">plays at real-time speed</w:t>
      </w:r>
      <w:r>
        <w:t xml:space="preserve">. If it is still slow, lower the Speed for smooth</w:t>
      </w:r>
      <w:r>
        <w:t xml:space="preserve"> </w:t>
      </w:r>
      <w:r>
        <w:t xml:space="preserve">playback.</w:t>
      </w:r>
    </w:p>
    <w:bookmarkEnd w:id="928"/>
    <w:bookmarkStart w:id="929" w:name="plot-update-rate-3d-smoothness"/>
    <w:p>
      <w:pPr>
        <w:pStyle w:val="Heading2"/>
      </w:pPr>
      <w:r>
        <w:t xml:space="preserve">4.5 Plot update rate (3D smoothness)</w:t>
      </w:r>
    </w:p>
    <w:p>
      <w:pPr>
        <w:pStyle w:val="FirstParagraph"/>
        <w:ind w:firstLine="360"/>
      </w:pPr>
      <w:r>
        <w:t xml:space="preserve">The</w:t>
      </w:r>
      <w:r>
        <w:t xml:space="preserve"> </w:t>
      </w:r>
      <w:r>
        <w:rPr>
          <w:b/>
          <w:bCs/>
        </w:rPr>
        <w:t xml:space="preserve">[Plot update (Hz)]</w:t>
      </w:r>
      <w:r>
        <w:t xml:space="preserve"> </w:t>
      </w:r>
      <w:r>
        <w:t xml:space="preserve">slider sets how many times per second the IMU plot is redrawn during</w:t>
      </w:r>
      <w:r>
        <w:t xml:space="preserve"> </w:t>
      </w:r>
      <w:r>
        <w:t xml:space="preserve">playback (default</w:t>
      </w:r>
      <w:r>
        <w:t xml:space="preserve"> </w:t>
      </w:r>
      <w:r>
        <w:rPr>
          <w:rStyle w:val="VerbatimChar"/>
        </w:rPr>
        <w:t xml:space="preserve">20</w:t>
      </w:r>
      <w:r>
        <w:t xml:space="preserve">). Redrawing that plot is the most expensive thing happening during playback, so</w:t>
      </w:r>
      <w:r>
        <w:t xml:space="preserve"> </w:t>
      </w:r>
      <w:r>
        <w:rPr>
          <w:b/>
          <w:bCs/>
        </w:rPr>
        <w:t xml:space="preserve">lowering this makes the 3D view smoother.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Behaviour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</w:t>
            </w:r>
            <w:r>
              <w:t xml:space="preserve"> </w:t>
            </w:r>
            <w:r>
              <w:t xml:space="preserve">(default)</w:t>
            </w:r>
          </w:p>
        </w:tc>
        <w:tc>
          <w:tcPr/>
          <w:p>
            <w:pPr>
              <w:pStyle w:val="Compact"/>
            </w:pPr>
            <w:r>
              <w:t xml:space="preserve">20 redraws/s — the cursor keeps up with playback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the maximum; finest cursor, at the cost of 3D speed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</w:t>
            </w:r>
            <w:r>
              <w:t xml:space="preserve">–</w:t>
            </w:r>
            <w:r>
              <w:rPr>
                <w:rStyle w:val="VerbatimChar"/>
              </w:rP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fewer redraws, 3D gets priority (</w:t>
            </w:r>
            <w:r>
              <w:rPr>
                <w:rStyle w:val="VerbatimChar"/>
              </w:rPr>
              <w:t xml:space="preserve">4</w:t>
            </w:r>
            <w:r>
              <w:t xml:space="preserve"> </w:t>
            </w:r>
            <w:r>
              <w:t xml:space="preserve">was the previous default)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</w:t>
            </w:r>
            <w:r>
              <w:t xml:space="preserve">–</w:t>
            </w:r>
            <w:r>
              <w:rPr>
                <w:rStyle w:val="VerbatimChar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redraws almost never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no redraws during playback (only on pause/scrub) —</w:t>
            </w:r>
            <w:r>
              <w:t xml:space="preserve"> </w:t>
            </w:r>
            <w:r>
              <w:rPr>
                <w:b/>
                <w:bCs/>
              </w:rPr>
              <w:t xml:space="preserve">smoothest 3D</w:t>
            </w:r>
          </w:p>
        </w:tc>
      </w:tr>
    </w:tbl>
    <w:p>
      <w:pPr>
        <w:pStyle w:val="BodyText"/>
        <w:ind w:firstLine="360"/>
      </w:pPr>
      <w:r>
        <w:t xml:space="preserve">Even at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the plot refreshes immediately when you pause or pick a different IMU.</w:t>
      </w:r>
    </w:p>
    <w:bookmarkEnd w:id="929"/>
    <w:bookmarkEnd w:id="930"/>
    <w:bookmarkStart w:id="940" w:name="data-location-and-adding-runs"/>
    <w:p>
      <w:pPr>
        <w:pStyle w:val="Heading1"/>
      </w:pPr>
      <w:r>
        <w:t xml:space="preserve">5. Data location and adding runs</w:t>
      </w:r>
    </w:p>
    <w:p>
      <w:pPr>
        <w:pStyle w:val="FirstParagraph"/>
        <w:ind w:firstLine="360"/>
      </w:pPr>
      <w:r>
        <w:t xml:space="preserve">The viewer carries no data. It reads</w:t>
      </w:r>
      <w:r>
        <w:t xml:space="preserve"> </w:t>
      </w:r>
      <w:r>
        <w:rPr>
          <w:b/>
          <w:bCs/>
        </w:rPr>
        <w:t xml:space="preserve">the bundles on the PC it runs on</w:t>
      </w:r>
      <w:r>
        <w:t xml:space="preserve">. Bundles stay on the PC</w:t>
      </w:r>
      <w:r>
        <w:t xml:space="preserve"> </w:t>
      </w:r>
      <w:r>
        <w:t xml:space="preserve">that made them (ADR-0041), and that PC’s data root is what the</w:t>
      </w:r>
      <w:r>
        <w:t xml:space="preserve"> </w:t>
      </w:r>
      <w:r>
        <w:rPr>
          <w:rStyle w:val="VerbatimChar"/>
        </w:rPr>
        <w:t xml:space="preserve">SOMA_DATA_ROOT</w:t>
      </w:r>
      <w:r>
        <w:t xml:space="preserve"> </w:t>
      </w:r>
      <w:r>
        <w:t xml:space="preserve">environment variable</w:t>
      </w:r>
      <w:r>
        <w:t xml:space="preserve"> </w:t>
      </w:r>
      <w:r>
        <w:t xml:space="preserve">names.</w:t>
      </w:r>
    </w:p>
    <w:p>
      <w:pPr>
        <w:pStyle w:val="SourceCode"/>
        <w:ind w:firstLine="360"/>
      </w:pPr>
      <w:r>
        <w:rPr>
          <w:rStyle w:val="VerbatimChar"/>
        </w:rPr>
        <w:t xml:space="preserve">&lt;SOMA_DATA_ROOT&gt;\</w:t>
      </w:r>
      <w:r>
        <w:br/>
      </w:r>
      <w:r>
        <w:rPr>
          <w:rStyle w:val="VerbatimChar"/>
        </w:rPr>
        <w:t xml:space="preserve">├─ runs\experimental_generation_poc_demo\</w:t>
      </w:r>
      <w:r>
        <w:br/>
      </w:r>
      <w:r>
        <w:rPr>
          <w:rStyle w:val="VerbatimChar"/>
        </w:rPr>
        <w:t xml:space="preserve">│   ├─ &lt;bundle&gt;\                &lt;- the data (e.g. gaitex_unified8, hknu_unified8)</w:t>
      </w:r>
      <w:r>
        <w:br/>
      </w:r>
      <w:r>
        <w:rPr>
          <w:rStyle w:val="VerbatimChar"/>
        </w:rPr>
        <w:t xml:space="preserve">│   │   ├─ INDEX.json           &lt;- list of runs it holds; the viewer reads this to find them fast</w:t>
      </w:r>
      <w:r>
        <w:br/>
      </w:r>
      <w:r>
        <w:rPr>
          <w:rStyle w:val="VerbatimChar"/>
        </w:rPr>
        <w:t xml:space="preserve">│   │   └─ &lt;run-id&gt;\ ...</w:t>
      </w:r>
      <w:r>
        <w:br/>
      </w:r>
      <w:r>
        <w:rPr>
          <w:rStyle w:val="VerbatimChar"/>
        </w:rPr>
        <w:t xml:space="preserve">│   └─ _runs\  _superseded\     &lt;- run records and evidence (the viewer does not walk them)</w:t>
      </w:r>
      <w:r>
        <w:br/>
      </w:r>
      <w:r>
        <w:rPr>
          <w:rStyle w:val="VerbatimChar"/>
        </w:rPr>
        <w:t xml:space="preserve">└─ body_models\smpl\            &lt;- SMPL models (movable with SOMA_BODY_MODEL_DIR)</w:t>
      </w:r>
      <w:r>
        <w:br/>
      </w:r>
      <w:r>
        <w:br/>
      </w:r>
      <w:r>
        <w:rPr>
          <w:rStyle w:val="VerbatimChar"/>
        </w:rPr>
        <w:t xml:space="preserve">&lt;deploy folder&gt;\                &lt;- this viewer (where deploy_viewer.ps1 -Dest copied it)</w:t>
      </w:r>
      <w:r>
        <w:br/>
      </w:r>
      <w:r>
        <w:rPr>
          <w:rStyle w:val="VerbatimChar"/>
        </w:rPr>
        <w:t xml:space="preserve">├─ data\SMPL_MALE_clean.npz     &lt;- when the SMPL models are shipped with the viewer</w:t>
      </w:r>
      <w:r>
        <w:br/>
      </w:r>
      <w:r>
        <w:rPr>
          <w:rStyle w:val="VerbatimChar"/>
        </w:rPr>
        <w:t xml:space="preserve">├─ scripts\  blender\  manual\</w:t>
      </w:r>
      <w:r>
        <w:br/>
      </w:r>
      <w:r>
        <w:rPr>
          <w:rStyle w:val="VerbatimChar"/>
        </w:rPr>
        <w:t xml:space="preserve">└─ launch.exe</w:t>
      </w:r>
    </w:p>
    <w:tbl>
      <w:tblPr>
        <w:tblStyle w:val="Table"/>
        <w:tblLook w:firstRow="0" w:lastRow="0" w:firstColumn="0" w:lastColumn="0" w:noHBand="0" w:noVBand="0" w:val="0000"/>
        <w:jc w:val="center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2" name="Picture"/>
                  <a:graphic>
                    <a:graphicData uri="http://schemas.openxmlformats.org/drawingml/2006/picture">
                      <pic:pic>
                        <pic:nvPicPr>
                          <pic:cNvPr descr="" id="9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viewer does not scan the folders beside itself. To see bundles, set</w:t>
            </w:r>
            <w:r>
              <w:t xml:space="preserve"> </w:t>
            </w:r>
            <w:r>
              <w:rPr>
                <w:rStyle w:val="VerbatimChar"/>
              </w:rPr>
              <w:t xml:space="preserve">SOMA_DATA_ROOT</w:t>
            </w:r>
            <w:r>
              <w:t xml:space="preserve">, or name</w:t>
            </w:r>
            <w:r>
              <w:t xml:space="preserve"> </w:t>
            </w:r>
            <w:r>
              <w:t xml:space="preserve">the folder to look in (item 1 of the scan order below).</w:t>
            </w:r>
          </w:p>
          <w:p/>
        </w:tc>
      </w:tr>
    </w:tbl>
    <w:p>
      <w:pPr>
        <w:pStyle w:val="BodyText"/>
        <w:ind w:firstLine="360"/>
      </w:pPr>
      <w:r>
        <w:t xml:space="preserve">When a collection ships an</w:t>
      </w:r>
      <w:r>
        <w:t xml:space="preserve"> </w:t>
      </w:r>
      <w:r>
        <w:rPr>
          <w:rStyle w:val="VerbatimChar"/>
          <w:b/>
          <w:bCs/>
        </w:rPr>
        <w:t xml:space="preserve">INDEX.json</w:t>
      </w:r>
      <w:r>
        <w:t xml:space="preserve">, the viewer reads that list instead of searching every</w:t>
      </w:r>
      <w:r>
        <w:t xml:space="preserve"> </w:t>
      </w:r>
      <w:r>
        <w:t xml:space="preserve">folder. With thousands of runs the difference is large — a folder walk takes minutes (longer on a network</w:t>
      </w:r>
      <w:r>
        <w:t xml:space="preserve"> </w:t>
      </w:r>
      <w:r>
        <w:t xml:space="preserve">drive), while reading the list is near-instant. Collections without one are searched folder by</w:t>
      </w:r>
      <w:r>
        <w:t xml:space="preserve"> </w:t>
      </w:r>
      <w:r>
        <w:t xml:space="preserve">folder as before.</w:t>
      </w:r>
    </w:p>
    <w:p>
      <w:pPr>
        <w:pStyle w:val="BodyText"/>
        <w:ind w:firstLine="360"/>
      </w:pPr>
      <w:r>
        <w:t xml:space="preserve">An entry may name its run folder in</w:t>
      </w:r>
      <w:r>
        <w:t xml:space="preserve"> </w:t>
      </w:r>
      <w:r>
        <w:rPr>
          <w:b/>
          <w:bCs/>
        </w:rPr>
        <w:t xml:space="preserve">any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out_dir</w:t>
      </w:r>
      <w:r>
        <w:t xml:space="preserve">,</w:t>
      </w:r>
      <w:r>
        <w:t xml:space="preserve"> </w:t>
      </w:r>
      <w:r>
        <w:rPr>
          <w:rStyle w:val="VerbatimChar"/>
        </w:rPr>
        <w:t xml:space="preserve">relative_path</w:t>
      </w:r>
      <w:r>
        <w:t xml:space="preserve">,</w:t>
      </w:r>
      <w:r>
        <w:t xml:space="preserve"> </w:t>
      </w:r>
      <w:r>
        <w:rPr>
          <w:rStyle w:val="VerbatimChar"/>
        </w:rPr>
        <w:t xml:space="preserve">take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take_id</w:t>
      </w:r>
      <w:r>
        <w:t xml:space="preserve">; all</w:t>
      </w:r>
      <w:r>
        <w:t xml:space="preserve"> </w:t>
      </w:r>
      <w:r>
        <w:t xml:space="preserve">four are read, so a catalog written by a different generator still works. If no entry names a folder,</w:t>
      </w:r>
      <w:r>
        <w:t xml:space="preserve"> </w:t>
      </w:r>
      <w:r>
        <w:t xml:space="preserve">the viewer says so on the console and falls back to searching. The runs found are the same either</w:t>
      </w:r>
      <w:r>
        <w:t xml:space="preserve"> </w:t>
      </w:r>
      <w:r>
        <w:t xml:space="preserve">way — only slower — so that line is the thing to check if filling the list suddenly takes minutes.</w:t>
      </w:r>
    </w:p>
    <w:p>
      <w:pPr>
        <w:pStyle w:val="BodyText"/>
        <w:ind w:firstLine="360"/>
      </w:pPr>
      <w:r>
        <w:t xml:space="preserve">The viewer scans for run folders in this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and pools everything it finds into the dropdown</w:t>
      </w:r>
      <w:r>
        <w:t xml:space="preserve"> </w:t>
      </w:r>
      <w:r>
        <w:t xml:space="preserve">(on a name clash the earlier root wins):</w:t>
      </w:r>
    </w:p>
    <w:p>
      <w:pPr>
        <w:pStyle w:val="Compact"/>
        <w:numPr>
          <w:ilvl w:val="0"/>
          <w:numId w:val="1004"/>
        </w:numPr>
      </w:pPr>
      <w:r>
        <w:t xml:space="preserve">a folder named explicitly — the Blender argument</w:t>
      </w:r>
      <w:r>
        <w:t xml:space="preserve"> </w:t>
      </w:r>
      <w:r>
        <w:rPr>
          <w:rStyle w:val="VerbatimChar"/>
        </w:rPr>
        <w:t xml:space="preserve">-- --folder &lt;dir&gt;</w:t>
      </w:r>
      <w:r>
        <w:t xml:space="preserve"> </w:t>
      </w:r>
      <w:r>
        <w:t xml:space="preserve">(repeatable) or the</w:t>
      </w:r>
      <w:r>
        <w:t xml:space="preserve"> </w:t>
      </w:r>
      <w:r>
        <w:rPr>
          <w:rStyle w:val="VerbatimChar"/>
        </w:rPr>
        <w:t xml:space="preserve">SOMA_VIEWER_DATASET</w:t>
      </w:r>
      <w:r>
        <w:t xml:space="preserve"> </w:t>
      </w:r>
      <w:r>
        <w:t xml:space="preserve">environment variable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SOMA_DATA_ROOT\runs\experimental_generation_poc_demo\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this PC’s bundles (the default)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data\runs\</w:t>
      </w:r>
      <w:r>
        <w:t xml:space="preserve"> </w:t>
      </w:r>
      <w:r>
        <w:t xml:space="preserve">inside the viewer folder (for a fallback copy)</w:t>
      </w:r>
    </w:p>
    <w:p>
      <w:pPr>
        <w:pStyle w:val="FirstParagraph"/>
        <w:ind w:firstLine="360"/>
      </w:pPr>
      <w:r>
        <w:t xml:space="preserve">With neither</w:t>
      </w:r>
      <w:r>
        <w:t xml:space="preserve"> </w:t>
      </w:r>
      <w:r>
        <w:rPr>
          <w:rStyle w:val="VerbatimChar"/>
        </w:rPr>
        <w:t xml:space="preserve">SOMA_DATA_ROOT</w:t>
      </w:r>
      <w:r>
        <w:t xml:space="preserve"> </w:t>
      </w:r>
      <w:r>
        <w:t xml:space="preserve">nor a named folder, the viewer says on the console what to set and</w:t>
      </w:r>
      <w:r>
        <w:t xml:space="preserve"> </w:t>
      </w:r>
      <w:r>
        <w:t xml:space="preserve">stops. SMPL models are looked for in the viewer’s</w:t>
      </w:r>
      <w:r>
        <w:t xml:space="preserve"> </w:t>
      </w:r>
      <w:r>
        <w:rPr>
          <w:rStyle w:val="VerbatimChar"/>
        </w:rPr>
        <w:t xml:space="preserve">data\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SOMA_BODY_MODEL_DIR</w:t>
      </w:r>
      <w:r>
        <w:t xml:space="preserve">, else</w:t>
      </w:r>
      <w:r>
        <w:t xml:space="preserve"> </w:t>
      </w:r>
      <w:r>
        <w:rPr>
          <w:rStyle w:val="VerbatimChar"/>
        </w:rPr>
        <w:t xml:space="preserve">SOMA_DATA_ROOT\body_models\smpl</w:t>
      </w:r>
      <w:r>
        <w:t xml:space="preserve">.</w:t>
      </w:r>
    </w:p>
    <w:p>
      <w:pPr>
        <w:pStyle w:val="BodyText"/>
        <w:ind w:firstLine="360"/>
      </w:pPr>
      <w:r>
        <w:rPr>
          <w:b/>
          <w:bCs/>
        </w:rPr>
        <w:t xml:space="preserve">Adding a run</w:t>
      </w:r>
      <w:r>
        <w:t xml:space="preserve">: a bundle</w:t>
      </w:r>
      <w:r>
        <w:t xml:space="preserve"> </w:t>
      </w:r>
      <w:r>
        <w:rPr>
          <w:rStyle w:val="VerbatimChar"/>
        </w:rPr>
        <w:t xml:space="preserve">soma-synth run</w:t>
      </w:r>
      <w:r>
        <w:t xml:space="preserve"> </w:t>
      </w:r>
      <w:r>
        <w:t xml:space="preserve">makes lands under</w:t>
      </w:r>
      <w:r>
        <w:t xml:space="preserve"> </w:t>
      </w:r>
      <w:r>
        <w:rPr>
          <w:rStyle w:val="VerbatimChar"/>
        </w:rPr>
        <w:t xml:space="preserve">SOMA_DATA_ROOT</w:t>
      </w:r>
      <w:r>
        <w:t xml:space="preserve"> </w:t>
      </w:r>
      <w:r>
        <w:t xml:space="preserve">and appears on the next</w:t>
      </w:r>
      <w:r>
        <w:t xml:space="preserve"> </w:t>
      </w:r>
      <w:r>
        <w:t xml:space="preserve">launch (or when the dropdown is opened). Runs elsewhere are shown by naming their folder as in item 1. A run folder needs</w:t>
      </w:r>
      <w:r>
        <w:t xml:space="preserve"> </w:t>
      </w:r>
      <w:r>
        <w:rPr>
          <w:rStyle w:val="VerbatimChar"/>
        </w:rPr>
        <w:t xml:space="preserve">small_reference.npz</w:t>
      </w:r>
      <w:r>
        <w:t xml:space="preserve">,</w:t>
      </w:r>
      <w:r>
        <w:t xml:space="preserve"> </w:t>
      </w:r>
      <w:r>
        <w:rPr>
          <w:rStyle w:val="VerbatimChar"/>
        </w:rPr>
        <w:t xml:space="preserve">large_reference.npz</w:t>
      </w:r>
      <w:r>
        <w:t xml:space="preserve">, and an</w:t>
      </w:r>
      <w:r>
        <w:t xml:space="preserve"> </w:t>
      </w:r>
      <w:r>
        <w:rPr>
          <w:rStyle w:val="VerbatimChar"/>
        </w:rPr>
        <w:t xml:space="preserve">anthro_reference.npz</w:t>
      </w:r>
      <w:r>
        <w:t xml:space="preserve"> </w:t>
      </w:r>
      <w:r>
        <w:t xml:space="preserve">(older bundles:</w:t>
      </w:r>
      <w:r>
        <w:t xml:space="preserve"> </w:t>
      </w:r>
      <w:r>
        <w:rPr>
          <w:rStyle w:val="VerbatimChar"/>
        </w:rPr>
        <w:t xml:space="preserve">development_reference.npz</w:t>
      </w:r>
      <w:r>
        <w:t xml:space="preserve">) carrying the shape (</w:t>
      </w:r>
      <w:r>
        <w:rPr>
          <w:rStyle w:val="VerbatimChar"/>
        </w:rPr>
        <w:t xml:space="preserve">betas</w:t>
      </w:r>
      <w:r>
        <w:t xml:space="preserve">,</w:t>
      </w:r>
      <w:r>
        <w:t xml:space="preserve"> </w:t>
      </w:r>
      <w:r>
        <w:rPr>
          <w:rStyle w:val="VerbatimChar"/>
        </w:rPr>
        <w:t xml:space="preserve">gender</w:t>
      </w:r>
      <w:r>
        <w:t xml:space="preserve">).</w:t>
      </w:r>
    </w:p>
    <w:p>
      <w:pPr>
        <w:pStyle w:val="BodyText"/>
        <w:ind w:firstLine="360"/>
      </w:pPr>
      <w:r>
        <w:rPr>
          <w:b/>
          <w:bCs/>
        </w:rPr>
        <w:t xml:space="preserve">The body is drawn on the model matching the subject’s gender.</w:t>
      </w:r>
      <w:r>
        <w:t xml:space="preserve"> </w:t>
      </w:r>
      <w:r>
        <w:rPr>
          <w:rStyle w:val="VerbatimChar"/>
        </w:rPr>
        <w:t xml:space="preserve">betas</w:t>
      </w:r>
      <w:r>
        <w:t xml:space="preserve"> </w:t>
      </w:r>
      <w:r>
        <w:t xml:space="preserve">live in the shape space of</w:t>
      </w:r>
      <w:r>
        <w:t xml:space="preserve"> </w:t>
      </w:r>
      <w:r>
        <w:t xml:space="preserve">their own gendered model, so putting a woman’s betas on the male template does not approximate her</w:t>
      </w:r>
      <w:r>
        <w:t xml:space="preserve"> </w:t>
      </w:r>
      <w:r>
        <w:t xml:space="preserve">body — it draws</w:t>
      </w:r>
      <w:r>
        <w:t xml:space="preserve"> </w:t>
      </w:r>
      <w:r>
        <w:rPr>
          <w:b/>
          <w:bCs/>
        </w:rPr>
        <w:t xml:space="preserve">a different one</w:t>
      </w:r>
      <w:r>
        <w:t xml:space="preserve"> </w:t>
      </w:r>
      <w:r>
        <w:t xml:space="preserve">(measured ~23 cm apart). The viewer reads</w:t>
      </w:r>
      <w:r>
        <w:t xml:space="preserve"> </w:t>
      </w:r>
      <w:r>
        <w:rPr>
          <w:rStyle w:val="VerbatimChar"/>
        </w:rPr>
        <w:t xml:space="preserve">gender</w:t>
      </w:r>
      <w:r>
        <w:t xml:space="preserve"> </w:t>
      </w:r>
      <w:r>
        <w:t xml:space="preserve">and picks</w:t>
      </w:r>
      <w:r>
        <w:t xml:space="preserve"> </w:t>
      </w:r>
      <w:r>
        <w:rPr>
          <w:rStyle w:val="VerbatimChar"/>
        </w:rPr>
        <w:t xml:space="preserve">SMPL_FEMALE_clean.npz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SMPL_MALE_clean.npz</w:t>
      </w:r>
      <w:r>
        <w:t xml:space="preserve">. A deployment carrying only one of them falls back</w:t>
      </w:r>
      <w:r>
        <w:t xml:space="preserve"> </w:t>
      </w:r>
      <w:r>
        <w:t xml:space="preserve">to it</w:t>
      </w:r>
      <w:r>
        <w:t xml:space="preserve"> </w:t>
      </w:r>
      <w:r>
        <w:rPr>
          <w:b/>
          <w:bCs/>
        </w:rPr>
        <w:t xml:space="preserve">and says so on the console</w:t>
      </w:r>
      <w:r>
        <w:t xml:space="preserve"> </w:t>
      </w:r>
      <w:r>
        <w:t xml:space="preserve">— the shape on screen is then not that subject’s.</w:t>
      </w:r>
    </w:p>
    <w:p>
      <w:pPr>
        <w:pStyle w:val="BodyText"/>
        <w:ind w:firstLine="360"/>
      </w:pPr>
      <w:r>
        <w:t xml:space="preserve">Datasets prefix the joint</w:t>
      </w:r>
      <w:r>
        <w:t xml:space="preserve"> </w:t>
      </w:r>
      <w:r>
        <w:rPr>
          <w:b/>
          <w:bCs/>
        </w:rPr>
        <w:t xml:space="preserve">rotation</w:t>
      </w:r>
      <w:r>
        <w:t xml:space="preserve"> </w:t>
      </w:r>
      <w:r>
        <w:t xml:space="preserve">array with their own source name</w:t>
      </w:r>
      <w:r>
        <w:t xml:space="preserve"> </w:t>
      </w:r>
      <w:r>
        <w:t xml:space="preserve">(</w:t>
      </w:r>
      <w:r>
        <w:rPr>
          <w:rStyle w:val="VerbatimChar"/>
        </w:rPr>
        <w:t xml:space="preserve">smpl_global_orientation_prism_world</w:t>
      </w:r>
      <w:r>
        <w:t xml:space="preserve">,</w:t>
      </w:r>
      <w:r>
        <w:t xml:space="preserve"> </w:t>
      </w:r>
      <w:r>
        <w:rPr>
          <w:rStyle w:val="VerbatimChar"/>
        </w:rPr>
        <w:t xml:space="preserve">smpl_global_orientation_world</w:t>
      </w:r>
      <w:r>
        <w:t xml:space="preserve">, …). The viewer does not</w:t>
      </w:r>
      <w:r>
        <w:t xml:space="preserve"> </w:t>
      </w:r>
      <w:r>
        <w:t xml:space="preserve">hard-code one name: it takes any</w:t>
      </w:r>
      <w:r>
        <w:t xml:space="preserve"> </w:t>
      </w:r>
      <w:r>
        <w:rPr>
          <w:rStyle w:val="VerbatimChar"/>
        </w:rPr>
        <w:t xml:space="preserve">[T,24,4]</w:t>
      </w:r>
      <w:r>
        <w:t xml:space="preserve"> </w:t>
      </w:r>
      <w:r>
        <w:t xml:space="preserve">array starting with</w:t>
      </w:r>
      <w:r>
        <w:t xml:space="preserve"> </w:t>
      </w:r>
      <w:r>
        <w:rPr>
          <w:rStyle w:val="VerbatimChar"/>
        </w:rPr>
        <w:t xml:space="preserve">smpl_global_orientation</w:t>
      </w:r>
      <w:r>
        <w:t xml:space="preserve">, so</w:t>
      </w:r>
      <w:r>
        <w:t xml:space="preserve"> </w:t>
      </w:r>
      <w:r>
        <w:rPr>
          <w:b/>
          <w:bCs/>
        </w:rPr>
        <w:t xml:space="preserve">any</w:t>
      </w:r>
      <w:r>
        <w:rPr>
          <w:b/>
          <w:bCs/>
        </w:rPr>
        <w:t xml:space="preserve"> </w:t>
      </w:r>
      <w:r>
        <w:rPr>
          <w:b/>
          <w:bCs/>
        </w:rPr>
        <w:t xml:space="preserve">dataset following the contract opens without a code change</w:t>
      </w:r>
      <w:r>
        <w:t xml:space="preserve">.</w:t>
      </w:r>
    </w:p>
    <w:p>
      <w:pPr>
        <w:pStyle w:val="BodyText"/>
        <w:ind w:firstLine="360"/>
      </w:pPr>
      <w:r>
        <w:t xml:space="preserve">It also needs a</w:t>
      </w:r>
      <w:r>
        <w:t xml:space="preserve"> </w:t>
      </w:r>
      <w:r>
        <w:rPr>
          <w:b/>
          <w:bCs/>
        </w:rPr>
        <w:t xml:space="preserve">root translation</w:t>
      </w:r>
      <w:r>
        <w:t xml:space="preserve"> </w:t>
      </w:r>
      <w:r>
        <w:t xml:space="preserve">— the trajectory the body follows through the world — and looks</w:t>
      </w:r>
      <w:r>
        <w:t xml:space="preserve"> </w:t>
      </w:r>
      <w:r>
        <w:t xml:space="preserve">for it in this order: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smpl_trans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anthro_reference.npz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smpl_trans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large_reference.npz</w:t>
      </w:r>
      <w:r>
        <w:t xml:space="preserve"> </w:t>
      </w:r>
      <w:r>
        <w:t xml:space="preserve">— the canonical home once it is published there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smpl_root_translation.npz</w:t>
      </w:r>
      <w:r>
        <w:t xml:space="preserve">, a companion file recovered from the source recording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trans</w:t>
      </w:r>
      <w:r>
        <w:t xml:space="preserve"> </w:t>
      </w:r>
      <w:r>
        <w:t xml:space="preserve">in a</w:t>
      </w:r>
      <w:r>
        <w:t xml:space="preserve"> </w:t>
      </w:r>
      <w:r>
        <w:rPr>
          <w:rStyle w:val="VerbatimChar"/>
        </w:rPr>
        <w:t xml:space="preserve">*_smplx.npz</w:t>
      </w:r>
      <w:r>
        <w:t xml:space="preserve"> </w:t>
      </w:r>
      <w:r>
        <w:t xml:space="preserve">in the same folder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none of them → the take plays in place</w:t>
      </w:r>
      <w:r>
        <w:t xml:space="preserve">: pose and IMU frames are still exact, only the travel</w:t>
      </w:r>
      <w:r>
        <w:t xml:space="preserve"> </w:t>
      </w:r>
      <w:r>
        <w:t xml:space="preserve">through the world is missing</w:t>
      </w:r>
    </w:p>
    <w:p>
      <w:pPr>
        <w:pStyle w:val="FirstParagraph"/>
        <w:ind w:firstLine="360"/>
      </w:pPr>
      <w:r>
        <w:t xml:space="preserve">In case 5 the panel shows</w:t>
      </w:r>
      <w:r>
        <w:t xml:space="preserve"> </w:t>
      </w:r>
      <w:r>
        <w:rPr>
          <w:b/>
          <w:bCs/>
        </w:rPr>
        <w:t xml:space="preserve">“no root translation — playing in place”</w:t>
      </w:r>
      <w:r>
        <w:t xml:space="preserve">. It is never silent.</w:t>
      </w:r>
    </w:p>
    <w:tbl>
      <w:tblPr>
        <w:tblStyle w:val="Table"/>
        <w:tblLook w:firstRow="0" w:lastRow="0" w:firstColumn="0" w:lastColumn="0" w:noHBand="0" w:noVBand="0" w:val="0000"/>
        <w:jc w:val="center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5" name="Picture"/>
                  <a:graphic>
                    <a:graphicData uri="http://schemas.openxmlformats.org/drawingml/2006/picture">
                      <pic:pic>
                        <pic:nvPicPr>
                          <pic:cNvPr descr="" id="9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assume</w:t>
            </w:r>
            <w:r>
              <w:t xml:space="preserve"> </w:t>
            </w:r>
            <w:r>
              <w:rPr>
                <w:rStyle w:val="VerbatimChar"/>
              </w:rPr>
              <w:t xml:space="preserve">pelvis_position_world_aux</w:t>
            </w:r>
            <w:r>
              <w:t xml:space="preserve"> </w:t>
            </w:r>
            <w:r>
              <w:t xml:space="preserve">is the translation. In AMASS bundles it happens to equal</w:t>
            </w:r>
            <w:r>
              <w:t xml:space="preserve"> </w:t>
            </w:r>
            <w:r>
              <w:t xml:space="preserve">it; in PRISM ones it is the pelvis</w:t>
            </w:r>
            <w:r>
              <w:t xml:space="preserve"> </w:t>
            </w:r>
            <w:r>
              <w:rPr>
                <w:b/>
                <w:bCs/>
              </w:rPr>
              <w:t xml:space="preserve">marker</w:t>
            </w:r>
            <w:r>
              <w:t xml:space="preserve"> </w:t>
            </w:r>
            <w:r>
              <w:t xml:space="preserve">and drifts from the SMPL root by up to ~0.1 m over time.</w:t>
            </w:r>
            <w:r>
              <w:t xml:space="preserve"> </w:t>
            </w:r>
            <w:r>
              <w:t xml:space="preserve">The same field name means different things per dataset, so</w:t>
            </w:r>
            <w:r>
              <w:t xml:space="preserve"> </w:t>
            </w:r>
            <w:r>
              <w:rPr>
                <w:rStyle w:val="VerbatimChar"/>
              </w:rPr>
              <w:t xml:space="preserve">scripts/poc/enrich_root_translation.py</w:t>
            </w:r>
            <w:r>
              <w:t xml:space="preserve"> </w:t>
            </w:r>
            <w:r>
              <w:t xml:space="preserve">settles it against each run’s source recording and writes</w:t>
            </w:r>
            <w:r>
              <w:t xml:space="preserve"> </w:t>
            </w:r>
            <w:r>
              <w:t xml:space="preserve">the companion file in step 3.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jc w:val="center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8" name="Picture"/>
                  <a:graphic>
                    <a:graphicData uri="http://schemas.openxmlformats.org/drawingml/2006/picture">
                      <pic:pic>
                        <pic:nvPicPr>
                          <pic:cNvPr descr="" id="9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Long takes take longer to load: a 10 s take (1,000 frames) is a few seconds, a 2 min take (13,000</w:t>
            </w:r>
            <w:r>
              <w:t xml:space="preserve"> </w:t>
            </w:r>
            <w:r>
              <w:t xml:space="preserve">frames) about a minute before playback starts, roughly in proportion to the frame count.</w:t>
            </w:r>
          </w:p>
          <w:p/>
        </w:tc>
      </w:tr>
    </w:tbl>
    <w:bookmarkEnd w:id="940"/>
    <w:bookmarkStart w:id="941" w:name="license-and-distribution-notice"/>
    <w:p>
      <w:pPr>
        <w:pStyle w:val="Heading1"/>
      </w:pPr>
      <w:r>
        <w:t xml:space="preserve">6. License and distribution notice</w:t>
      </w:r>
    </w:p>
    <w:p>
      <w:pPr>
        <w:pStyle w:val="Compact"/>
        <w:numPr>
          <w:ilvl w:val="0"/>
          <w:numId w:val="1006"/>
        </w:numPr>
      </w:pPr>
      <w:r>
        <w:t xml:space="preserve">The body in this viewer is derived from the</w:t>
      </w:r>
      <w:r>
        <w:t xml:space="preserve"> </w:t>
      </w:r>
      <w:r>
        <w:rPr>
          <w:b/>
          <w:bCs/>
        </w:rPr>
        <w:t xml:space="preserve">MPI SMPL body model</w:t>
      </w:r>
      <w:r>
        <w:t xml:space="preserve"> </w:t>
      </w:r>
      <w:r>
        <w:t xml:space="preserve">(non-commercial research use,</w:t>
      </w:r>
      <w:r>
        <w:t xml:space="preserve"> </w:t>
      </w:r>
      <w:r>
        <w:rPr>
          <w:b/>
          <w:bCs/>
        </w:rPr>
        <w:t xml:space="preserve">redistribution prohibited</w:t>
      </w:r>
      <w:r>
        <w:t xml:space="preserve">). Public or external distribution is forbidden; use it only on</w:t>
      </w:r>
      <w:r>
        <w:t xml:space="preserve"> </w:t>
      </w:r>
      <w:r>
        <w:rPr>
          <w:b/>
          <w:bCs/>
        </w:rPr>
        <w:t xml:space="preserve">internal computers held by license-holders in your lab</w:t>
      </w:r>
      <w:r>
        <w:t xml:space="preserve"> </w:t>
      </w:r>
      <w:r>
        <w:t xml:space="preserve">(ADR-0005: INTERNAL-ONLY).</w:t>
      </w:r>
    </w:p>
    <w:p>
      <w:pPr>
        <w:pStyle w:val="Compact"/>
        <w:numPr>
          <w:ilvl w:val="0"/>
          <w:numId w:val="1006"/>
        </w:numPr>
      </w:pPr>
      <w:r>
        <w:t xml:space="preserve">Blender is GPL-licensed and may be redistributed.</w:t>
      </w:r>
    </w:p>
    <w:p>
      <w:pPr>
        <w:pStyle w:val="Compact"/>
        <w:numPr>
          <w:ilvl w:val="0"/>
          <w:numId w:val="1006"/>
        </w:numPr>
      </w:pPr>
      <w:r>
        <w:t xml:space="preserve">You may copy the whole folder to another</w:t>
      </w:r>
      <w:r>
        <w:t xml:space="preserve"> </w:t>
      </w:r>
      <w:r>
        <w:rPr>
          <w:b/>
          <w:bCs/>
        </w:rPr>
        <w:t xml:space="preserve">internal</w:t>
      </w:r>
      <w:r>
        <w:t xml:space="preserve"> </w:t>
      </w:r>
      <w:r>
        <w:t xml:space="preserve">Windows PC and run it there.</w:t>
      </w:r>
    </w:p>
    <w:bookmarkEnd w:id="941"/>
    <w:sectPr>
      <w:headerReference r:id="rId900" w:type="default"/>
      <w:footerReference r:id="rId901" w:type="default"/>
      <w:footnotePr>
        <w:numRestart w:val="eachSect"/>
      </w:footnotePr>
      <w:pgSz w:h="16838" w:w="11906"/>
      <w:pgMar w:bottom="720" w:footer="432" w:gutter="0" w:header="432" w:left="851" w:right="851" w:top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  <w:rPr>
        <w:color w:val="808080"/>
        <w:sz w:val="16"/>
      </w:rPr>
    </w:pPr>
    <w:r>
      <w:rPr>
        <w:color w:val="808080"/>
        <w:sz w:val="16"/>
      </w:rPr>
      <w:fldChar w:fldCharType="begin"/>
    </w:r>
    <w:r>
      <w:rPr>
        <w:color w:val="808080"/>
        <w:sz w:val="16"/>
      </w:rPr>
      <w:instrText xml:space="preserve"> PAGE </w:instrText>
    </w:r>
    <w:r>
      <w:rPr>
        <w:color w:val="808080"/>
        <w:sz w:val="16"/>
      </w:rPr>
      <w:fldChar w:fldCharType="separate"/>
    </w:r>
    <w:r>
      <w:rPr>
        <w:color w:val="808080"/>
        <w:sz w:val="16"/>
      </w:rPr>
      <w:t xml:space="preserve">1</w:t>
    </w:r>
    <w:r>
      <w:rPr>
        <w:color w:val="808080"/>
        <w:sz w:val="16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pBdr>
        <w:bottom w:val="single" w:sz="6" w:space="4" w:color="1F4E79"/>
      </w:pBdr>
      <w:jc w:val="right"/>
      <w:rPr>
        <w:color w:val="1F4E79"/>
        <w:sz w:val="16"/>
      </w:rPr>
    </w:pPr>
    <w:r>
      <w:rPr>
        <w:color w:val="1F4E79"/>
        <w:sz w:val="16"/>
      </w:rPr>
      <w:fldChar w:fldCharType="begin"/>
    </w:r>
    <w:r>
      <w:rPr>
        <w:color w:val="1F4E79"/>
        <w:sz w:val="16"/>
      </w:rPr>
      <w:instrText xml:space="preserve"> TITLE </w:instrText>
    </w:r>
    <w:r>
      <w:rPr>
        <w:color w:val="1F4E79"/>
        <w:sz w:val="16"/>
      </w:rPr>
      <w:fldChar w:fldCharType="separate"/>
    </w:r>
    <w:r>
      <w:rPr>
        <w:color w:val="1F4E79"/>
        <w:sz w:val="16"/>
      </w:rPr>
      <w:t xml:space="preserve">SOMA Small Large 명세서</w:t>
    </w:r>
    <w:r>
      <w:rPr>
        <w:color w:val="1F4E79"/>
        <w:sz w:val="16"/>
      </w:rPr>
      <w:fldChar w:fldCharType="end"/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0"/>
        <w:szCs w:val="20"/>
        <w:lang w:bidi="ar-SA" w:eastAsia="en-US" w:val="en"/>
      </w:rPr>
    </w:rPrDefault>
    <w:pPrDefault>
      <w:pPr>
        <w:spacing w:after="120" w:line="336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20" w:before="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20" w:before="20" w:line="240" w:lineRule="auto"/>
    </w:pPr>
    <w:rPr>
      <w:sz w:val="19"/>
      <w:szCs w:val="19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color w:val="1F4E79"/>
      <w:rFonts w:asciiTheme="majorHAnsi" w:cstheme="majorBidi" w:eastAsiaTheme="majorEastAsia" w:hAnsiTheme="majorHAnsi"/>
      <w:spacing w:val="-10"/>
      <w:kern w:val="28"/>
      <w:sz w:val="32"/>
      <w:szCs w:val="32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2"/>
      <w:szCs w:val="22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pBdr>
        <w:bottom w:color="1F4E79" w:space="6" w:sz="6" w:val="single"/>
      </w:pBdr>
      <w:keepNext/>
      <w:keepLines/>
      <w:spacing w:after="40" w:before="160"/>
      <w:outlineLvl w:val="0"/>
    </w:pPr>
    <w:rPr>
      <w:rFonts w:asciiTheme="majorHAnsi" w:cstheme="majorBidi" w:eastAsiaTheme="majorEastAsia" w:hAnsiTheme="majorHAnsi"/>
      <w:color w:val="1F4E79"/>
      <w:sz w:val="26"/>
      <w:szCs w:val="26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40" w:before="120"/>
      <w:outlineLvl w:val="1"/>
    </w:pPr>
    <w:rPr>
      <w:rFonts w:asciiTheme="majorHAnsi" w:cstheme="majorBidi" w:eastAsiaTheme="majorEastAsia" w:hAnsiTheme="majorHAnsi"/>
      <w:color w:val="2E74B5"/>
      <w:sz w:val="23"/>
      <w:szCs w:val="23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40" w:before="120"/>
      <w:outlineLvl w:val="2"/>
    </w:pPr>
    <w:rPr>
      <w:rFonts w:cstheme="majorBidi" w:eastAsiaTheme="majorEastAsia"/>
      <w:color w:val="2E74B5"/>
      <w:sz w:val="21"/>
      <w:szCs w:val="21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tblPr>
      <w:tblInd w:type="dxa" w:w="0"/>
      <w:tblBorders>
        <w:top w:color="1F4E79" w:space="0" w:sz="8" w:val="single"/>
        <w:bottom w:color="1F4E79" w:space="0" w:sz="8" w:val="single"/>
        <w:left w:color="C9D6E5" w:space="0" w:sz="2" w:val="single"/>
        <w:right w:color="C9D6E5" w:space="0" w:sz="2" w:val="single"/>
        <w:insideH w:color="C9D6E5" w:space="0" w:sz="2" w:val="single"/>
        <w:insideV w:color="C9D6E5" w:space="0" w:sz="2" w:val="single"/>
      </w:tblBorders>
      <w:tblCellMar>
        <w:top w:type="dxa" w:w="72"/>
        <w:left w:type="dxa" w:w="108"/>
        <w:bottom w:type="dxa" w:w="72"/>
        <w:right w:type="dxa" w:w="108"/>
      </w:tblCellMar>
    </w:tblPr>
    <w:tblStylePr w:type="firstRow">
      <w:pPr>
        <w:jc w:val="center"/>
      </w:pPr>
      <w:rPr>
        <w:b/>
        <w:color w:val="FFFFFF"/>
      </w:rPr>
      <w:tcPr>
        <w:shd w:color="auto" w:fill="1F4E79" w:val="clear"/>
        <w:vAlign w:val="cente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color w:val="1F4E79"/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909" Type="http://schemas.openxmlformats.org/officeDocument/2006/relationships/numbering" Target="numbering.xml"/><Relationship Id="rId908" Type="http://schemas.openxmlformats.org/officeDocument/2006/relationships/styles" Target="styles.xml"/><Relationship Id="rId907" Type="http://schemas.openxmlformats.org/officeDocument/2006/relationships/settings" Target="settings.xml"/><Relationship Id="rId906" Type="http://schemas.openxmlformats.org/officeDocument/2006/relationships/webSettings" Target="webSettings.xml"/><Relationship Id="rId905" Type="http://schemas.openxmlformats.org/officeDocument/2006/relationships/fontTable" Target="fontTable.xml"/><Relationship Id="rId904" Type="http://schemas.openxmlformats.org/officeDocument/2006/relationships/theme" Target="theme/theme1.xml"/><Relationship Id="rId903" Type="http://schemas.openxmlformats.org/officeDocument/2006/relationships/footnotes" Target="footnotes.xml"/><Relationship Id="rId902" Type="http://schemas.openxmlformats.org/officeDocument/2006/relationships/comments" Target="comments.xml"/><Relationship Id="rId900" Type="http://schemas.openxmlformats.org/officeDocument/2006/relationships/header" Target="header1.xml"/><Relationship Id="rId901" Type="http://schemas.openxmlformats.org/officeDocument/2006/relationships/footer" Target="footer1.xml"/><Relationship Id="rId931" Type="http://schemas.openxmlformats.org/officeDocument/2006/relationships/image" Target="media/rId931.png"/><Relationship Id="rId937" Type="http://schemas.openxmlformats.org/officeDocument/2006/relationships/image" Target="media/rId937.png"/><Relationship Id="rId934" Type="http://schemas.openxmlformats.org/officeDocument/2006/relationships/image" Target="media/rId934.png"/><Relationship Id="rId920" Type="http://schemas.openxmlformats.org/officeDocument/2006/relationships/image" Target="media/rId920.png"/><Relationship Id="rId915" Type="http://schemas.openxmlformats.org/officeDocument/2006/relationships/image" Target="media/rId915.png"/><Relationship Id="rId924" Type="http://schemas.openxmlformats.org/officeDocument/2006/relationships/image" Target="media/rId924.png"/><Relationship Id="rId910" Type="http://schemas.openxmlformats.org/officeDocument/2006/relationships/image" Target="media/rId9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Malgun Gothic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SOMA Small/Large Viewer — User Manual</dc:title>
  <dc:creator/>
  <dc:language>en</dc:language>
  <cp:keywords/>
  <dcterms:created xsi:type="dcterms:W3CDTF">2026-09-26T04:10:44Z</dcterms:created>
  <dcterms:modified xsi:type="dcterms:W3CDTF">2026-09-26T04:10:44Z</dcterms:modified>
  <cp:lastModifiedB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date">
    <vt:lpwstr>2026-09-26</vt:lpwstr>
  </property>
  <property fmtid="{D5CDD505-2E9C-101B-9397-08002B2CF9AE}" pid="4" name="engines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subtitle">
    <vt:lpwstr>Interactive SMPL body + IMU viewer · INTERNAL ONLY</vt:lpwstr>
  </property>
  <property fmtid="{D5CDD505-2E9C-101B-9397-08002B2CF9AE}" pid="10" name="toc-title">
    <vt:lpwstr>Table of contents</vt:lpwstr>
  </property>
</Properties>
</file>