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F31ED" w14:textId="440EEDBA" w:rsidR="00FF48BA" w:rsidRPr="00FF48BA" w:rsidRDefault="00FF48BA" w:rsidP="00FF48BA">
      <w:pPr>
        <w:jc w:val="center"/>
        <w:rPr>
          <w:sz w:val="30"/>
          <w:szCs w:val="30"/>
        </w:rPr>
      </w:pPr>
      <w:r w:rsidRPr="00FF48BA">
        <w:rPr>
          <w:sz w:val="30"/>
          <w:szCs w:val="30"/>
        </w:rPr>
        <w:t>Midterm Report</w:t>
      </w:r>
    </w:p>
    <w:p w14:paraId="0BC2C826" w14:textId="3F79B14B" w:rsidR="00FF48BA" w:rsidRDefault="00FF48BA" w:rsidP="00FF48BA">
      <w:pPr>
        <w:jc w:val="right"/>
        <w:rPr>
          <w:rFonts w:hint="eastAsia"/>
        </w:rPr>
      </w:pPr>
      <w:r>
        <w:rPr>
          <w:rFonts w:hint="eastAsia"/>
        </w:rPr>
        <w:t>2</w:t>
      </w:r>
      <w:r>
        <w:t>019250140 Jeon in a</w:t>
      </w:r>
    </w:p>
    <w:p w14:paraId="23B80442" w14:textId="4BB2302E" w:rsidR="001B2868" w:rsidRDefault="000B763A" w:rsidP="000B763A">
      <w:pPr>
        <w:pStyle w:val="a3"/>
        <w:numPr>
          <w:ilvl w:val="0"/>
          <w:numId w:val="1"/>
        </w:numPr>
        <w:ind w:leftChars="0"/>
        <w:rPr>
          <w:rFonts w:eastAsiaTheme="minorHAnsi"/>
          <w:szCs w:val="20"/>
        </w:rPr>
      </w:pPr>
      <w:r w:rsidRPr="00274203">
        <w:rPr>
          <w:rFonts w:eastAsiaTheme="minorHAnsi"/>
          <w:szCs w:val="20"/>
        </w:rPr>
        <w:t>Introduction for Kainic acid induced epilepsy model</w:t>
      </w:r>
    </w:p>
    <w:p w14:paraId="64BBDFC1" w14:textId="77777777" w:rsidR="00395614" w:rsidRPr="00395614" w:rsidRDefault="00395614" w:rsidP="00FF48BA">
      <w:pPr>
        <w:pStyle w:val="a3"/>
        <w:ind w:firstLineChars="100" w:firstLine="200"/>
        <w:rPr>
          <w:rFonts w:eastAsiaTheme="minorHAnsi"/>
          <w:szCs w:val="20"/>
        </w:rPr>
      </w:pPr>
      <w:r w:rsidRPr="00395614">
        <w:rPr>
          <w:rFonts w:eastAsiaTheme="minorHAnsi"/>
          <w:szCs w:val="20"/>
        </w:rPr>
        <w:t xml:space="preserve">The kainic acid-induced seizure mouse model is widely used in epilepsy research. Administration of the excitatory toxic substance kainic acid (KA) can stimulate the glutamate receptor and is commonly used to model seizures in rodents. The administration of KA causes the upregulation of reactive oxygen species (ROS) and glutamine activity. The seizure lesions induced by KA are mainly located on the edge of the hippocampus, perfectly mimicking the classical histopathological features of hippocampal </w:t>
      </w:r>
      <w:proofErr w:type="gramStart"/>
      <w:r w:rsidRPr="00395614">
        <w:rPr>
          <w:rFonts w:eastAsiaTheme="minorHAnsi"/>
          <w:szCs w:val="20"/>
        </w:rPr>
        <w:t>sclerosis[</w:t>
      </w:r>
      <w:proofErr w:type="gramEnd"/>
      <w:r w:rsidRPr="00395614">
        <w:rPr>
          <w:rFonts w:eastAsiaTheme="minorHAnsi"/>
          <w:szCs w:val="20"/>
        </w:rPr>
        <w:t>1].</w:t>
      </w:r>
    </w:p>
    <w:p w14:paraId="1683DB3D" w14:textId="53109D2F" w:rsidR="00395614" w:rsidRPr="00395614" w:rsidRDefault="00395614" w:rsidP="00FF48BA">
      <w:pPr>
        <w:pStyle w:val="a3"/>
        <w:ind w:firstLineChars="100" w:firstLine="200"/>
        <w:rPr>
          <w:rFonts w:eastAsiaTheme="minorHAnsi"/>
          <w:szCs w:val="20"/>
        </w:rPr>
      </w:pPr>
      <w:r w:rsidRPr="00395614">
        <w:rPr>
          <w:rFonts w:eastAsiaTheme="minorHAnsi"/>
          <w:szCs w:val="20"/>
        </w:rPr>
        <w:t xml:space="preserve">The use of KA as a model for epilepsy was first introduced by Ben-Ari and colleagues, who performed a unilateral intra-amygdaloid injection of KA in </w:t>
      </w:r>
      <w:proofErr w:type="spellStart"/>
      <w:r w:rsidRPr="00395614">
        <w:rPr>
          <w:rFonts w:eastAsiaTheme="minorHAnsi"/>
          <w:szCs w:val="20"/>
        </w:rPr>
        <w:t>unanaesthetized</w:t>
      </w:r>
      <w:proofErr w:type="spellEnd"/>
      <w:r w:rsidRPr="00395614">
        <w:rPr>
          <w:rFonts w:eastAsiaTheme="minorHAnsi"/>
          <w:szCs w:val="20"/>
        </w:rPr>
        <w:t xml:space="preserve"> non-paralyzed rats and observed focal seizures evolving into SE as the dosage increased. These, and oth</w:t>
      </w:r>
      <w:r w:rsidR="00FF48BA">
        <w:rPr>
          <w:rFonts w:eastAsiaTheme="minorHAnsi"/>
          <w:szCs w:val="20"/>
        </w:rPr>
        <w:t>e</w:t>
      </w:r>
      <w:r w:rsidRPr="00395614">
        <w:rPr>
          <w:rFonts w:eastAsiaTheme="minorHAnsi"/>
          <w:szCs w:val="20"/>
        </w:rPr>
        <w:t>r experiments, suggested using KA as a tool to model TLE in rodents.</w:t>
      </w:r>
    </w:p>
    <w:p w14:paraId="5B7E6AC1" w14:textId="73441B57" w:rsidR="00395614" w:rsidRPr="00395614" w:rsidRDefault="00E2056D" w:rsidP="00E2056D">
      <w:pPr>
        <w:pStyle w:val="a3"/>
        <w:ind w:firstLineChars="100" w:firstLine="200"/>
        <w:rPr>
          <w:rFonts w:eastAsiaTheme="minorHAnsi"/>
          <w:szCs w:val="20"/>
        </w:rPr>
      </w:pPr>
      <w:r>
        <w:rPr>
          <w:rFonts w:eastAsiaTheme="minorHAnsi"/>
          <w:szCs w:val="20"/>
        </w:rPr>
        <w:t>S</w:t>
      </w:r>
      <w:r w:rsidR="00395614" w:rsidRPr="00395614">
        <w:rPr>
          <w:rFonts w:eastAsiaTheme="minorHAnsi"/>
          <w:szCs w:val="20"/>
        </w:rPr>
        <w:t>ignificant advantage of systemic KA administration is (1) its low labor-intensity, which allows the injection of numerous animals in a comparatively shorter time. (2)</w:t>
      </w:r>
      <w:r w:rsidR="00FF48BA">
        <w:rPr>
          <w:rFonts w:eastAsiaTheme="minorHAnsi"/>
          <w:szCs w:val="20"/>
        </w:rPr>
        <w:t xml:space="preserve"> </w:t>
      </w:r>
      <w:r w:rsidR="00395614" w:rsidRPr="00395614">
        <w:rPr>
          <w:rFonts w:eastAsiaTheme="minorHAnsi"/>
          <w:szCs w:val="20"/>
        </w:rPr>
        <w:t>Moreover, the absence of a surgical procedure eliminates side effects created by anesthesia, surgery invasiveness, and extra damage made by direct contact with brain tissue during the intracerebral injection. (3)</w:t>
      </w:r>
      <w:r w:rsidR="00FF48BA">
        <w:rPr>
          <w:rFonts w:eastAsiaTheme="minorHAnsi"/>
          <w:szCs w:val="20"/>
        </w:rPr>
        <w:t xml:space="preserve"> </w:t>
      </w:r>
      <w:r w:rsidR="00395614" w:rsidRPr="00395614">
        <w:rPr>
          <w:rFonts w:eastAsiaTheme="minorHAnsi"/>
          <w:szCs w:val="20"/>
        </w:rPr>
        <w:t>Diversity is a hallmark of human epilepsy, even for some specific types such as TLE. Interestingly, KA models are also very diverse. The results vary as a function of how KA is administered, species, strain, sex, and age. This is a strength as the different models may cover some of the patients’ diversity.</w:t>
      </w:r>
    </w:p>
    <w:p w14:paraId="5114D2CE" w14:textId="009A604B" w:rsidR="00A76334" w:rsidRPr="00274203" w:rsidRDefault="00395614" w:rsidP="00FF48BA">
      <w:pPr>
        <w:pStyle w:val="a3"/>
        <w:ind w:leftChars="0" w:left="760" w:firstLineChars="100" w:firstLine="200"/>
        <w:rPr>
          <w:rFonts w:eastAsiaTheme="minorHAnsi" w:hint="eastAsia"/>
          <w:szCs w:val="20"/>
        </w:rPr>
      </w:pPr>
      <w:r w:rsidRPr="00395614">
        <w:rPr>
          <w:rFonts w:eastAsiaTheme="minorHAnsi"/>
          <w:szCs w:val="20"/>
        </w:rPr>
        <w:t>However, this model’s obvious disadvantages are (1) no control over the bioavailability of KA in the brain and (2) high mortality rates. (3)</w:t>
      </w:r>
      <w:r w:rsidR="00FF48BA">
        <w:rPr>
          <w:rFonts w:eastAsiaTheme="minorHAnsi"/>
          <w:szCs w:val="20"/>
        </w:rPr>
        <w:t xml:space="preserve"> </w:t>
      </w:r>
      <w:r w:rsidRPr="00395614">
        <w:rPr>
          <w:rFonts w:eastAsiaTheme="minorHAnsi"/>
          <w:szCs w:val="20"/>
        </w:rPr>
        <w:t>It is important to note that KA is quite expensive and (4)</w:t>
      </w:r>
      <w:r w:rsidR="00FF48BA">
        <w:rPr>
          <w:rFonts w:eastAsiaTheme="minorHAnsi"/>
          <w:szCs w:val="20"/>
        </w:rPr>
        <w:t xml:space="preserve"> </w:t>
      </w:r>
      <w:r w:rsidRPr="00395614">
        <w:rPr>
          <w:rFonts w:eastAsiaTheme="minorHAnsi"/>
          <w:szCs w:val="20"/>
        </w:rPr>
        <w:t>that the purity of the molecule can vary from personal experience. (5)</w:t>
      </w:r>
      <w:r w:rsidR="00FF48BA">
        <w:rPr>
          <w:rFonts w:eastAsiaTheme="minorHAnsi"/>
          <w:szCs w:val="20"/>
        </w:rPr>
        <w:t xml:space="preserve"> </w:t>
      </w:r>
      <w:r w:rsidRPr="00395614">
        <w:rPr>
          <w:rFonts w:eastAsiaTheme="minorHAnsi"/>
          <w:szCs w:val="20"/>
        </w:rPr>
        <w:t xml:space="preserve">There are also different forms of the drug, e.g., pure acid and its dehydrate, which can sometimes be an issue in terms of result </w:t>
      </w:r>
      <w:proofErr w:type="gramStart"/>
      <w:r w:rsidRPr="00395614">
        <w:rPr>
          <w:rFonts w:eastAsiaTheme="minorHAnsi"/>
          <w:szCs w:val="20"/>
        </w:rPr>
        <w:t>variability[</w:t>
      </w:r>
      <w:proofErr w:type="gramEnd"/>
      <w:r w:rsidRPr="00395614">
        <w:rPr>
          <w:rFonts w:eastAsiaTheme="minorHAnsi"/>
          <w:szCs w:val="20"/>
        </w:rPr>
        <w:t>2].</w:t>
      </w:r>
    </w:p>
    <w:p w14:paraId="3B60123D" w14:textId="77777777" w:rsidR="00A76334" w:rsidRDefault="000B763A" w:rsidP="00A76334">
      <w:pPr>
        <w:pStyle w:val="a3"/>
        <w:numPr>
          <w:ilvl w:val="0"/>
          <w:numId w:val="1"/>
        </w:numPr>
        <w:ind w:leftChars="0"/>
        <w:rPr>
          <w:rFonts w:eastAsiaTheme="minorHAnsi"/>
          <w:szCs w:val="20"/>
        </w:rPr>
      </w:pPr>
      <w:r w:rsidRPr="00274203">
        <w:rPr>
          <w:rFonts w:eastAsiaTheme="minorHAnsi"/>
          <w:szCs w:val="20"/>
        </w:rPr>
        <w:t>Make figure for KA experiment</w:t>
      </w:r>
    </w:p>
    <w:p w14:paraId="6195CA31" w14:textId="286C8E4E" w:rsidR="000B763A" w:rsidRPr="00A76334" w:rsidRDefault="000B763A" w:rsidP="00A76334">
      <w:pPr>
        <w:pStyle w:val="a3"/>
        <w:numPr>
          <w:ilvl w:val="0"/>
          <w:numId w:val="4"/>
        </w:numPr>
        <w:ind w:leftChars="0"/>
        <w:rPr>
          <w:rFonts w:eastAsiaTheme="minorHAnsi"/>
          <w:szCs w:val="20"/>
        </w:rPr>
      </w:pPr>
      <w:r w:rsidRPr="00A76334">
        <w:rPr>
          <w:rFonts w:eastAsiaTheme="minorHAnsi"/>
          <w:szCs w:val="20"/>
        </w:rPr>
        <w:t>Experiment</w:t>
      </w:r>
      <w:r w:rsidR="00C05D7B" w:rsidRPr="00A76334">
        <w:rPr>
          <w:rFonts w:eastAsiaTheme="minorHAnsi"/>
          <w:szCs w:val="20"/>
        </w:rPr>
        <w:t xml:space="preserve"> condition</w:t>
      </w:r>
    </w:p>
    <w:p w14:paraId="54804960" w14:textId="77777777" w:rsidR="00330CFF" w:rsidRPr="00330CFF" w:rsidRDefault="00330CFF" w:rsidP="00FF48BA">
      <w:pPr>
        <w:pStyle w:val="a3"/>
        <w:ind w:leftChars="0" w:left="1120" w:firstLineChars="100" w:firstLine="200"/>
        <w:rPr>
          <w:rFonts w:eastAsiaTheme="minorHAnsi"/>
          <w:szCs w:val="20"/>
        </w:rPr>
      </w:pPr>
      <w:r w:rsidRPr="00330CFF">
        <w:rPr>
          <w:rFonts w:eastAsiaTheme="minorHAnsi"/>
          <w:szCs w:val="20"/>
        </w:rPr>
        <w:t xml:space="preserve">Kainic acid was injected into the kainic acid-induced group mice, and saline was injected into the control group mice. The kainic acid was dissolved at a concentration of 5mg/ml and 0.192 ml was injected to experimental group. The mice were given intraperitoneal (I.P.) kainic acid injections. After injection, the mice were evaluated according to an established six-point seizure scale at 5-min intervals for 75-min. The seizure score was determined through observation of the behaviors associated with corresponding levels. The higher the score, the more severe the </w:t>
      </w:r>
      <w:r w:rsidRPr="00330CFF">
        <w:rPr>
          <w:rFonts w:eastAsiaTheme="minorHAnsi"/>
          <w:szCs w:val="20"/>
        </w:rPr>
        <w:lastRenderedPageBreak/>
        <w:t>seizure is. It was confirmed that seizures with a score of 3 were induced within 25min after kainic acid administration.</w:t>
      </w:r>
    </w:p>
    <w:p w14:paraId="78535570" w14:textId="7C58B487" w:rsidR="00330CFF" w:rsidRDefault="00330CFF" w:rsidP="00FF48BA">
      <w:pPr>
        <w:pStyle w:val="a3"/>
        <w:ind w:leftChars="0" w:left="1120" w:firstLineChars="100" w:firstLine="200"/>
        <w:rPr>
          <w:rFonts w:eastAsiaTheme="minorHAnsi"/>
          <w:szCs w:val="20"/>
        </w:rPr>
      </w:pPr>
      <w:r w:rsidRPr="00330CFF">
        <w:rPr>
          <w:rFonts w:eastAsiaTheme="minorHAnsi"/>
          <w:szCs w:val="20"/>
        </w:rPr>
        <w:t xml:space="preserve">1 week after the experiment, all mice were anesthetized in a chamber using isoflurane. Brain tissues were extracted and fixed with 4% PFA for 1 week. The fixed tissues were embedded in </w:t>
      </w:r>
      <w:proofErr w:type="gramStart"/>
      <w:r w:rsidRPr="00330CFF">
        <w:rPr>
          <w:rFonts w:eastAsiaTheme="minorHAnsi"/>
          <w:szCs w:val="20"/>
        </w:rPr>
        <w:t>a</w:t>
      </w:r>
      <w:proofErr w:type="gramEnd"/>
      <w:r w:rsidRPr="00330CFF">
        <w:rPr>
          <w:rFonts w:eastAsiaTheme="minorHAnsi"/>
          <w:szCs w:val="20"/>
        </w:rPr>
        <w:t xml:space="preserve"> agarose gel and sectioned into 15μm thick sections. The sections were then mounted on slides and stained with </w:t>
      </w:r>
      <w:proofErr w:type="spellStart"/>
      <w:r w:rsidRPr="00330CFF">
        <w:rPr>
          <w:rFonts w:eastAsiaTheme="minorHAnsi"/>
          <w:szCs w:val="20"/>
        </w:rPr>
        <w:t>Cresyl</w:t>
      </w:r>
      <w:proofErr w:type="spellEnd"/>
      <w:r w:rsidRPr="00330CFF">
        <w:rPr>
          <w:rFonts w:eastAsiaTheme="minorHAnsi"/>
          <w:szCs w:val="20"/>
        </w:rPr>
        <w:t xml:space="preserve"> Violet solution. After staining, hippocampus of the brain w</w:t>
      </w:r>
      <w:r w:rsidR="00A76334">
        <w:rPr>
          <w:rFonts w:eastAsiaTheme="minorHAnsi"/>
          <w:szCs w:val="20"/>
        </w:rPr>
        <w:t>as</w:t>
      </w:r>
      <w:r w:rsidRPr="00330CFF">
        <w:rPr>
          <w:rFonts w:eastAsiaTheme="minorHAnsi"/>
          <w:szCs w:val="20"/>
        </w:rPr>
        <w:t xml:space="preserve"> scanned and we used image analyzer software ImageJ, the density of cell was calculated.</w:t>
      </w:r>
    </w:p>
    <w:p w14:paraId="22B2B962" w14:textId="1F1495C4" w:rsidR="000B763A" w:rsidRDefault="000B763A" w:rsidP="00A76334">
      <w:pPr>
        <w:pStyle w:val="a3"/>
        <w:numPr>
          <w:ilvl w:val="0"/>
          <w:numId w:val="4"/>
        </w:numPr>
        <w:ind w:leftChars="0"/>
        <w:rPr>
          <w:rFonts w:eastAsiaTheme="minorHAnsi"/>
          <w:szCs w:val="20"/>
        </w:rPr>
      </w:pPr>
      <w:r w:rsidRPr="00274203">
        <w:rPr>
          <w:rFonts w:eastAsiaTheme="minorHAnsi"/>
          <w:szCs w:val="20"/>
        </w:rPr>
        <w:t>Seizure score</w:t>
      </w:r>
    </w:p>
    <w:p w14:paraId="7C73856C" w14:textId="046EEFFB" w:rsidR="00E2056D" w:rsidRPr="00E2056D" w:rsidRDefault="006E2F52" w:rsidP="00E2056D">
      <w:pPr>
        <w:pStyle w:val="a3"/>
        <w:ind w:leftChars="0" w:left="1120" w:firstLineChars="50" w:firstLine="100"/>
        <w:rPr>
          <w:rFonts w:eastAsiaTheme="minorHAnsi" w:hint="eastAsia"/>
          <w:szCs w:val="20"/>
        </w:rPr>
      </w:pPr>
      <w:r w:rsidRPr="00E2056D">
        <w:rPr>
          <w:rFonts w:eastAsiaTheme="minorHAnsi" w:hint="eastAsia"/>
          <w:noProof/>
          <w:szCs w:val="20"/>
        </w:rPr>
        <w:drawing>
          <wp:anchor distT="0" distB="0" distL="114300" distR="114300" simplePos="0" relativeHeight="251659264" behindDoc="1" locked="0" layoutInCell="1" allowOverlap="1" wp14:anchorId="3001F8AD" wp14:editId="168D726B">
            <wp:simplePos x="0" y="0"/>
            <wp:positionH relativeFrom="column">
              <wp:posOffset>708660</wp:posOffset>
            </wp:positionH>
            <wp:positionV relativeFrom="paragraph">
              <wp:posOffset>0</wp:posOffset>
            </wp:positionV>
            <wp:extent cx="3776224" cy="1080000"/>
            <wp:effectExtent l="0" t="0" r="0" b="6350"/>
            <wp:wrapTight wrapText="bothSides">
              <wp:wrapPolygon edited="0">
                <wp:start x="0" y="0"/>
                <wp:lineTo x="0" y="21346"/>
                <wp:lineTo x="21469" y="21346"/>
                <wp:lineTo x="21469" y="0"/>
                <wp:lineTo x="0" y="0"/>
              </wp:wrapPolygon>
            </wp:wrapTight>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6224"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056D" w:rsidRPr="00E2056D">
        <w:rPr>
          <w:rFonts w:eastAsiaTheme="minorHAnsi"/>
          <w:color w:val="000000"/>
          <w:szCs w:val="20"/>
          <w:shd w:val="clear" w:color="auto" w:fill="FDFDFD"/>
        </w:rPr>
        <w:t xml:space="preserve"> </w:t>
      </w:r>
      <w:r w:rsidR="00E2056D" w:rsidRPr="00E2056D">
        <w:rPr>
          <w:rFonts w:eastAsiaTheme="minorHAnsi"/>
          <w:color w:val="000000"/>
          <w:szCs w:val="20"/>
          <w:shd w:val="clear" w:color="auto" w:fill="FDFDFD"/>
        </w:rPr>
        <w:t>Compared to the control group, the KA-induced mice showed seizure over time, and after about 25 minutes, stage 3 began.</w:t>
      </w:r>
    </w:p>
    <w:p w14:paraId="1A5EB1FC" w14:textId="77777777" w:rsidR="00B70E97" w:rsidRDefault="000B763A" w:rsidP="00A76334">
      <w:pPr>
        <w:pStyle w:val="a3"/>
        <w:numPr>
          <w:ilvl w:val="0"/>
          <w:numId w:val="4"/>
        </w:numPr>
        <w:ind w:leftChars="0"/>
        <w:rPr>
          <w:rFonts w:eastAsiaTheme="minorHAnsi"/>
          <w:szCs w:val="20"/>
        </w:rPr>
      </w:pPr>
      <w:r w:rsidRPr="00274203">
        <w:rPr>
          <w:rFonts w:eastAsiaTheme="minorHAnsi"/>
          <w:szCs w:val="20"/>
        </w:rPr>
        <w:t>Representative images</w:t>
      </w:r>
    </w:p>
    <w:p w14:paraId="3CB6B11F" w14:textId="19007B36" w:rsidR="00DB6439" w:rsidRDefault="00DB6439" w:rsidP="00B70E97">
      <w:pPr>
        <w:pStyle w:val="a3"/>
        <w:ind w:leftChars="0" w:left="1120"/>
        <w:rPr>
          <w:rFonts w:eastAsiaTheme="minorHAnsi"/>
          <w:szCs w:val="20"/>
        </w:rPr>
      </w:pPr>
      <w:r>
        <w:rPr>
          <w:noProof/>
        </w:rPr>
        <w:drawing>
          <wp:inline distT="0" distB="0" distL="0" distR="0" wp14:anchorId="40ED2132" wp14:editId="086E1836">
            <wp:extent cx="2342734" cy="1080000"/>
            <wp:effectExtent l="0" t="0" r="635" b="635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2734" cy="1080000"/>
                    </a:xfrm>
                    <a:prstGeom prst="rect">
                      <a:avLst/>
                    </a:prstGeom>
                    <a:noFill/>
                    <a:ln>
                      <a:noFill/>
                    </a:ln>
                  </pic:spPr>
                </pic:pic>
              </a:graphicData>
            </a:graphic>
          </wp:inline>
        </w:drawing>
      </w:r>
      <w:r w:rsidR="00A76334" w:rsidRPr="00B70E97">
        <w:rPr>
          <w:rFonts w:eastAsiaTheme="minorHAnsi" w:hint="eastAsia"/>
          <w:szCs w:val="20"/>
        </w:rPr>
        <w:t xml:space="preserve"> </w:t>
      </w:r>
      <w:r>
        <w:rPr>
          <w:rFonts w:hint="eastAsia"/>
          <w:noProof/>
        </w:rPr>
        <w:drawing>
          <wp:inline distT="0" distB="0" distL="0" distR="0" wp14:anchorId="6690F972" wp14:editId="65455449">
            <wp:extent cx="2292995" cy="1080000"/>
            <wp:effectExtent l="0" t="0" r="0" b="635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2995" cy="1080000"/>
                    </a:xfrm>
                    <a:prstGeom prst="rect">
                      <a:avLst/>
                    </a:prstGeom>
                    <a:noFill/>
                    <a:ln>
                      <a:noFill/>
                    </a:ln>
                  </pic:spPr>
                </pic:pic>
              </a:graphicData>
            </a:graphic>
          </wp:inline>
        </w:drawing>
      </w:r>
    </w:p>
    <w:p w14:paraId="42838C4D" w14:textId="5DB038B2" w:rsidR="00F15169" w:rsidRPr="00B70E97" w:rsidRDefault="00F15169" w:rsidP="00E2056D">
      <w:pPr>
        <w:pStyle w:val="a3"/>
        <w:ind w:leftChars="0" w:left="1120" w:firstLineChars="100" w:firstLine="200"/>
        <w:rPr>
          <w:rFonts w:eastAsiaTheme="minorHAnsi" w:hint="eastAsia"/>
          <w:szCs w:val="20"/>
        </w:rPr>
      </w:pPr>
      <w:r>
        <w:rPr>
          <w:rFonts w:eastAsiaTheme="minorHAnsi"/>
          <w:szCs w:val="20"/>
        </w:rPr>
        <w:t xml:space="preserve">It showed that the hippocampus cell number of KA-induced mouse is less than control group. For accuracy, we used </w:t>
      </w:r>
      <w:proofErr w:type="spellStart"/>
      <w:r>
        <w:rPr>
          <w:rFonts w:eastAsiaTheme="minorHAnsi"/>
          <w:szCs w:val="20"/>
        </w:rPr>
        <w:t>imageJ</w:t>
      </w:r>
      <w:proofErr w:type="spellEnd"/>
      <w:r>
        <w:rPr>
          <w:rFonts w:eastAsiaTheme="minorHAnsi"/>
          <w:szCs w:val="20"/>
        </w:rPr>
        <w:t xml:space="preserve"> that can measure cell density.</w:t>
      </w:r>
    </w:p>
    <w:p w14:paraId="439CF196" w14:textId="58A3C617" w:rsidR="00F15169" w:rsidRPr="00F15169" w:rsidRDefault="000B763A" w:rsidP="00F15169">
      <w:pPr>
        <w:pStyle w:val="a3"/>
        <w:numPr>
          <w:ilvl w:val="0"/>
          <w:numId w:val="4"/>
        </w:numPr>
        <w:ind w:leftChars="0"/>
        <w:rPr>
          <w:rFonts w:eastAsiaTheme="minorHAnsi" w:hint="eastAsia"/>
          <w:szCs w:val="20"/>
        </w:rPr>
      </w:pPr>
      <w:r w:rsidRPr="00274203">
        <w:rPr>
          <w:rFonts w:eastAsiaTheme="minorHAnsi"/>
          <w:szCs w:val="20"/>
        </w:rPr>
        <w:t>Cell counting bar graph</w:t>
      </w:r>
    </w:p>
    <w:p w14:paraId="6C39859A" w14:textId="05516842" w:rsidR="00DB6439" w:rsidRDefault="00534076" w:rsidP="00DB6439">
      <w:pPr>
        <w:pStyle w:val="a3"/>
        <w:ind w:leftChars="0" w:left="1120"/>
        <w:rPr>
          <w:rFonts w:eastAsiaTheme="minorHAnsi"/>
          <w:color w:val="000000"/>
          <w:szCs w:val="20"/>
          <w:shd w:val="clear" w:color="auto" w:fill="FDFDFD"/>
        </w:rPr>
      </w:pPr>
      <w:r>
        <w:rPr>
          <w:rFonts w:eastAsiaTheme="minorHAnsi" w:hint="eastAsia"/>
          <w:noProof/>
          <w:szCs w:val="20"/>
        </w:rPr>
        <w:drawing>
          <wp:anchor distT="0" distB="0" distL="114300" distR="114300" simplePos="0" relativeHeight="251658240" behindDoc="1" locked="0" layoutInCell="1" allowOverlap="1" wp14:anchorId="7698FA90" wp14:editId="36E3903B">
            <wp:simplePos x="0" y="0"/>
            <wp:positionH relativeFrom="column">
              <wp:posOffset>708660</wp:posOffset>
            </wp:positionH>
            <wp:positionV relativeFrom="paragraph">
              <wp:posOffset>-635</wp:posOffset>
            </wp:positionV>
            <wp:extent cx="2158921" cy="1440000"/>
            <wp:effectExtent l="0" t="0" r="0" b="8255"/>
            <wp:wrapTight wrapText="bothSides">
              <wp:wrapPolygon edited="0">
                <wp:start x="0" y="0"/>
                <wp:lineTo x="0" y="21438"/>
                <wp:lineTo x="21352" y="21438"/>
                <wp:lineTo x="21352" y="0"/>
                <wp:lineTo x="0" y="0"/>
              </wp:wrapPolygon>
            </wp:wrapTight>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892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5169" w:rsidRPr="00F15169">
        <w:rPr>
          <w:rFonts w:ascii="Helvetica" w:hAnsi="Helvetica"/>
          <w:color w:val="000000"/>
          <w:sz w:val="27"/>
          <w:szCs w:val="27"/>
          <w:shd w:val="clear" w:color="auto" w:fill="FDFDFD"/>
        </w:rPr>
        <w:t xml:space="preserve"> </w:t>
      </w:r>
    </w:p>
    <w:p w14:paraId="32213B4A" w14:textId="41253F00" w:rsidR="00F15169" w:rsidRDefault="00F15169" w:rsidP="00E2056D">
      <w:pPr>
        <w:pStyle w:val="a3"/>
        <w:ind w:leftChars="0" w:left="1120" w:firstLineChars="100" w:firstLine="200"/>
        <w:rPr>
          <w:rFonts w:eastAsiaTheme="minorHAnsi"/>
          <w:color w:val="000000"/>
          <w:szCs w:val="20"/>
          <w:shd w:val="clear" w:color="auto" w:fill="FDFDFD"/>
        </w:rPr>
      </w:pPr>
      <w:r>
        <w:rPr>
          <w:rFonts w:eastAsiaTheme="minorHAnsi"/>
          <w:color w:val="000000"/>
          <w:szCs w:val="20"/>
          <w:shd w:val="clear" w:color="auto" w:fill="FDFDFD"/>
        </w:rPr>
        <w:t xml:space="preserve">As shown above, </w:t>
      </w:r>
      <w:r w:rsidRPr="00F15169">
        <w:rPr>
          <w:rFonts w:eastAsiaTheme="minorHAnsi"/>
          <w:color w:val="000000"/>
          <w:szCs w:val="20"/>
          <w:shd w:val="clear" w:color="auto" w:fill="FDFDFD"/>
        </w:rPr>
        <w:t xml:space="preserve">the hippocampus cell density of KA-induced mice is significantly </w:t>
      </w:r>
      <w:r>
        <w:rPr>
          <w:rFonts w:eastAsiaTheme="minorHAnsi"/>
          <w:color w:val="000000"/>
          <w:szCs w:val="20"/>
          <w:shd w:val="clear" w:color="auto" w:fill="FDFDFD"/>
        </w:rPr>
        <w:t>less</w:t>
      </w:r>
      <w:r w:rsidRPr="00F15169">
        <w:rPr>
          <w:rFonts w:eastAsiaTheme="minorHAnsi"/>
          <w:color w:val="000000"/>
          <w:szCs w:val="20"/>
          <w:shd w:val="clear" w:color="auto" w:fill="FDFDFD"/>
        </w:rPr>
        <w:t xml:space="preserve"> than control group. Each group consisted of three data.</w:t>
      </w:r>
    </w:p>
    <w:p w14:paraId="6935587B" w14:textId="77777777" w:rsidR="00F15169" w:rsidRPr="00274203" w:rsidRDefault="00F15169" w:rsidP="00DB6439">
      <w:pPr>
        <w:pStyle w:val="a3"/>
        <w:ind w:leftChars="0" w:left="1120"/>
        <w:rPr>
          <w:rFonts w:eastAsiaTheme="minorHAnsi" w:hint="eastAsia"/>
          <w:szCs w:val="20"/>
        </w:rPr>
      </w:pPr>
    </w:p>
    <w:p w14:paraId="4A9A5341" w14:textId="23980F8D" w:rsidR="000B763A" w:rsidRDefault="000B763A" w:rsidP="00A76334">
      <w:pPr>
        <w:pStyle w:val="a3"/>
        <w:numPr>
          <w:ilvl w:val="0"/>
          <w:numId w:val="1"/>
        </w:numPr>
        <w:ind w:leftChars="0"/>
        <w:rPr>
          <w:rFonts w:eastAsiaTheme="minorHAnsi"/>
          <w:szCs w:val="20"/>
        </w:rPr>
      </w:pPr>
      <w:r w:rsidRPr="00274203">
        <w:rPr>
          <w:rFonts w:eastAsiaTheme="minorHAnsi"/>
          <w:szCs w:val="20"/>
        </w:rPr>
        <w:t>Reference</w:t>
      </w:r>
    </w:p>
    <w:p w14:paraId="3EF7E9A7" w14:textId="6E89A71F" w:rsidR="00065CB8" w:rsidRDefault="00065CB8" w:rsidP="00065CB8">
      <w:pPr>
        <w:pStyle w:val="a3"/>
        <w:ind w:leftChars="0" w:left="760"/>
        <w:rPr>
          <w:rFonts w:eastAsiaTheme="minorHAnsi"/>
          <w:szCs w:val="20"/>
        </w:rPr>
      </w:pPr>
      <w:r>
        <w:rPr>
          <w:rFonts w:eastAsiaTheme="minorHAnsi" w:hint="eastAsia"/>
          <w:szCs w:val="20"/>
        </w:rPr>
        <w:t>[</w:t>
      </w:r>
      <w:r>
        <w:rPr>
          <w:rFonts w:eastAsiaTheme="minorHAnsi"/>
          <w:szCs w:val="20"/>
        </w:rPr>
        <w:t xml:space="preserve">1] Kang, KK., Kim, YI., </w:t>
      </w:r>
      <w:proofErr w:type="spellStart"/>
      <w:r>
        <w:rPr>
          <w:rFonts w:eastAsiaTheme="minorHAnsi"/>
          <w:szCs w:val="20"/>
        </w:rPr>
        <w:t>Seo</w:t>
      </w:r>
      <w:proofErr w:type="spellEnd"/>
      <w:r>
        <w:rPr>
          <w:rFonts w:eastAsiaTheme="minorHAnsi"/>
          <w:szCs w:val="20"/>
        </w:rPr>
        <w:t xml:space="preserve">, MS. </w:t>
      </w:r>
      <w:r w:rsidRPr="00065CB8">
        <w:rPr>
          <w:rFonts w:eastAsiaTheme="minorHAnsi"/>
          <w:i/>
          <w:iCs/>
          <w:szCs w:val="20"/>
        </w:rPr>
        <w:t>et al.</w:t>
      </w:r>
      <w:r>
        <w:rPr>
          <w:rFonts w:eastAsiaTheme="minorHAnsi"/>
          <w:szCs w:val="20"/>
        </w:rPr>
        <w:t xml:space="preserve"> A comparative study of the phenotype with kainic acid-induced seizure in DBA/2 mice from three different sources. </w:t>
      </w:r>
      <w:r w:rsidRPr="00065CB8">
        <w:rPr>
          <w:rFonts w:eastAsiaTheme="minorHAnsi"/>
          <w:i/>
          <w:iCs/>
          <w:szCs w:val="20"/>
        </w:rPr>
        <w:t xml:space="preserve">Lab </w:t>
      </w:r>
      <w:proofErr w:type="spellStart"/>
      <w:r w:rsidRPr="00065CB8">
        <w:rPr>
          <w:rFonts w:eastAsiaTheme="minorHAnsi"/>
          <w:i/>
          <w:iCs/>
          <w:szCs w:val="20"/>
        </w:rPr>
        <w:t>Anim</w:t>
      </w:r>
      <w:proofErr w:type="spellEnd"/>
      <w:r w:rsidRPr="00065CB8">
        <w:rPr>
          <w:rFonts w:eastAsiaTheme="minorHAnsi"/>
          <w:i/>
          <w:iCs/>
          <w:szCs w:val="20"/>
        </w:rPr>
        <w:t xml:space="preserve"> Res</w:t>
      </w:r>
      <w:r>
        <w:rPr>
          <w:rFonts w:eastAsiaTheme="minorHAnsi"/>
          <w:szCs w:val="20"/>
        </w:rPr>
        <w:t xml:space="preserve"> 36, 39 (2020).</w:t>
      </w:r>
    </w:p>
    <w:p w14:paraId="68E334C3" w14:textId="0173BDF4" w:rsidR="000A7836" w:rsidRPr="00274203" w:rsidRDefault="00065CB8" w:rsidP="00395614">
      <w:pPr>
        <w:pStyle w:val="a3"/>
        <w:ind w:leftChars="0" w:left="760"/>
        <w:rPr>
          <w:rFonts w:eastAsiaTheme="minorHAnsi" w:hint="eastAsia"/>
          <w:szCs w:val="20"/>
        </w:rPr>
      </w:pPr>
      <w:r>
        <w:rPr>
          <w:rFonts w:eastAsiaTheme="minorHAnsi" w:hint="eastAsia"/>
          <w:szCs w:val="20"/>
        </w:rPr>
        <w:t>[</w:t>
      </w:r>
      <w:r>
        <w:rPr>
          <w:rFonts w:eastAsiaTheme="minorHAnsi"/>
          <w:szCs w:val="20"/>
        </w:rPr>
        <w:t xml:space="preserve">2] </w:t>
      </w:r>
      <w:proofErr w:type="spellStart"/>
      <w:r w:rsidR="000A7836" w:rsidRPr="00274203">
        <w:rPr>
          <w:rFonts w:eastAsiaTheme="minorHAnsi"/>
          <w:szCs w:val="20"/>
        </w:rPr>
        <w:t>Evgeniia</w:t>
      </w:r>
      <w:proofErr w:type="spellEnd"/>
      <w:r w:rsidR="000A7836" w:rsidRPr="00274203">
        <w:rPr>
          <w:rFonts w:eastAsiaTheme="minorHAnsi"/>
          <w:szCs w:val="20"/>
        </w:rPr>
        <w:t xml:space="preserve"> R, Christophe B, Adam W. The Kainic Acid Models of Temporal Lobe Epilepsy. </w:t>
      </w:r>
      <w:proofErr w:type="spellStart"/>
      <w:r w:rsidR="000A7836" w:rsidRPr="004A1D53">
        <w:rPr>
          <w:rFonts w:eastAsiaTheme="minorHAnsi"/>
          <w:i/>
          <w:iCs/>
          <w:szCs w:val="20"/>
        </w:rPr>
        <w:t>eNeuro</w:t>
      </w:r>
      <w:proofErr w:type="spellEnd"/>
      <w:r w:rsidR="000A7836" w:rsidRPr="004A1D53">
        <w:rPr>
          <w:rFonts w:eastAsiaTheme="minorHAnsi"/>
          <w:i/>
          <w:iCs/>
          <w:szCs w:val="20"/>
        </w:rPr>
        <w:t>, Society for Neuroscience</w:t>
      </w:r>
      <w:r w:rsidR="000A7836" w:rsidRPr="00274203">
        <w:rPr>
          <w:rFonts w:eastAsiaTheme="minorHAnsi"/>
          <w:szCs w:val="20"/>
        </w:rPr>
        <w:t>, 2021, 8 (2)</w:t>
      </w:r>
      <w:r w:rsidR="004A1D53">
        <w:rPr>
          <w:rFonts w:eastAsiaTheme="minorHAnsi"/>
          <w:szCs w:val="20"/>
        </w:rPr>
        <w:t>.</w:t>
      </w:r>
    </w:p>
    <w:sectPr w:rsidR="000A7836" w:rsidRPr="00274203" w:rsidSect="00A76334">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73199"/>
    <w:multiLevelType w:val="hybridMultilevel"/>
    <w:tmpl w:val="36E434BA"/>
    <w:lvl w:ilvl="0" w:tplc="0ECE431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4AC768E1"/>
    <w:multiLevelType w:val="hybridMultilevel"/>
    <w:tmpl w:val="6A084B7A"/>
    <w:lvl w:ilvl="0" w:tplc="DF5C84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C66326E"/>
    <w:multiLevelType w:val="hybridMultilevel"/>
    <w:tmpl w:val="9D52EE32"/>
    <w:lvl w:ilvl="0" w:tplc="0CFA48EA">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15:restartNumberingAfterBreak="0">
    <w:nsid w:val="6EC66607"/>
    <w:multiLevelType w:val="hybridMultilevel"/>
    <w:tmpl w:val="0ED8B38A"/>
    <w:lvl w:ilvl="0" w:tplc="DBFE33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270624485">
    <w:abstractNumId w:val="1"/>
  </w:num>
  <w:num w:numId="2" w16cid:durableId="970209640">
    <w:abstractNumId w:val="2"/>
  </w:num>
  <w:num w:numId="3" w16cid:durableId="1827698214">
    <w:abstractNumId w:val="3"/>
  </w:num>
  <w:num w:numId="4" w16cid:durableId="95934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3A"/>
    <w:rsid w:val="00014B0B"/>
    <w:rsid w:val="000612EB"/>
    <w:rsid w:val="00065CB8"/>
    <w:rsid w:val="00083E62"/>
    <w:rsid w:val="0009445D"/>
    <w:rsid w:val="000A7836"/>
    <w:rsid w:val="000B763A"/>
    <w:rsid w:val="000C20D4"/>
    <w:rsid w:val="000E51B5"/>
    <w:rsid w:val="00142164"/>
    <w:rsid w:val="0016009A"/>
    <w:rsid w:val="001B023B"/>
    <w:rsid w:val="001B2868"/>
    <w:rsid w:val="001E49D0"/>
    <w:rsid w:val="0020263E"/>
    <w:rsid w:val="002111A3"/>
    <w:rsid w:val="00211ED6"/>
    <w:rsid w:val="00215C38"/>
    <w:rsid w:val="00274203"/>
    <w:rsid w:val="00301567"/>
    <w:rsid w:val="003151F4"/>
    <w:rsid w:val="00330CFF"/>
    <w:rsid w:val="00395614"/>
    <w:rsid w:val="00442BBF"/>
    <w:rsid w:val="004A1D53"/>
    <w:rsid w:val="004C6997"/>
    <w:rsid w:val="004E109E"/>
    <w:rsid w:val="004E31C6"/>
    <w:rsid w:val="004F64B0"/>
    <w:rsid w:val="00520A76"/>
    <w:rsid w:val="00534076"/>
    <w:rsid w:val="00582913"/>
    <w:rsid w:val="005D72D8"/>
    <w:rsid w:val="00612CD7"/>
    <w:rsid w:val="00636E8E"/>
    <w:rsid w:val="0069225E"/>
    <w:rsid w:val="006A263C"/>
    <w:rsid w:val="006E2F52"/>
    <w:rsid w:val="006F1F93"/>
    <w:rsid w:val="00720A2D"/>
    <w:rsid w:val="007C1263"/>
    <w:rsid w:val="00813E54"/>
    <w:rsid w:val="008178D0"/>
    <w:rsid w:val="00862AF4"/>
    <w:rsid w:val="00881215"/>
    <w:rsid w:val="008A1E16"/>
    <w:rsid w:val="00993A24"/>
    <w:rsid w:val="009B388E"/>
    <w:rsid w:val="009D7B9C"/>
    <w:rsid w:val="00A72A57"/>
    <w:rsid w:val="00A76334"/>
    <w:rsid w:val="00AA275E"/>
    <w:rsid w:val="00AF323E"/>
    <w:rsid w:val="00B70E97"/>
    <w:rsid w:val="00C05D7B"/>
    <w:rsid w:val="00C11770"/>
    <w:rsid w:val="00C454DF"/>
    <w:rsid w:val="00C47259"/>
    <w:rsid w:val="00C519B8"/>
    <w:rsid w:val="00C665FD"/>
    <w:rsid w:val="00D0768D"/>
    <w:rsid w:val="00D23835"/>
    <w:rsid w:val="00D763B7"/>
    <w:rsid w:val="00DA6396"/>
    <w:rsid w:val="00DB6439"/>
    <w:rsid w:val="00DF79D9"/>
    <w:rsid w:val="00E2056D"/>
    <w:rsid w:val="00E262E8"/>
    <w:rsid w:val="00E77D44"/>
    <w:rsid w:val="00E972D4"/>
    <w:rsid w:val="00EA1DBC"/>
    <w:rsid w:val="00EE73D3"/>
    <w:rsid w:val="00F15169"/>
    <w:rsid w:val="00F260EF"/>
    <w:rsid w:val="00F44029"/>
    <w:rsid w:val="00F77CA3"/>
    <w:rsid w:val="00FF17DA"/>
    <w:rsid w:val="00FF48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13B8"/>
  <w15:docId w15:val="{07BF1982-FC3A-40DE-BFF2-89697CD8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763A"/>
    <w:pPr>
      <w:ind w:leftChars="400" w:left="800"/>
    </w:pPr>
  </w:style>
  <w:style w:type="character" w:styleId="a4">
    <w:name w:val="Hyperlink"/>
    <w:basedOn w:val="a0"/>
    <w:uiPriority w:val="99"/>
    <w:unhideWhenUsed/>
    <w:rsid w:val="00C05D7B"/>
    <w:rPr>
      <w:color w:val="0563C1" w:themeColor="hyperlink"/>
      <w:u w:val="single"/>
    </w:rPr>
  </w:style>
  <w:style w:type="character" w:styleId="a5">
    <w:name w:val="Unresolved Mention"/>
    <w:basedOn w:val="a0"/>
    <w:uiPriority w:val="99"/>
    <w:semiHidden/>
    <w:unhideWhenUsed/>
    <w:rsid w:val="00C05D7B"/>
    <w:rPr>
      <w:color w:val="605E5C"/>
      <w:shd w:val="clear" w:color="auto" w:fill="E1DFDD"/>
    </w:rPr>
  </w:style>
  <w:style w:type="character" w:styleId="a6">
    <w:name w:val="Emphasis"/>
    <w:basedOn w:val="a0"/>
    <w:uiPriority w:val="20"/>
    <w:qFormat/>
    <w:rsid w:val="004E109E"/>
    <w:rPr>
      <w:i/>
      <w:iCs/>
    </w:rPr>
  </w:style>
  <w:style w:type="paragraph" w:customStyle="1" w:styleId="p">
    <w:name w:val="p"/>
    <w:basedOn w:val="a"/>
    <w:rsid w:val="000E51B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Normal (Web)"/>
    <w:basedOn w:val="a"/>
    <w:uiPriority w:val="99"/>
    <w:semiHidden/>
    <w:unhideWhenUsed/>
    <w:rsid w:val="000E51B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55159">
      <w:bodyDiv w:val="1"/>
      <w:marLeft w:val="0"/>
      <w:marRight w:val="0"/>
      <w:marTop w:val="0"/>
      <w:marBottom w:val="0"/>
      <w:divBdr>
        <w:top w:val="none" w:sz="0" w:space="0" w:color="auto"/>
        <w:left w:val="none" w:sz="0" w:space="0" w:color="auto"/>
        <w:bottom w:val="none" w:sz="0" w:space="0" w:color="auto"/>
        <w:right w:val="none" w:sz="0" w:space="0" w:color="auto"/>
      </w:divBdr>
    </w:div>
    <w:div w:id="642392702">
      <w:bodyDiv w:val="1"/>
      <w:marLeft w:val="0"/>
      <w:marRight w:val="0"/>
      <w:marTop w:val="0"/>
      <w:marBottom w:val="0"/>
      <w:divBdr>
        <w:top w:val="none" w:sz="0" w:space="0" w:color="auto"/>
        <w:left w:val="none" w:sz="0" w:space="0" w:color="auto"/>
        <w:bottom w:val="none" w:sz="0" w:space="0" w:color="auto"/>
        <w:right w:val="none" w:sz="0" w:space="0" w:color="auto"/>
      </w:divBdr>
    </w:div>
    <w:div w:id="1066612056">
      <w:bodyDiv w:val="1"/>
      <w:marLeft w:val="0"/>
      <w:marRight w:val="0"/>
      <w:marTop w:val="0"/>
      <w:marBottom w:val="0"/>
      <w:divBdr>
        <w:top w:val="none" w:sz="0" w:space="0" w:color="auto"/>
        <w:left w:val="none" w:sz="0" w:space="0" w:color="auto"/>
        <w:bottom w:val="none" w:sz="0" w:space="0" w:color="auto"/>
        <w:right w:val="none" w:sz="0" w:space="0" w:color="auto"/>
      </w:divBdr>
      <w:divsChild>
        <w:div w:id="2046102342">
          <w:marLeft w:val="0"/>
          <w:marRight w:val="0"/>
          <w:marTop w:val="150"/>
          <w:marBottom w:val="150"/>
          <w:divBdr>
            <w:top w:val="none" w:sz="0" w:space="0" w:color="auto"/>
            <w:left w:val="none" w:sz="0" w:space="0" w:color="auto"/>
            <w:bottom w:val="none" w:sz="0" w:space="0" w:color="auto"/>
            <w:right w:val="none" w:sz="0" w:space="0" w:color="auto"/>
          </w:divBdr>
        </w:div>
        <w:div w:id="1987512925">
          <w:marLeft w:val="0"/>
          <w:marRight w:val="0"/>
          <w:marTop w:val="150"/>
          <w:marBottom w:val="150"/>
          <w:divBdr>
            <w:top w:val="none" w:sz="0" w:space="0" w:color="auto"/>
            <w:left w:val="none" w:sz="0" w:space="0" w:color="auto"/>
            <w:bottom w:val="none" w:sz="0" w:space="0" w:color="auto"/>
            <w:right w:val="none" w:sz="0" w:space="0" w:color="auto"/>
          </w:divBdr>
        </w:div>
        <w:div w:id="605579332">
          <w:marLeft w:val="0"/>
          <w:marRight w:val="0"/>
          <w:marTop w:val="150"/>
          <w:marBottom w:val="150"/>
          <w:divBdr>
            <w:top w:val="none" w:sz="0" w:space="0" w:color="auto"/>
            <w:left w:val="none" w:sz="0" w:space="0" w:color="auto"/>
            <w:bottom w:val="none" w:sz="0" w:space="0" w:color="auto"/>
            <w:right w:val="none" w:sz="0" w:space="0" w:color="auto"/>
          </w:divBdr>
        </w:div>
        <w:div w:id="607079204">
          <w:marLeft w:val="0"/>
          <w:marRight w:val="0"/>
          <w:marTop w:val="150"/>
          <w:marBottom w:val="150"/>
          <w:divBdr>
            <w:top w:val="none" w:sz="0" w:space="0" w:color="auto"/>
            <w:left w:val="none" w:sz="0" w:space="0" w:color="auto"/>
            <w:bottom w:val="none" w:sz="0" w:space="0" w:color="auto"/>
            <w:right w:val="none" w:sz="0" w:space="0" w:color="auto"/>
          </w:divBdr>
        </w:div>
        <w:div w:id="1420100245">
          <w:marLeft w:val="0"/>
          <w:marRight w:val="0"/>
          <w:marTop w:val="150"/>
          <w:marBottom w:val="150"/>
          <w:divBdr>
            <w:top w:val="none" w:sz="0" w:space="0" w:color="auto"/>
            <w:left w:val="none" w:sz="0" w:space="0" w:color="auto"/>
            <w:bottom w:val="none" w:sz="0" w:space="0" w:color="auto"/>
            <w:right w:val="none" w:sz="0" w:space="0" w:color="auto"/>
          </w:divBdr>
        </w:div>
        <w:div w:id="664819855">
          <w:marLeft w:val="0"/>
          <w:marRight w:val="0"/>
          <w:marTop w:val="150"/>
          <w:marBottom w:val="150"/>
          <w:divBdr>
            <w:top w:val="none" w:sz="0" w:space="0" w:color="auto"/>
            <w:left w:val="none" w:sz="0" w:space="0" w:color="auto"/>
            <w:bottom w:val="none" w:sz="0" w:space="0" w:color="auto"/>
            <w:right w:val="none" w:sz="0" w:space="0" w:color="auto"/>
          </w:divBdr>
        </w:div>
        <w:div w:id="153188937">
          <w:marLeft w:val="0"/>
          <w:marRight w:val="0"/>
          <w:marTop w:val="150"/>
          <w:marBottom w:val="150"/>
          <w:divBdr>
            <w:top w:val="none" w:sz="0" w:space="0" w:color="auto"/>
            <w:left w:val="none" w:sz="0" w:space="0" w:color="auto"/>
            <w:bottom w:val="none" w:sz="0" w:space="0" w:color="auto"/>
            <w:right w:val="none" w:sz="0" w:space="0" w:color="auto"/>
          </w:divBdr>
        </w:div>
        <w:div w:id="1654026505">
          <w:marLeft w:val="0"/>
          <w:marRight w:val="0"/>
          <w:marTop w:val="150"/>
          <w:marBottom w:val="150"/>
          <w:divBdr>
            <w:top w:val="none" w:sz="0" w:space="0" w:color="auto"/>
            <w:left w:val="none" w:sz="0" w:space="0" w:color="auto"/>
            <w:bottom w:val="none" w:sz="0" w:space="0" w:color="auto"/>
            <w:right w:val="none" w:sz="0" w:space="0" w:color="auto"/>
          </w:divBdr>
        </w:div>
        <w:div w:id="255946764">
          <w:marLeft w:val="0"/>
          <w:marRight w:val="0"/>
          <w:marTop w:val="150"/>
          <w:marBottom w:val="150"/>
          <w:divBdr>
            <w:top w:val="none" w:sz="0" w:space="0" w:color="auto"/>
            <w:left w:val="none" w:sz="0" w:space="0" w:color="auto"/>
            <w:bottom w:val="none" w:sz="0" w:space="0" w:color="auto"/>
            <w:right w:val="none" w:sz="0" w:space="0" w:color="auto"/>
          </w:divBdr>
        </w:div>
        <w:div w:id="377507969">
          <w:marLeft w:val="0"/>
          <w:marRight w:val="0"/>
          <w:marTop w:val="150"/>
          <w:marBottom w:val="150"/>
          <w:divBdr>
            <w:top w:val="none" w:sz="0" w:space="0" w:color="auto"/>
            <w:left w:val="none" w:sz="0" w:space="0" w:color="auto"/>
            <w:bottom w:val="none" w:sz="0" w:space="0" w:color="auto"/>
            <w:right w:val="none" w:sz="0" w:space="0" w:color="auto"/>
          </w:divBdr>
        </w:div>
      </w:divsChild>
    </w:div>
    <w:div w:id="1463770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3330</TotalTime>
  <Pages>2</Pages>
  <Words>604</Words>
  <Characters>3449</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 인아</dc:creator>
  <cp:keywords/>
  <dc:description/>
  <cp:lastModifiedBy>전 인아</cp:lastModifiedBy>
  <cp:revision>25</cp:revision>
  <dcterms:created xsi:type="dcterms:W3CDTF">2022-04-22T04:07:00Z</dcterms:created>
  <dcterms:modified xsi:type="dcterms:W3CDTF">2022-04-28T15:36:00Z</dcterms:modified>
</cp:coreProperties>
</file>