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R: </w:t>
      </w:r>
      <w:r>
        <w:rPr>
          <w:color w:val="000000" w:themeColor="text1"/>
        </w:rPr>
        <w:t xml:space="preserve">Minha bagagem de conhecimento </w:t>
      </w:r>
      <w:r>
        <w:rPr>
          <w:color w:val="000000" w:themeColor="text1"/>
          <w:lang w:val="pt-BR"/>
        </w:rPr>
        <w:t>é mais teórica, mas acredito ser importante avaliar bem o que o cliente quer, pois dependendo da implementação, pode afetar bastante o desempenho da mesma e sempre trabalhando com camadas, pois facilita a manutenção.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</w:t>
      </w:r>
      <w:r>
        <w:rPr/>
        <w:t xml:space="preserve">R: </w:t>
      </w:r>
      <w:r>
        <w:rPr/>
        <w:t>Dividir as responsabilidades, uma boa estruturaç</w:t>
      </w:r>
      <w:r>
        <w:rPr>
          <w:lang w:val="pt-BR"/>
        </w:rPr>
        <w:t>ão.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309</Words>
  <Characters>1582</Characters>
  <CharactersWithSpaces>1859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2023-01-15T15:36:59Z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