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10A5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дифференциальные-и-разностные-уравнения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Дифференциальные и разностные уравнения</w:t>
      </w:r>
    </w:p>
    <w:p w14:paraId="0CFD3661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baba8816081a1a3cdadfd2c6283ff94e66b2815"/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Дифференциальные уравнения 1-го порядка. Теорема о существовании и единственности решения.</w:t>
      </w:r>
    </w:p>
    <w:p w14:paraId="691BCFB3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b6f7be33b9aae7f0299a8541c3c665d6dca21e4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дифференциального уравнения первого порядка</w:t>
      </w:r>
    </w:p>
    <w:p w14:paraId="6AFBE329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Дифференциальное уравнение первого порядка имеет вид:</w:t>
      </w:r>
    </w:p>
    <w:p w14:paraId="5C4693A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</m:oMath>
      </m:oMathPara>
    </w:p>
    <w:p w14:paraId="1A9A6B5F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неизвестная функция,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ее производная.</w:t>
      </w:r>
    </w:p>
    <w:p w14:paraId="2D6D692D" w14:textId="4A148C46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Часто дифференциальное уравнение записывают в явной форме: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</w:p>
    <w:p w14:paraId="5968BD69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" w:name="задача-коши"/>
      <w:bookmarkEnd w:id="2"/>
      <w:r w:rsidRPr="009A3AD6">
        <w:rPr>
          <w:rFonts w:ascii="Times New Roman" w:hAnsi="Times New Roman" w:cs="Times New Roman"/>
          <w:sz w:val="12"/>
          <w:szCs w:val="12"/>
          <w:lang w:val="ru-RU"/>
        </w:rPr>
        <w:t>Задача Коши</w:t>
      </w:r>
    </w:p>
    <w:p w14:paraId="3E60C53C" w14:textId="1329B440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Задача Коши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(начальная задача) для дифференциального уравнения первого порядка заключается в нахождении решения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, удовлетворяющего уравнению и начальному условию: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</m:oMath>
    </w:p>
    <w:p w14:paraId="217B5E26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" w:name="X18bdbb9017fcbc21289a4e6fcac9fc13ba62740"/>
      <w:bookmarkEnd w:id="3"/>
      <w:r w:rsidRPr="009A3AD6">
        <w:rPr>
          <w:rFonts w:ascii="Times New Roman" w:hAnsi="Times New Roman" w:cs="Times New Roman"/>
          <w:sz w:val="12"/>
          <w:szCs w:val="12"/>
          <w:lang w:val="ru-RU"/>
        </w:rPr>
        <w:t>Теорема о существовании и единственности решения</w:t>
      </w:r>
    </w:p>
    <w:p w14:paraId="14D798FF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Пикара (о существовании и единственности решения)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: Пусть функция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и ее частная производная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den>
        </m:f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непрерывны в некоторой области </w:t>
      </w:r>
      <m:oMath>
        <m:r>
          <w:rPr>
            <w:rFonts w:ascii="Cambria Math" w:hAnsi="Cambria Math" w:cs="Times New Roman"/>
            <w:sz w:val="12"/>
            <w:szCs w:val="12"/>
          </w:rPr>
          <m:t>D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содержащей точку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. Тогда существует интервал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в котором определено единственное решение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задачи Коши:</w:t>
      </w:r>
    </w:p>
    <w:p w14:paraId="2E15232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'=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,</m:t>
          </m:r>
          <m:r>
            <w:rPr>
              <w:rFonts w:ascii="Cambria Math" w:hAnsi="Cambria Math" w:cs="Times New Roman"/>
              <w:sz w:val="12"/>
              <w:szCs w:val="12"/>
            </w:rPr>
            <m:t> y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</m:oMath>
      </m:oMathPara>
    </w:p>
    <w:p w14:paraId="7BF2C265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5" w:name="X94cd9cab4deafb1d9f1af6668b75b10f1c42e84"/>
      <w:bookmarkEnd w:id="4"/>
      <w:r w:rsidRPr="009A3AD6">
        <w:rPr>
          <w:rFonts w:ascii="Times New Roman" w:hAnsi="Times New Roman" w:cs="Times New Roman"/>
          <w:sz w:val="12"/>
          <w:szCs w:val="12"/>
          <w:lang w:val="ru-RU"/>
        </w:rPr>
        <w:t>Основные типы дифференциальных уравнений первого порядка</w:t>
      </w:r>
    </w:p>
    <w:p w14:paraId="2B18891D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уравнения-с-разделяющимися-переменными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1. Уравнения с разделяющимися переменными</w:t>
      </w:r>
    </w:p>
    <w:p w14:paraId="273D7A69" w14:textId="661BC1FF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⋅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</w:p>
    <w:p w14:paraId="7C8DE86E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Преобразовать к виду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dy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2. Проинтегрировать обе части: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∫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dy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=∫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C</m:t>
        </m:r>
      </m:oMath>
    </w:p>
    <w:p w14:paraId="6B1ABF71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однородные-уравнения"/>
      <w:bookmarkEnd w:id="6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Однородные уравнения</w:t>
      </w:r>
    </w:p>
    <w:p w14:paraId="3AAD84D0" w14:textId="399E2FA1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den>
            </m:f>
          </m:e>
        </m:d>
      </m:oMath>
    </w:p>
    <w:p w14:paraId="2DCD039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Сделать подстановку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ux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u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новая неизвестная функция 2. Получить уравнение для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</w:rPr>
              <m:t>u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den>
        </m:f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3. Решить полученное уравнение с разделяющимися переменными</w:t>
      </w:r>
    </w:p>
    <w:p w14:paraId="2D0FA481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линейные-уравнения-первого-порядка"/>
      <w:bookmarkEnd w:id="7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Линейные уравнения первого порядка</w:t>
      </w:r>
    </w:p>
    <w:p w14:paraId="02762E31" w14:textId="0CA99442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'+</m:t>
        </m:r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0AD6C6F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Найти интегрирующий множитель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∫</m:t>
            </m:r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dx</m:t>
            </m:r>
          </m:sup>
        </m:sSup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2. Умножить уравнение на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'+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3. Левая часть становится производной произведения: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4. Проинтегрировать: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=∫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C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5. Выразить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∫</m:t>
            </m:r>
            <m:r>
              <w:rPr>
                <w:rFonts w:ascii="Cambria Math" w:hAnsi="Cambria Math" w:cs="Times New Roman"/>
                <w:sz w:val="12"/>
                <w:szCs w:val="1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</m:d>
      </m:oMath>
    </w:p>
    <w:p w14:paraId="6C9C08A3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уравнения-в-полных-дифференциалах"/>
      <w:bookmarkEnd w:id="8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Уравнения в полных дифференциалах</w:t>
      </w:r>
    </w:p>
    <w:p w14:paraId="72FD65AE" w14:textId="5D907284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</w:p>
    <w:p w14:paraId="7E32B5F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Уравнение является уравнением в полных дифференциалах, если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den>
        </m:f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A7B2123" w14:textId="77777777" w:rsidR="00752A7A" w:rsidRPr="00DD3960" w:rsidRDefault="00000000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Найти функцию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такую, что </w:t>
      </w:r>
      <m:oMath>
        <m:r>
          <w:rPr>
            <w:rFonts w:ascii="Cambria Math" w:hAnsi="Cambria Math" w:cs="Times New Roman"/>
            <w:sz w:val="12"/>
            <w:szCs w:val="12"/>
          </w:rPr>
          <m:t>dU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dy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2. Общее решение имеет вид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C</m:t>
        </m:r>
      </m:oMath>
    </w:p>
    <w:p w14:paraId="2DD28A1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6A17DD0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8CF4B6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314E8E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C9DC2F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96DD14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8074043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C33539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1741E81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68989C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12D4A7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1F20E862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8FDDCA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9010ED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24A643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E645394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5B9526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B355C98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96274D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85BD40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DE9BDD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DFE7ED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DB07C6A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999EC98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3C0D120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51190D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7CE12F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AD4A98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7EA40C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869883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F5E4E4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48B3A6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456B1C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1E20AA00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CB466C3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E435B8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93C0062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260A29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C3C42B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8547B9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1834BB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906545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1BEFD5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7FD21B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48AC683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6ED82C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C173CCA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4E926FD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81E0CC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47128A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91A1E6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87BBDA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90DE012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67B11A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1D8C78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E70ED2D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0A68C90" w14:textId="77777777" w:rsidR="009A3AD6" w:rsidRPr="009A3AD6" w:rsidRDefault="009A3AD6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B33147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0" w:name="Xf65da787bd6aa62f699de26703c0d0af45c3ffa"/>
      <w:bookmarkEnd w:id="1"/>
      <w:bookmarkEnd w:id="5"/>
      <w:bookmarkEnd w:id="9"/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Линейные однородные и неоднородные дифференциальные уравнения с постоянными коэффициентами.</w:t>
      </w:r>
    </w:p>
    <w:p w14:paraId="55764A7B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X1dcc0bf315e9986bddaab958b4899cba68fa148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Линейные однородные дифференциальные уравнения (ЛОДУ)</w:t>
      </w:r>
    </w:p>
    <w:p w14:paraId="36143AC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Линейное однородное дифференциальное уравнение </w:t>
      </w:r>
      <w:r w:rsidRPr="009A3AD6">
        <w:rPr>
          <w:rFonts w:ascii="Times New Roman" w:hAnsi="Times New Roman" w:cs="Times New Roman"/>
          <w:sz w:val="12"/>
          <w:szCs w:val="12"/>
        </w:rPr>
        <w:t>n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-го порядка с постоянными коэффициентами имеет вид:</w:t>
      </w:r>
    </w:p>
    <w:p w14:paraId="411FEC4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'+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</m:oMath>
      </m:oMathPara>
    </w:p>
    <w:p w14:paraId="00B8A05D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постоянные коэффициенты,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≠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5ECBC3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2" w:name="Xe8e7f530adc9be2e0fee4c625408562a150a3ac"/>
      <w:r w:rsidRPr="009A3AD6">
        <w:rPr>
          <w:rFonts w:ascii="Times New Roman" w:hAnsi="Times New Roman" w:cs="Times New Roman"/>
          <w:sz w:val="12"/>
          <w:szCs w:val="12"/>
          <w:lang w:val="ru-RU"/>
        </w:rPr>
        <w:t>Метод решения ЛОДУ с постоянными коэффициентами:</w:t>
      </w:r>
    </w:p>
    <w:p w14:paraId="25FD7F2C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Составить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характеристическое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уравнение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>:</w:t>
      </w:r>
    </w:p>
    <w:p w14:paraId="09047D3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</m:oMath>
      </m:oMathPara>
    </w:p>
    <w:p w14:paraId="0C44BD1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Найти корни характеристического уравнения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415E1FC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Составить общее решение в зависимости от типа корней:</w:t>
      </w:r>
    </w:p>
    <w:p w14:paraId="78E9B2B9" w14:textId="1B38FC18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Простые действительные корни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sup>
        </m:sSup>
      </m:oMath>
    </w:p>
    <w:p w14:paraId="387A5CD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Кратные действительные корни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кратности </w:t>
      </w:r>
      <m:oMath>
        <m:r>
          <w:rPr>
            <w:rFonts w:ascii="Cambria Math" w:hAnsi="Cambria Math" w:cs="Times New Roman"/>
            <w:sz w:val="12"/>
            <w:szCs w:val="12"/>
          </w:rPr>
          <m:t>m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9479046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k2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sup>
          </m:sSup>
        </m:oMath>
      </m:oMathPara>
    </w:p>
    <w:p w14:paraId="597698CE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Простые комплексные корни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±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5D10CB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αx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cos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sin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</m:e>
          </m:d>
        </m:oMath>
      </m:oMathPara>
    </w:p>
    <w:p w14:paraId="2FE0FE27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Кратные комплексные корни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±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кратности </w:t>
      </w:r>
      <m:oMath>
        <m:r>
          <w:rPr>
            <w:rFonts w:ascii="Cambria Math" w:hAnsi="Cambria Math" w:cs="Times New Roman"/>
            <w:sz w:val="12"/>
            <w:szCs w:val="12"/>
          </w:rPr>
          <m:t>m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582F0D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αx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naryPr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j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cos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j2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sin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</m:e>
          </m:d>
        </m:oMath>
      </m:oMathPara>
    </w:p>
    <w:p w14:paraId="6B5D42D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Общее решение ЛОДУ является линейной комбинацией фундаментальной системы решений:</w:t>
      </w:r>
    </w:p>
    <w:p w14:paraId="73D90AF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</m:oMath>
      </m:oMathPara>
    </w:p>
    <w:p w14:paraId="6885903F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3" w:name="Xb9daad3672f696fbec2ed05c7e7e96b3ea085d9"/>
      <w:bookmarkEnd w:id="11"/>
      <w:bookmarkEnd w:id="12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Линейные неоднородные дифференциальные уравнения (ЛНДУ)</w:t>
      </w:r>
    </w:p>
    <w:p w14:paraId="66FBB2D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Линейное неоднородное дифференциальное уравнение </w:t>
      </w:r>
      <w:r w:rsidRPr="009A3AD6">
        <w:rPr>
          <w:rFonts w:ascii="Times New Roman" w:hAnsi="Times New Roman" w:cs="Times New Roman"/>
          <w:sz w:val="12"/>
          <w:szCs w:val="12"/>
        </w:rPr>
        <w:t>n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-го порядка с постоянными коэффициентами имеет вид:</w:t>
      </w:r>
    </w:p>
    <w:p w14:paraId="61093999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'+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e>
          </m:d>
        </m:oMath>
      </m:oMathPara>
    </w:p>
    <w:p w14:paraId="39F38BB5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общее-решение-лнду"/>
      <w:r w:rsidRPr="009A3AD6">
        <w:rPr>
          <w:rFonts w:ascii="Times New Roman" w:hAnsi="Times New Roman" w:cs="Times New Roman"/>
          <w:sz w:val="12"/>
          <w:szCs w:val="12"/>
          <w:lang w:val="ru-RU"/>
        </w:rPr>
        <w:t>Общее решение ЛНДУ:</w:t>
      </w:r>
    </w:p>
    <w:p w14:paraId="4F437286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Общее решение ЛНДУ представляется в виде суммы общего решения соответствующего ЛОДУ и частного решения ЛНДУ:</w:t>
      </w:r>
    </w:p>
    <w:p w14:paraId="698D5B5D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12"/>
                  <w:szCs w:val="12"/>
                  <w:lang w:val="ru-RU"/>
                </w:rPr>
                <m:t>одн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12"/>
                  <w:szCs w:val="12"/>
                  <w:lang w:val="ru-RU"/>
                </w:rPr>
                <m:t>част</m:t>
              </m:r>
            </m:sub>
          </m:sSub>
        </m:oMath>
      </m:oMathPara>
    </w:p>
    <w:p w14:paraId="6EF6F312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одн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общее решение соответствующего ЛОДУ,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частное решение ЛНДУ.</w:t>
      </w:r>
    </w:p>
    <w:p w14:paraId="12D7F626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методы-нахождения-частного-решения-лнду"/>
      <w:bookmarkEnd w:id="14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нахождения частного решения ЛНДУ:</w:t>
      </w:r>
    </w:p>
    <w:p w14:paraId="020AC5FB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вариации произвольных постоянных (метод Лагранжа)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259EE2B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Найти общее решение соответствующего ЛОДУ: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одн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</w:p>
    <w:p w14:paraId="7F12EC7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Заменить постоянные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на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1406AA5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Составить систему уравнений для нахождения производных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5EC07622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Найти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интегрированием</w:t>
      </w:r>
    </w:p>
    <w:p w14:paraId="1880E39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Подставить найденные функции в выражение для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</m:oMath>
    </w:p>
    <w:p w14:paraId="23A837FB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неопределенных коэффициентов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(применим, когда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квазиполином):</w:t>
      </w:r>
    </w:p>
    <w:p w14:paraId="0778520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многочлен степени </w:t>
      </w:r>
      <m:oMath>
        <m:r>
          <w:rPr>
            <w:rFonts w:ascii="Cambria Math" w:hAnsi="Cambria Math" w:cs="Times New Roman"/>
            <w:sz w:val="12"/>
            <w:szCs w:val="12"/>
          </w:rPr>
          <m:t>m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DEFB91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не является корнем характеристического уравнения,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</m:oMath>
    </w:p>
    <w:p w14:paraId="609BE245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корнем характеристического уравнения кратности </w:t>
      </w:r>
      <m:oMath>
        <m:r>
          <w:rPr>
            <w:rFonts w:ascii="Cambria Math" w:hAnsi="Cambria Math" w:cs="Times New Roman"/>
            <w:sz w:val="12"/>
            <w:szCs w:val="12"/>
          </w:rPr>
          <m:t>k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</m:oMath>
    </w:p>
    <w:p w14:paraId="57445F2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cos</m:t>
        </m:r>
        <m:r>
          <w:rPr>
            <w:rFonts w:ascii="Cambria Math" w:hAnsi="Cambria Math" w:cs="Times New Roman"/>
            <w:sz w:val="12"/>
            <w:szCs w:val="12"/>
          </w:rPr>
          <m:t>βx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sin</m:t>
        </m:r>
        <m:r>
          <w:rPr>
            <w:rFonts w:ascii="Cambria Math" w:hAnsi="Cambria Math" w:cs="Times New Roman"/>
            <w:sz w:val="12"/>
            <w:szCs w:val="12"/>
          </w:rPr>
          <m:t>βx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502950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не является корнем характеристического уравнения,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cos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sin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</m:e>
        </m:d>
      </m:oMath>
    </w:p>
    <w:p w14:paraId="7F1C538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корнем характеристического уравнения кратности </w:t>
      </w:r>
      <m:oMath>
        <m:r>
          <w:rPr>
            <w:rFonts w:ascii="Cambria Math" w:hAnsi="Cambria Math" w:cs="Times New Roman"/>
            <w:sz w:val="12"/>
            <w:szCs w:val="12"/>
          </w:rPr>
          <m:t>k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cos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sin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</m:e>
        </m:d>
      </m:oMath>
    </w:p>
    <w:p w14:paraId="7CBC88F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многочлены с неопределенными коэффициентами той же степени, что 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7DED3AD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6" w:name="разностные-уравнения"/>
      <w:bookmarkEnd w:id="13"/>
      <w:bookmarkEnd w:id="15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Разностные уравнения</w:t>
      </w:r>
    </w:p>
    <w:p w14:paraId="6A6B885C" w14:textId="6C11AC1A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Разностное уравнение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- 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это</w:t>
      </w:r>
      <w:proofErr w:type="gramEnd"/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уравнение, связывающее значения неизвестной функции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для различных значений аргумента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A3AD6">
        <w:rPr>
          <w:rFonts w:ascii="Times New Roman" w:hAnsi="Times New Roman" w:cs="Times New Roman"/>
          <w:sz w:val="12"/>
          <w:szCs w:val="12"/>
        </w:rPr>
        <w:t>n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A5B1C92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Линейное разностное уравнение </w:t>
      </w:r>
      <m:oMath>
        <m:r>
          <w:rPr>
            <w:rFonts w:ascii="Cambria Math" w:hAnsi="Cambria Math" w:cs="Times New Roman"/>
            <w:sz w:val="12"/>
            <w:szCs w:val="12"/>
          </w:rPr>
          <m:t>k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-го порядка с постоянными коэффициентами имеет вид:</w:t>
      </w:r>
    </w:p>
    <w:p w14:paraId="5463DD2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e>
          </m:d>
        </m:oMath>
      </m:oMathPara>
    </w:p>
    <w:p w14:paraId="1627683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Методы решения разностных уравнений аналогичны методам решения дифференциальных уравнений: 1. Составление характеристического уравнения 2. Нахождение общего решения однородного уравнения 3. Нахождение частного решения неоднородного уравнения 4.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Суммирование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общего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решения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однородного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уравнения и частного решения неоднородного уравнения</w:t>
      </w:r>
      <w:bookmarkEnd w:id="0"/>
      <w:bookmarkEnd w:id="10"/>
      <w:bookmarkEnd w:id="16"/>
    </w:p>
    <w:sectPr w:rsidR="00752A7A" w:rsidRPr="009A3AD6" w:rsidSect="009A3AD6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CDC7B" w14:textId="77777777" w:rsidR="00803847" w:rsidRDefault="00803847">
      <w:pPr>
        <w:spacing w:after="0"/>
      </w:pPr>
      <w:r>
        <w:separator/>
      </w:r>
    </w:p>
  </w:endnote>
  <w:endnote w:type="continuationSeparator" w:id="0">
    <w:p w14:paraId="5BAF7440" w14:textId="77777777" w:rsidR="00803847" w:rsidRDefault="008038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04BD" w14:textId="77777777" w:rsidR="00803847" w:rsidRDefault="00803847">
      <w:r>
        <w:separator/>
      </w:r>
    </w:p>
  </w:footnote>
  <w:footnote w:type="continuationSeparator" w:id="0">
    <w:p w14:paraId="2DA62135" w14:textId="77777777" w:rsidR="00803847" w:rsidRDefault="0080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CCA9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B049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49474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6F407EE2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892348110">
    <w:abstractNumId w:val="0"/>
  </w:num>
  <w:num w:numId="2" w16cid:durableId="795834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554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7264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2800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2031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0514660">
    <w:abstractNumId w:val="1"/>
  </w:num>
  <w:num w:numId="8" w16cid:durableId="104572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A7A"/>
    <w:rsid w:val="002821A8"/>
    <w:rsid w:val="00752A7A"/>
    <w:rsid w:val="00803847"/>
    <w:rsid w:val="009A3AD6"/>
    <w:rsid w:val="00C73DC7"/>
    <w:rsid w:val="00D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2E866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Placeholder Text"/>
    <w:basedOn w:val="a1"/>
    <w:rsid w:val="009A3A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2025-05-13T15:43:00Z</dcterms:created>
  <dcterms:modified xsi:type="dcterms:W3CDTF">2025-05-13T16:09:00Z</dcterms:modified>
</cp:coreProperties>
</file>