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Набрать, приведенный в документе, 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2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1"/>
          <w:numId w:val="1002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1"/>
          <w:numId w:val="1002"/>
        </w:numPr>
        <w:pStyle w:val="Compact"/>
      </w:pPr>
      <w:r>
        <w:t xml:space="preserve">Выделить область текста (C-space).</w:t>
      </w:r>
    </w:p>
    <w:p>
      <w:pPr>
        <w:numPr>
          <w:ilvl w:val="1"/>
          <w:numId w:val="1002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1"/>
          <w:numId w:val="1002"/>
        </w:numPr>
        <w:pStyle w:val="Compact"/>
      </w:pPr>
      <w:r>
        <w:t xml:space="preserve">Вставить область в конец файла.</w:t>
      </w:r>
    </w:p>
    <w:p>
      <w:pPr>
        <w:numPr>
          <w:ilvl w:val="1"/>
          <w:numId w:val="1002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2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Научится использовать команды по перемещению курсора.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начало строки (C-a).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конец строки (C-e).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начало буфера (M-&lt;).</w:t>
      </w:r>
    </w:p>
    <w:p>
      <w:pPr>
        <w:numPr>
          <w:ilvl w:val="1"/>
          <w:numId w:val="1003"/>
        </w:numPr>
        <w:pStyle w:val="Compact"/>
      </w:pPr>
      <w:r>
        <w:t xml:space="preserve">Переместить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</w:p>
    <w:p>
      <w:pPr>
        <w:numPr>
          <w:ilvl w:val="1"/>
          <w:numId w:val="1004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1"/>
          <w:numId w:val="1004"/>
        </w:numPr>
        <w:pStyle w:val="Compact"/>
      </w:pPr>
      <w:r>
        <w:t xml:space="preserve">Переместиться во вновь открытое окно (C-x) o со списком открытых буферов и переключитесь на другой буфер.</w:t>
      </w:r>
    </w:p>
    <w:p>
      <w:pPr>
        <w:numPr>
          <w:ilvl w:val="1"/>
          <w:numId w:val="1004"/>
        </w:numPr>
        <w:pStyle w:val="Compact"/>
      </w:pPr>
      <w:r>
        <w:t xml:space="preserve">Закрыть это окно (C-x 0).</w:t>
      </w:r>
    </w:p>
    <w:p>
      <w:pPr>
        <w:numPr>
          <w:ilvl w:val="1"/>
          <w:numId w:val="1004"/>
        </w:numPr>
        <w:pStyle w:val="Compact"/>
      </w:pPr>
      <w:r>
        <w:t xml:space="preserve">Теперь вновь переключиться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</w:p>
    <w:p>
      <w:pPr>
        <w:numPr>
          <w:ilvl w:val="1"/>
          <w:numId w:val="1005"/>
        </w:numPr>
        <w:pStyle w:val="Compact"/>
      </w:pPr>
      <w:r>
        <w:t xml:space="preserve">Поделить фрейм на 4 части: разделить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numPr>
          <w:ilvl w:val="1"/>
          <w:numId w:val="1005"/>
        </w:numPr>
        <w:pStyle w:val="Compact"/>
      </w:pPr>
      <w:r>
        <w:t xml:space="preserve">В каждом из четырёх созданных окон открыть новый буфер (файл) и ввести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</w:p>
    <w:p>
      <w:pPr>
        <w:numPr>
          <w:ilvl w:val="1"/>
          <w:numId w:val="1006"/>
        </w:numPr>
        <w:pStyle w:val="Compact"/>
      </w:pPr>
      <w:r>
        <w:t xml:space="preserve">Переключиться в режим поиска (C-s) и найти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1"/>
          <w:numId w:val="1006"/>
        </w:numPr>
        <w:pStyle w:val="Compact"/>
      </w:pPr>
      <w:r>
        <w:t xml:space="preserve">Переключитесь между результатами поиска, нажимая C-s.</w:t>
      </w:r>
    </w:p>
    <w:p>
      <w:pPr>
        <w:numPr>
          <w:ilvl w:val="1"/>
          <w:numId w:val="1006"/>
        </w:numPr>
        <w:pStyle w:val="Compact"/>
      </w:pPr>
      <w:r>
        <w:t xml:space="preserve">Выйти из режима поиска, нажав C-g.</w:t>
      </w:r>
    </w:p>
    <w:p>
      <w:pPr>
        <w:numPr>
          <w:ilvl w:val="1"/>
          <w:numId w:val="1006"/>
        </w:numPr>
        <w:pStyle w:val="Compact"/>
      </w:pPr>
      <w:r>
        <w:t xml:space="preserve">Перейти в режим поиска и замены (M-%), ввести текст, который следует найти</w:t>
      </w:r>
      <w:r>
        <w:t xml:space="preserve"> </w:t>
      </w:r>
      <w:r>
        <w:t xml:space="preserve">и заменить, нажмите Enter , затем ввести текст для замены. После того как будут</w:t>
      </w:r>
      <w:r>
        <w:t xml:space="preserve"> </w:t>
      </w:r>
      <w:r>
        <w:t xml:space="preserve">подсвечены результаты поиска, нажать ! для подтверждения замены.</w:t>
      </w:r>
    </w:p>
    <w:p>
      <w:pPr>
        <w:numPr>
          <w:ilvl w:val="1"/>
          <w:numId w:val="1006"/>
        </w:numPr>
        <w:pStyle w:val="Compact"/>
      </w:pPr>
      <w:r>
        <w:t xml:space="preserve">Испробовать другой режим поиска, нажав M-s o. Объяснить,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98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Открыл emacs. (рис. 1)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Рис. 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Создал файл lab07.sh с помощью комбинации Ctrl-x Ctrl-f. Затем я ввел, приведенный в документе, текст.(рис. 2)</w:t>
      </w:r>
    </w:p>
    <w:p>
      <w:pPr>
        <w:pStyle w:val="CaptionedFigure"/>
      </w:pPr>
      <w:bookmarkStart w:id="29" w:name="fig:002"/>
      <w:r>
        <w:drawing>
          <wp:inline>
            <wp:extent cx="2400300" cy="2197100"/>
            <wp:effectExtent b="0" l="0" r="0" t="0"/>
            <wp:docPr descr="Рис. 2: Создание файла и введение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и введение текста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Сохранил файл.(рис. 3)</w:t>
      </w:r>
    </w:p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Рис. 3: сохране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Вырезал одной командой целую строку.(рис. 4)</w:t>
      </w:r>
    </w:p>
    <w:p>
      <w:pPr>
        <w:pStyle w:val="CaptionedFigure"/>
      </w:pPr>
      <w:bookmarkStart w:id="37" w:name="fig:004"/>
      <w:r>
        <w:drawing>
          <wp:inline>
            <wp:extent cx="2679700" cy="2032000"/>
            <wp:effectExtent b="0" l="0" r="0" t="0"/>
            <wp:docPr descr="Рис. 4: 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Вырезание строки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Вставил эту строку в конец файла.(рис. 5)</w:t>
      </w:r>
    </w:p>
    <w:p>
      <w:pPr>
        <w:pStyle w:val="CaptionedFigure"/>
      </w:pPr>
      <w:bookmarkStart w:id="41" w:name="fig:005"/>
      <w:r>
        <w:drawing>
          <wp:inline>
            <wp:extent cx="3683000" cy="2463800"/>
            <wp:effectExtent b="0" l="0" r="0" t="0"/>
            <wp:docPr descr="Рис. 5: вставка строк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вставка строки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Выделил область текста, скопировал область в буфер обмена и вставил его в конец файла. (рис. 6)</w:t>
      </w:r>
    </w:p>
    <w:p>
      <w:pPr>
        <w:pStyle w:val="CaptionedFigure"/>
      </w:pPr>
      <w:bookmarkStart w:id="45" w:name="fig:006"/>
      <w:r>
        <w:drawing>
          <wp:inline>
            <wp:extent cx="2768600" cy="2717800"/>
            <wp:effectExtent b="0" l="0" r="0" t="0"/>
            <wp:docPr descr="Рис. 6: Копирование и вставка текста в конец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Копирование и вставка текста в конец файла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Вновь выделил эту область и вырезал ее.(рис. 7)</w:t>
      </w:r>
    </w:p>
    <w:p>
      <w:pPr>
        <w:pStyle w:val="CaptionedFigure"/>
      </w:pPr>
      <w:bookmarkStart w:id="49" w:name="fig:007"/>
      <w:r>
        <w:drawing>
          <wp:inline>
            <wp:extent cx="2514600" cy="2679700"/>
            <wp:effectExtent b="0" l="0" r="0" t="0"/>
            <wp:docPr descr="Рис. 7: Выделение и вырезка текс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Выделение и вырезка текста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Отменил последнее действие.(рис. 8)</w:t>
      </w:r>
    </w:p>
    <w:p>
      <w:pPr>
        <w:pStyle w:val="CaptionedFigure"/>
      </w:pPr>
      <w:bookmarkStart w:id="53" w:name="fig:008"/>
      <w:r>
        <w:drawing>
          <wp:inline>
            <wp:extent cx="3149600" cy="2692400"/>
            <wp:effectExtent b="0" l="0" r="0" t="0"/>
            <wp:docPr descr="Рис. 8: Отмена последнего действ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Отмена последнего действия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Переместил курсор в начало строки (С-а).(рис. 9)</w:t>
      </w:r>
    </w:p>
    <w:p>
      <w:pPr>
        <w:pStyle w:val="CaptionedFigure"/>
      </w:pPr>
      <w:bookmarkStart w:id="57" w:name="fig:009"/>
      <w:r>
        <w:drawing>
          <wp:inline>
            <wp:extent cx="2806700" cy="2489200"/>
            <wp:effectExtent b="0" l="0" r="0" t="0"/>
            <wp:docPr descr="Рис. 9: Перемещение курсора в начало строк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Перемещение курсора в начало строки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Переместил курсор в конец строки. (рис. 10)</w:t>
      </w:r>
    </w:p>
    <w:p>
      <w:pPr>
        <w:pStyle w:val="CaptionedFigure"/>
      </w:pPr>
      <w:bookmarkStart w:id="61" w:name="fig:010"/>
      <w:r>
        <w:drawing>
          <wp:inline>
            <wp:extent cx="3187700" cy="2667000"/>
            <wp:effectExtent b="0" l="0" r="0" t="0"/>
            <wp:docPr descr="Рис. 10: Перемещение курсора в конец строк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Перемещение курсора в конец строки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Переместил курсор в начало буфера.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Переместить курсор в конец буфера.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Вывел список активных буферов на экран.(рис. 11)</w:t>
      </w:r>
    </w:p>
    <w:p>
      <w:pPr>
        <w:pStyle w:val="CaptionedFigure"/>
      </w:pPr>
      <w:bookmarkStart w:id="65" w:name="fig:011"/>
      <w:r>
        <w:drawing>
          <wp:inline>
            <wp:extent cx="5334000" cy="3000375"/>
            <wp:effectExtent b="0" l="0" r="0" t="0"/>
            <wp:docPr descr="Рис. 11: Активные буфер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Активные буферы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Переместился во вновь открытое окно со списком открытых буферов и переключился на другой буфер. (рис. 12)</w:t>
      </w:r>
    </w:p>
    <w:p>
      <w:pPr>
        <w:pStyle w:val="CaptionedFigure"/>
      </w:pPr>
      <w:bookmarkStart w:id="69" w:name="fig:012"/>
      <w:r>
        <w:drawing>
          <wp:inline>
            <wp:extent cx="5334000" cy="3000375"/>
            <wp:effectExtent b="0" l="0" r="0" t="0"/>
            <wp:docPr descr="Рис. 12: Переключение на другой буфер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Переключение на другой буфер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Закрыл это окно. (рис. 13)</w:t>
      </w:r>
    </w:p>
    <w:p>
      <w:pPr>
        <w:pStyle w:val="CaptionedFigure"/>
      </w:pPr>
      <w:bookmarkStart w:id="73" w:name="fig:013"/>
      <w:r>
        <w:drawing>
          <wp:inline>
            <wp:extent cx="5334000" cy="3000375"/>
            <wp:effectExtent b="0" l="0" r="0" t="0"/>
            <wp:docPr descr="Рис. 13: Закрытие окн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Закрытие окна</w:t>
      </w:r>
    </w:p>
    <w:p>
      <w:pPr>
        <w:pStyle w:val="BodyText"/>
      </w:pPr>
      <w:r>
        <w:rPr>
          <w:bCs/>
          <w:b/>
        </w:rPr>
        <w:t xml:space="preserve">16.</w:t>
      </w:r>
      <w:r>
        <w:t xml:space="preserve"> </w:t>
      </w:r>
      <w:r>
        <w:t xml:space="preserve">Переключился на другой буфер, но уже без вывода их списка на экран.(рис. 14)</w:t>
      </w:r>
    </w:p>
    <w:p>
      <w:pPr>
        <w:pStyle w:val="CaptionedFigure"/>
      </w:pPr>
      <w:bookmarkStart w:id="77" w:name="fig:014"/>
      <w:r>
        <w:drawing>
          <wp:inline>
            <wp:extent cx="5334000" cy="3000375"/>
            <wp:effectExtent b="0" l="0" r="0" t="0"/>
            <wp:docPr descr="Рис. 14: Переключение на другой буфер без вывода списк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Переключение на другой буфер без вывода списка</w:t>
      </w:r>
    </w:p>
    <w:p>
      <w:pPr>
        <w:pStyle w:val="BodyText"/>
      </w:pPr>
      <w:r>
        <w:rPr>
          <w:bCs/>
          <w:b/>
        </w:rPr>
        <w:t xml:space="preserve">17.</w:t>
      </w:r>
      <w:r>
        <w:t xml:space="preserve"> </w:t>
      </w:r>
      <w:r>
        <w:t xml:space="preserve">Поделил фрейм на 4 части: разделил фрейм на два окна по вертикали, а затем каждое из этих окон на две части по горизонтали.(рис. 15)</w:t>
      </w:r>
    </w:p>
    <w:p>
      <w:pPr>
        <w:pStyle w:val="CaptionedFigure"/>
      </w:pPr>
      <w:bookmarkStart w:id="81" w:name="fig:015"/>
      <w:r>
        <w:drawing>
          <wp:inline>
            <wp:extent cx="5334000" cy="3000375"/>
            <wp:effectExtent b="0" l="0" r="0" t="0"/>
            <wp:docPr descr="Рис. 15: Деление фрейма на 4 части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Деление фрейма на 4 части</w:t>
      </w:r>
    </w:p>
    <w:p>
      <w:pPr>
        <w:pStyle w:val="BodyText"/>
      </w:pPr>
      <w:r>
        <w:rPr>
          <w:bCs/>
          <w:b/>
        </w:rPr>
        <w:t xml:space="preserve">18.</w:t>
      </w:r>
      <w:r>
        <w:t xml:space="preserve"> </w:t>
      </w:r>
      <w:r>
        <w:t xml:space="preserve">В каждом из четырёх созданных окон открыл новый буфер (файл) и ввел рандомные буквы.(рис. 16)</w:t>
      </w:r>
    </w:p>
    <w:p>
      <w:pPr>
        <w:pStyle w:val="CaptionedFigure"/>
      </w:pPr>
      <w:bookmarkStart w:id="85" w:name="fig:016"/>
      <w:r>
        <w:drawing>
          <wp:inline>
            <wp:extent cx="5334000" cy="3000375"/>
            <wp:effectExtent b="0" l="0" r="0" t="0"/>
            <wp:docPr descr="Рис. 16: Введение текста в 4 окнах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Введение текста в 4 окнах</w:t>
      </w:r>
    </w:p>
    <w:p>
      <w:pPr>
        <w:pStyle w:val="BodyText"/>
      </w:pPr>
      <w:r>
        <w:rPr>
          <w:bCs/>
          <w:b/>
        </w:rPr>
        <w:t xml:space="preserve">19.</w:t>
      </w:r>
      <w:r>
        <w:t xml:space="preserve"> </w:t>
      </w:r>
      <w:r>
        <w:t xml:space="preserve">Переключился в режим поиска и нашел слово</w:t>
      </w:r>
      <w:r>
        <w:t xml:space="preserve"> </w:t>
      </w:r>
      <w:r>
        <w:rPr>
          <w:iCs/>
          <w:i/>
        </w:rPr>
        <w:t xml:space="preserve">hello</w:t>
      </w:r>
      <w:r>
        <w:t xml:space="preserve">.(рис. 17)</w:t>
      </w:r>
    </w:p>
    <w:p>
      <w:pPr>
        <w:pStyle w:val="CaptionedFigure"/>
      </w:pPr>
      <w:bookmarkStart w:id="89" w:name="fig:017"/>
      <w:r>
        <w:drawing>
          <wp:inline>
            <wp:extent cx="5334000" cy="3000375"/>
            <wp:effectExtent b="0" l="0" r="0" t="0"/>
            <wp:docPr descr="Рис. 17: Поиск слов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Поиск слова</w:t>
      </w:r>
    </w:p>
    <w:p>
      <w:pPr>
        <w:pStyle w:val="BodyText"/>
      </w:pPr>
      <w:r>
        <w:rPr>
          <w:bCs/>
          <w:b/>
        </w:rPr>
        <w:t xml:space="preserve">20.</w:t>
      </w:r>
      <w:r>
        <w:t xml:space="preserve"> </w:t>
      </w:r>
      <w:r>
        <w:t xml:space="preserve">Переключился между результатами поиска. (рис. 18)</w:t>
      </w:r>
    </w:p>
    <w:p>
      <w:pPr>
        <w:pStyle w:val="CaptionedFigure"/>
      </w:pPr>
      <w:bookmarkStart w:id="93" w:name="fig:018"/>
      <w:r>
        <w:drawing>
          <wp:inline>
            <wp:extent cx="3505200" cy="3073400"/>
            <wp:effectExtent b="0" l="0" r="0" t="0"/>
            <wp:docPr descr="Рис. 18: Переключение между результатами поиск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Переключение между результатами поиска</w:t>
      </w:r>
    </w:p>
    <w:p>
      <w:pPr>
        <w:pStyle w:val="BodyText"/>
      </w:pPr>
      <w:r>
        <w:rPr>
          <w:bCs/>
          <w:b/>
        </w:rPr>
        <w:t xml:space="preserve">21.</w:t>
      </w:r>
      <w:r>
        <w:t xml:space="preserve"> </w:t>
      </w:r>
      <w:r>
        <w:t xml:space="preserve">Испробовал другой режим поиска, нажав M-s o. (рис. 19)</w:t>
      </w:r>
    </w:p>
    <w:p>
      <w:pPr>
        <w:pStyle w:val="CaptionedFigure"/>
      </w:pPr>
      <w:bookmarkStart w:id="97" w:name="fig:019"/>
      <w:r>
        <w:drawing>
          <wp:inline>
            <wp:extent cx="5334000" cy="3000375"/>
            <wp:effectExtent b="0" l="0" r="0" t="0"/>
            <wp:docPr descr="Рис. 19: 2 способ поиска сл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2 способ поиска слов</w:t>
      </w:r>
    </w:p>
    <w:bookmarkEnd w:id="98"/>
    <w:bookmarkStart w:id="9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получили базовые навыки использования emacs.</w:t>
      </w:r>
    </w:p>
    <w:bookmarkEnd w:id="99"/>
    <w:bookmarkStart w:id="100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7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Esc.</w:t>
      </w:r>
    </w:p>
    <w:p>
      <w:pPr>
        <w:numPr>
          <w:ilvl w:val="0"/>
          <w:numId w:val="1007"/>
        </w:numPr>
      </w:pPr>
      <w:r>
        <w:t xml:space="preserve"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07"/>
        </w:numPr>
      </w:pPr>
      <w:r>
        <w:t xml:space="preserve">Можно открыть больше 10 буферов в одном окне.</w:t>
      </w:r>
    </w:p>
    <w:p>
      <w:pPr>
        <w:numPr>
          <w:ilvl w:val="0"/>
          <w:numId w:val="1007"/>
        </w:numPr>
      </w:pPr>
      <w:r>
        <w:t xml:space="preserve">Только что запущенный Emacs несет один буфер с именем `</w:t>
      </w:r>
      <w:r>
        <w:rPr>
          <w:iCs/>
          <w:i/>
        </w:rPr>
        <w:t xml:space="preserve">scratch</w:t>
      </w:r>
      <w:r>
        <w:t xml:space="preserve">’, который может быть использован для вычисления выражений Лиспа в Emacs.</w:t>
      </w:r>
    </w:p>
    <w:p>
      <w:pPr>
        <w:numPr>
          <w:ilvl w:val="0"/>
          <w:numId w:val="1007"/>
        </w:numPr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07"/>
        </w:numPr>
      </w:pPr>
      <w:r>
        <w:t xml:space="preserve">Разделить фрейм на два окна по вертикали (C-x 3),а по горизонтали (C-x 2) .</w:t>
      </w:r>
    </w:p>
    <w:p>
      <w:pPr>
        <w:numPr>
          <w:ilvl w:val="0"/>
          <w:numId w:val="1007"/>
        </w:numPr>
      </w:pPr>
      <w:r>
        <w:t xml:space="preserve">В файле Emacs хранятся настройки редактора.</w:t>
      </w:r>
    </w:p>
    <w:p>
      <w:pPr>
        <w:numPr>
          <w:ilvl w:val="0"/>
          <w:numId w:val="1007"/>
        </w:numPr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07"/>
        </w:numPr>
      </w:pPr>
      <w:r>
        <w:t xml:space="preserve">Редактор Emacs мне показался удобнее, так как в нем больше возможностей по сравнению с vi.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Мажитов Магомед Асхабович</dc:creator>
  <dc:language>ru-RU</dc:language>
  <cp:keywords/>
  <dcterms:created xsi:type="dcterms:W3CDTF">2022-05-12T11:49:08Z</dcterms:created>
  <dcterms:modified xsi:type="dcterms:W3CDTF">2022-05-12T11:49:08Z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