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4.png" ContentType="image/png"/>
  <Override PartName="/word/media/rId26.png" ContentType="image/png"/>
  <Override PartName="/word/media/rId31.png" ContentType="image/png"/>
  <Override PartName="/word/media/rId36.png" ContentType="image/png"/>
  <Override PartName="/word/media/rId41.png" ContentType="image/png"/>
  <Override PartName="/word/media/rId46.png" ContentType="image/png"/>
  <Override PartName="/word/media/rId51.png" ContentType="image/png"/>
  <Override PartName="/word/media/rId56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№2</w:t>
      </w:r>
      <w:r>
        <w:br/>
      </w:r>
      <w:r>
        <w:t xml:space="preserve">Информационная безопасность</w:t>
      </w:r>
    </w:p>
    <w:p>
      <w:pPr>
        <w:pStyle w:val="Subtitle"/>
      </w:pPr>
      <w:r>
        <w:t xml:space="preserve">Дискреционное разграничение прав в Linux. Основные атрибуты.</w:t>
      </w:r>
    </w:p>
    <w:p>
      <w:pPr>
        <w:pStyle w:val="Author"/>
      </w:pPr>
      <w:r>
        <w:t xml:space="preserve">Кармацкий Никита Сергеевич,</w:t>
      </w:r>
      <w:r>
        <w:br/>
      </w:r>
      <w:r>
        <w:t xml:space="preserve">НФИбд-01-21, 1032210061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</w:t>
      </w:r>
    </w:p>
    <w:bookmarkEnd w:id="20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5" w:name="X28f0a50c3fe88e31b46aff3dc74b8b1b5df9e87"/>
    <w:p>
      <w:pPr>
        <w:pStyle w:val="Heading3"/>
      </w:pPr>
      <w:r>
        <w:rPr>
          <w:rStyle w:val="SectionNumber"/>
        </w:rPr>
        <w:t xml:space="preserve">2.0.1</w:t>
      </w:r>
      <w:r>
        <w:tab/>
      </w:r>
      <w:r>
        <w:t xml:space="preserve">1. В установленной при выполнении предыдущей лабораторной работы операционной системе создаем учётную запись пользователя guest</w:t>
      </w:r>
    </w:p>
    <w:bookmarkStart w:id="24" w:name="fig:001"/>
    <w:p>
      <w:pPr>
        <w:pStyle w:val="CaptionedFigure"/>
      </w:pPr>
      <w:r>
        <w:drawing>
          <wp:inline>
            <wp:extent cx="3695700" cy="774700"/>
            <wp:effectExtent b="0" l="0" r="0" t="0"/>
            <wp:docPr descr="Рис. 1: (рис. 1. Новый пользователь guest)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(рис. 1. Новый пользователь guest)</w:t>
      </w:r>
    </w:p>
    <w:bookmarkEnd w:id="24"/>
    <w:bookmarkEnd w:id="25"/>
    <w:bookmarkStart w:id="30" w:name="зададим-пароль-пользователя-guest"/>
    <w:p>
      <w:pPr>
        <w:pStyle w:val="Heading3"/>
      </w:pPr>
      <w:r>
        <w:rPr>
          <w:rStyle w:val="SectionNumber"/>
        </w:rPr>
        <w:t xml:space="preserve">2.0.2</w:t>
      </w:r>
      <w:r>
        <w:tab/>
      </w:r>
      <w:r>
        <w:t xml:space="preserve">2. Зададим пароль пользователя guest</w:t>
      </w:r>
    </w:p>
    <w:bookmarkStart w:id="29" w:name="fig:002"/>
    <w:p>
      <w:pPr>
        <w:pStyle w:val="CaptionedFigure"/>
      </w:pPr>
      <w:r>
        <w:drawing>
          <wp:inline>
            <wp:extent cx="5334000" cy="2055193"/>
            <wp:effectExtent b="0" l="0" r="0" t="0"/>
            <wp:docPr descr="Рис. 2: (рис. 2. Установка пароля для пользовател guest)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5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(рис. 2. Установка пароля для пользовател guest)</w:t>
      </w:r>
    </w:p>
    <w:bookmarkEnd w:id="29"/>
    <w:bookmarkEnd w:id="30"/>
    <w:bookmarkStart w:id="35" w:name="Xa8027b9779155d85aafd2529739336b98c38eb3"/>
    <w:p>
      <w:pPr>
        <w:pStyle w:val="Heading3"/>
      </w:pPr>
      <w:r>
        <w:rPr>
          <w:rStyle w:val="SectionNumber"/>
        </w:rPr>
        <w:t xml:space="preserve">2.0.3</w:t>
      </w:r>
      <w:r>
        <w:tab/>
      </w:r>
      <w:r>
        <w:t xml:space="preserve">3. Войдем в систему от имени пользователя guest</w:t>
      </w:r>
    </w:p>
    <w:bookmarkStart w:id="34" w:name="fig:003"/>
    <w:p>
      <w:pPr>
        <w:pStyle w:val="CaptionedFigure"/>
      </w:pPr>
      <w:r>
        <w:drawing>
          <wp:inline>
            <wp:extent cx="4953000" cy="2451100"/>
            <wp:effectExtent b="0" l="0" r="0" t="0"/>
            <wp:docPr descr="Рис. 3: (рис. 3. Вход в систему под новым пользователем)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(рис. 3. Вход в систему под новым пользователем)</w:t>
      </w:r>
    </w:p>
    <w:bookmarkEnd w:id="34"/>
    <w:bookmarkEnd w:id="35"/>
    <w:bookmarkStart w:id="40" w:name="X77adf72e7a191dce3a251b9631a4b354b3df3bb"/>
    <w:p>
      <w:pPr>
        <w:pStyle w:val="Heading3"/>
      </w:pPr>
      <w:r>
        <w:rPr>
          <w:rStyle w:val="SectionNumber"/>
        </w:rPr>
        <w:t xml:space="preserve">2.0.4</w:t>
      </w:r>
      <w:r>
        <w:tab/>
      </w:r>
      <w:r>
        <w:t xml:space="preserve">4. Определим директорию, в которой мы находимся с помощью команды pwd. Сравним и определим является ли она нашей домашней директорией</w:t>
      </w:r>
    </w:p>
    <w:bookmarkStart w:id="39" w:name="fig:004"/>
    <w:p>
      <w:pPr>
        <w:pStyle w:val="CaptionedFigure"/>
      </w:pPr>
      <w:r>
        <w:drawing>
          <wp:inline>
            <wp:extent cx="5334000" cy="1818967"/>
            <wp:effectExtent b="0" l="0" r="0" t="0"/>
            <wp:docPr descr="Рис. 4: (рис. 4. Определение директории)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8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(рис. 4. Определение директории)</w:t>
      </w:r>
    </w:p>
    <w:bookmarkEnd w:id="39"/>
    <w:p>
      <w:pPr>
        <w:pStyle w:val="BodyText"/>
      </w:pPr>
      <w:r>
        <w:t xml:space="preserve">Мы находимся в той же директории, что и наша домашняя</w:t>
      </w:r>
    </w:p>
    <w:bookmarkEnd w:id="40"/>
    <w:bookmarkStart w:id="45" w:name="Xb47ed9afaccd6d36d284e569cebe483bb2f0c81"/>
    <w:p>
      <w:pPr>
        <w:pStyle w:val="Heading3"/>
      </w:pPr>
      <w:r>
        <w:rPr>
          <w:rStyle w:val="SectionNumber"/>
        </w:rPr>
        <w:t xml:space="preserve">2.0.5</w:t>
      </w:r>
      <w:r>
        <w:tab/>
      </w:r>
      <w:r>
        <w:t xml:space="preserve">5. Уточним имя нашего пользователя командой whoami.</w:t>
      </w:r>
    </w:p>
    <w:bookmarkStart w:id="44" w:name="fig:05"/>
    <w:p>
      <w:pPr>
        <w:pStyle w:val="CaptionedFigure"/>
      </w:pPr>
      <w:r>
        <w:drawing>
          <wp:inline>
            <wp:extent cx="3098800" cy="546100"/>
            <wp:effectExtent b="0" l="0" r="0" t="0"/>
            <wp:docPr descr="Рис. 5: (рис. 5. Уточнение имени нашего пользователя)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(рис. 5. Уточнение имени нашего пользователя)</w:t>
      </w:r>
    </w:p>
    <w:bookmarkEnd w:id="44"/>
    <w:bookmarkEnd w:id="45"/>
    <w:bookmarkStart w:id="50" w:name="Xe9bbaf8784d3265a3dfdac62d5a99641a30ed19"/>
    <w:p>
      <w:pPr>
        <w:pStyle w:val="Heading3"/>
      </w:pPr>
      <w:r>
        <w:rPr>
          <w:rStyle w:val="SectionNumber"/>
        </w:rPr>
        <w:t xml:space="preserve">2.0.6</w:t>
      </w:r>
      <w:r>
        <w:tab/>
      </w:r>
      <w:r>
        <w:t xml:space="preserve">6. Уточним группу пользователя, а так же группы в которые входит он. Сравним вывод команды id с выводом команды groups</w:t>
      </w:r>
    </w:p>
    <w:bookmarkStart w:id="49" w:name="fig:006"/>
    <w:p>
      <w:pPr>
        <w:pStyle w:val="CaptionedFigure"/>
      </w:pPr>
      <w:r>
        <w:drawing>
          <wp:inline>
            <wp:extent cx="5334000" cy="1012428"/>
            <wp:effectExtent b="0" l="0" r="0" t="0"/>
            <wp:docPr descr="Рис. 6: (рис. 6. Уточнение группы пользователя)" title="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2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(рис. 6. Уточнение группы пользователя)</w:t>
      </w:r>
    </w:p>
    <w:bookmarkEnd w:id="49"/>
    <w:p>
      <w:pPr>
        <w:pStyle w:val="BodyText"/>
      </w:pPr>
      <w:r>
        <w:t xml:space="preserve">Выводы двух команд идентичны, никаких разностей нет</w:t>
      </w:r>
    </w:p>
    <w:bookmarkEnd w:id="50"/>
    <w:bookmarkStart w:id="55" w:name="X76ad5d17679c5951fb4d1dbcee1bdf2a20808e1"/>
    <w:p>
      <w:pPr>
        <w:pStyle w:val="Heading3"/>
      </w:pPr>
      <w:r>
        <w:rPr>
          <w:rStyle w:val="SectionNumber"/>
        </w:rPr>
        <w:t xml:space="preserve">2.0.7</w:t>
      </w:r>
      <w:r>
        <w:tab/>
      </w:r>
      <w:r>
        <w:t xml:space="preserve">7. Сравним полученную информацию об имени пользователя с данными, выводимыми в приглашении командной строки</w:t>
      </w:r>
    </w:p>
    <w:bookmarkStart w:id="54" w:name="fig:007"/>
    <w:p>
      <w:pPr>
        <w:pStyle w:val="CaptionedFigure"/>
      </w:pPr>
      <w:r>
        <w:drawing>
          <wp:inline>
            <wp:extent cx="1943100" cy="431800"/>
            <wp:effectExtent b="0" l="0" r="0" t="0"/>
            <wp:docPr descr="Рис. 7: (рис. 7. Сравнение данных)" title="" id="52" name="Picture"/>
            <a:graphic>
              <a:graphicData uri="http://schemas.openxmlformats.org/drawingml/2006/picture">
                <pic:pic>
                  <pic:nvPicPr>
                    <pic:cNvPr descr="image/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(рис. 7. Сравнение данных)</w:t>
      </w:r>
    </w:p>
    <w:bookmarkEnd w:id="54"/>
    <w:p>
      <w:pPr>
        <w:pStyle w:val="BodyText"/>
      </w:pPr>
      <w:r>
        <w:t xml:space="preserve">Все верно, данные одинаковы</w:t>
      </w:r>
    </w:p>
    <w:bookmarkEnd w:id="55"/>
    <w:bookmarkStart w:id="60" w:name="X109ea0c49d742497ca9082079df242b5d875747"/>
    <w:p>
      <w:pPr>
        <w:pStyle w:val="Heading3"/>
      </w:pPr>
      <w:r>
        <w:rPr>
          <w:rStyle w:val="SectionNumber"/>
        </w:rPr>
        <w:t xml:space="preserve">2.0.8</w:t>
      </w:r>
      <w:r>
        <w:tab/>
      </w:r>
      <w:r>
        <w:t xml:space="preserve">8. Просмотрим файл /etc/passwd и найдем в нем свою учетную запись и uid пользователя. Так же определим gid пользователя. Сравним значения с вывод предыдущих пунктов</w:t>
      </w:r>
    </w:p>
    <w:bookmarkStart w:id="59" w:name="fig:08"/>
    <w:p>
      <w:pPr>
        <w:pStyle w:val="CaptionedFigure"/>
      </w:pPr>
      <w:r>
        <w:drawing>
          <wp:inline>
            <wp:extent cx="5334000" cy="4319788"/>
            <wp:effectExtent b="0" l="0" r="0" t="0"/>
            <wp:docPr descr="Рис. 8: (рис. 8. Просмотр файла /etc/passwd)" title="" id="57" name="Picture"/>
            <a:graphic>
              <a:graphicData uri="http://schemas.openxmlformats.org/drawingml/2006/picture">
                <pic:pic>
                  <pic:nvPicPr>
                    <pic:cNvPr descr="image/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9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(рис. 8. Просмотр файла /etc/passwd)</w:t>
      </w:r>
    </w:p>
    <w:bookmarkEnd w:id="59"/>
    <w:p>
      <w:pPr>
        <w:pStyle w:val="BodyText"/>
      </w:pPr>
      <w:r>
        <w:t xml:space="preserve">gid: 1001</w:t>
      </w:r>
      <w:r>
        <w:t xml:space="preserve"> </w:t>
      </w:r>
      <w:r>
        <w:t xml:space="preserve">Значение с выводами предыдущих команд полностью идентичны</w:t>
      </w:r>
    </w:p>
    <w:bookmarkEnd w:id="60"/>
    <w:bookmarkStart w:id="65" w:name="X337641caabffa8df8cce80adf24cf8a90794ea8"/>
    <w:p>
      <w:pPr>
        <w:pStyle w:val="Heading3"/>
      </w:pPr>
      <w:r>
        <w:rPr>
          <w:rStyle w:val="SectionNumber"/>
        </w:rPr>
        <w:t xml:space="preserve">2.0.9</w:t>
      </w:r>
      <w:r>
        <w:tab/>
      </w:r>
      <w:r>
        <w:t xml:space="preserve">9. Определим существующие в системе директории командой. Проверим какие права установлены на директории</w:t>
      </w:r>
    </w:p>
    <w:bookmarkStart w:id="64" w:name="fig:09"/>
    <w:p>
      <w:pPr>
        <w:pStyle w:val="CaptionedFigure"/>
      </w:pPr>
      <w:r>
        <w:drawing>
          <wp:inline>
            <wp:extent cx="5334000" cy="609213"/>
            <wp:effectExtent b="0" l="0" r="0" t="0"/>
            <wp:docPr descr="Рис. 9: (рис. 9. Права на директориях)" title="" id="62" name="Picture"/>
            <a:graphic>
              <a:graphicData uri="http://schemas.openxmlformats.org/drawingml/2006/picture">
                <pic:pic>
                  <pic:nvPicPr>
                    <pic:cNvPr descr="image/9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(рис. 9. Права на директориях)</w:t>
      </w:r>
    </w:p>
    <w:bookmarkEnd w:id="64"/>
    <w:p>
      <w:pPr>
        <w:pStyle w:val="BodyText"/>
      </w:pPr>
      <w:r>
        <w:t xml:space="preserve">Права на директорию установлены только для пользователя, он может делать все в ней, для других пользователей(кроме root) действия с этим каталогом недоступны</w:t>
      </w:r>
    </w:p>
    <w:bookmarkEnd w:id="65"/>
    <w:bookmarkStart w:id="78" w:name="X91c079337f8487720d967a64f9937b2d1c043e1"/>
    <w:p>
      <w:pPr>
        <w:pStyle w:val="Heading3"/>
      </w:pPr>
      <w:r>
        <w:rPr>
          <w:rStyle w:val="SectionNumber"/>
        </w:rPr>
        <w:t xml:space="preserve">2.0.10</w:t>
      </w:r>
      <w:r>
        <w:tab/>
      </w:r>
      <w:r>
        <w:t xml:space="preserve">10. Проверьте, какие расширенные атрибуты установлены на поддиректориях, находящихся в директории /home</w:t>
      </w:r>
    </w:p>
    <w:bookmarkStart w:id="69" w:name="fig:010"/>
    <w:p>
      <w:pPr>
        <w:pStyle w:val="CaptionedFigure"/>
      </w:pPr>
      <w:r>
        <w:drawing>
          <wp:inline>
            <wp:extent cx="5334000" cy="2162927"/>
            <wp:effectExtent b="0" l="0" r="0" t="0"/>
            <wp:docPr descr="Рис. 10: (рис. 10. Проверка прав)" title="" id="67" name="Picture"/>
            <a:graphic>
              <a:graphicData uri="http://schemas.openxmlformats.org/drawingml/2006/picture">
                <pic:pic>
                  <pic:nvPicPr>
                    <pic:cNvPr descr="image/1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2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(рис. 10. Проверка прав)</w:t>
      </w:r>
    </w:p>
    <w:bookmarkEnd w:id="69"/>
    <w:bookmarkStart w:id="73" w:name="fig:010_1"/>
    <w:p>
      <w:pPr>
        <w:pStyle w:val="CaptionedFigure"/>
      </w:pPr>
      <w:r>
        <w:drawing>
          <wp:inline>
            <wp:extent cx="5118100" cy="2743200"/>
            <wp:effectExtent b="0" l="0" r="0" t="0"/>
            <wp:docPr descr="Рис. 11: (рис. 10.1 Проверка расширенных атрибутов)" title="" id="71" name="Picture"/>
            <a:graphic>
              <a:graphicData uri="http://schemas.openxmlformats.org/drawingml/2006/picture">
                <pic:pic>
                  <pic:nvPicPr>
                    <pic:cNvPr descr="image/10_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(рис. 10.1 Проверка расширенных атрибутов)</w:t>
      </w:r>
    </w:p>
    <w:bookmarkEnd w:id="73"/>
    <w:p>
      <w:pPr>
        <w:pStyle w:val="BodyText"/>
      </w:pPr>
      <w:r>
        <w:t xml:space="preserve">Для всех кроме пользователя недоступна запись в каталоги</w:t>
      </w:r>
    </w:p>
    <w:p>
      <w:pPr>
        <w:pStyle w:val="BodyText"/>
      </w:pPr>
      <w:r>
        <w:t xml:space="preserve">Атрибуты никакие не стоят для каталогов</w:t>
      </w:r>
      <w:r>
        <w:t xml:space="preserve"> </w:t>
      </w:r>
      <w:r>
        <w:t xml:space="preserve">### 11. Создаем директорию dir1 и снимаем с директории все атрибуты</w:t>
      </w:r>
    </w:p>
    <w:bookmarkStart w:id="77" w:name="fig:011"/>
    <w:p>
      <w:pPr>
        <w:pStyle w:val="CaptionedFigure"/>
      </w:pPr>
      <w:r>
        <w:drawing>
          <wp:inline>
            <wp:extent cx="5334000" cy="2303517"/>
            <wp:effectExtent b="0" l="0" r="0" t="0"/>
            <wp:docPr descr="Рис. 12: (рис. 11. Проверка атрибутов каталога)" title="" id="75" name="Picture"/>
            <a:graphic>
              <a:graphicData uri="http://schemas.openxmlformats.org/drawingml/2006/picture">
                <pic:pic>
                  <pic:nvPicPr>
                    <pic:cNvPr descr="image/1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3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(рис. 11. Проверка атрибутов каталога)</w:t>
      </w:r>
    </w:p>
    <w:bookmarkEnd w:id="77"/>
    <w:bookmarkEnd w:id="78"/>
    <w:bookmarkStart w:id="83" w:name="Xe9c7400749bd6abdf4cbc79afe111168beab057"/>
    <w:p>
      <w:pPr>
        <w:pStyle w:val="Heading3"/>
      </w:pPr>
      <w:r>
        <w:rPr>
          <w:rStyle w:val="SectionNumber"/>
        </w:rPr>
        <w:t xml:space="preserve">2.0.11</w:t>
      </w:r>
      <w:r>
        <w:tab/>
      </w:r>
      <w:r>
        <w:t xml:space="preserve">12. Попытаемся создать файл в директории dir1</w:t>
      </w:r>
    </w:p>
    <w:bookmarkStart w:id="82" w:name="fig:012"/>
    <w:p>
      <w:pPr>
        <w:pStyle w:val="CaptionedFigure"/>
      </w:pPr>
      <w:r>
        <w:drawing>
          <wp:inline>
            <wp:extent cx="5334000" cy="391104"/>
            <wp:effectExtent b="0" l="0" r="0" t="0"/>
            <wp:docPr descr="Рис. 13: (рис. 12. Попытка создания файла)" title="" id="80" name="Picture"/>
            <a:graphic>
              <a:graphicData uri="http://schemas.openxmlformats.org/drawingml/2006/picture">
                <pic:pic>
                  <pic:nvPicPr>
                    <pic:cNvPr descr="image/12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(рис. 12. Попытка создания файла)</w:t>
      </w:r>
    </w:p>
    <w:bookmarkEnd w:id="82"/>
    <w:bookmarkEnd w:id="83"/>
    <w:bookmarkStart w:id="88" w:name="Xa00c2dfb8437685d10c33a4836f27f5c7bff236"/>
    <w:p>
      <w:pPr>
        <w:pStyle w:val="Heading3"/>
      </w:pPr>
      <w:r>
        <w:rPr>
          <w:rStyle w:val="SectionNumber"/>
        </w:rPr>
        <w:t xml:space="preserve">2.0.12</w:t>
      </w:r>
      <w:r>
        <w:tab/>
      </w:r>
      <w:r>
        <w:t xml:space="preserve">13. Заполним таблицу «Установленные права и разрешённые действия», выполняя действия от имени владельца директории(файлов),определив опытным путём,какие операции разрешены, а какие нет.Если операция разрешена, занесем е втаблицу знак «+», если не разрешена, знак«-».</w:t>
      </w:r>
    </w:p>
    <w:bookmarkStart w:id="87" w:name="fig:013"/>
    <w:p>
      <w:pPr>
        <w:pStyle w:val="CaptionedFigure"/>
      </w:pPr>
      <w:r>
        <w:drawing>
          <wp:inline>
            <wp:extent cx="5334000" cy="4651029"/>
            <wp:effectExtent b="0" l="0" r="0" t="0"/>
            <wp:docPr descr="Рис. 14: (рис. 13. Проверка доступных действий )" title="" id="85" name="Picture"/>
            <a:graphic>
              <a:graphicData uri="http://schemas.openxmlformats.org/drawingml/2006/picture">
                <pic:pic>
                  <pic:nvPicPr>
                    <pic:cNvPr descr="image/13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1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(рис. 13. Проверка доступных действий )</w:t>
      </w:r>
    </w:p>
    <w:bookmarkEnd w:id="87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c>
          <w:tcPr/>
          <w:p>
            <w:pPr>
              <w:pStyle w:val="Compact"/>
            </w:pPr>
            <w:r>
              <w:t xml:space="preserve">Права директории</w:t>
            </w:r>
          </w:p>
        </w:tc>
        <w:tc>
          <w:tcPr/>
          <w:p>
            <w:pPr>
              <w:pStyle w:val="Compact"/>
            </w:pPr>
            <w:r>
              <w:t xml:space="preserve">Права файла</w:t>
            </w:r>
          </w:p>
        </w:tc>
        <w:tc>
          <w:tcPr/>
          <w:p>
            <w:pPr>
              <w:pStyle w:val="Compac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</w:pPr>
            <w:r>
              <w:t xml:space="preserve">Смена директории</w:t>
            </w:r>
          </w:p>
        </w:tc>
        <w:tc>
          <w:tcPr/>
          <w:p>
            <w:pPr>
              <w:pStyle w:val="Compact"/>
            </w:pPr>
            <w:r>
              <w:t xml:space="preserve">Просмотр файлов в директории</w:t>
            </w:r>
          </w:p>
        </w:tc>
        <w:tc>
          <w:tcPr/>
          <w:p>
            <w:pPr>
              <w:pStyle w:val="Compact"/>
            </w:pPr>
            <w:r>
              <w:t xml:space="preserve">Переимено- вание файла</w:t>
            </w:r>
          </w:p>
        </w:tc>
        <w:tc>
          <w:tcPr/>
          <w:p>
            <w:pPr>
              <w:pStyle w:val="Compact"/>
            </w:pPr>
            <w:r>
              <w:t xml:space="preserve">Смена атрибутов файла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d(000)</w:t>
            </w: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d(000)</w:t>
            </w:r>
          </w:p>
        </w:tc>
        <w:tc>
          <w:tcPr/>
          <w:p>
            <w:pPr>
              <w:pStyle w:val="Compact"/>
            </w:pPr>
            <w:r>
              <w:t xml:space="preserve">(100)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d(000)</w:t>
            </w: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d(000)</w:t>
            </w:r>
          </w:p>
        </w:tc>
        <w:tc>
          <w:tcPr/>
          <w:p>
            <w:pPr>
              <w:pStyle w:val="Compact"/>
            </w:pPr>
            <w:r>
              <w:t xml:space="preserve">(300)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d(000)</w:t>
            </w: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d(000)</w:t>
            </w:r>
          </w:p>
        </w:tc>
        <w:tc>
          <w:tcPr/>
          <w:p>
            <w:pPr>
              <w:pStyle w:val="Compact"/>
            </w:pPr>
            <w:r>
              <w:t xml:space="preserve">(500)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d(000)</w:t>
            </w:r>
          </w:p>
        </w:tc>
        <w:tc>
          <w:tcPr/>
          <w:p>
            <w:pPr>
              <w:pStyle w:val="Compact"/>
            </w:pPr>
            <w:r>
              <w:t xml:space="preserve">(600)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d(000)</w:t>
            </w:r>
          </w:p>
        </w:tc>
        <w:tc>
          <w:tcPr/>
          <w:p>
            <w:pPr>
              <w:pStyle w:val="Compact"/>
            </w:pPr>
            <w:r>
              <w:t xml:space="preserve">(700)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  <w:r>
              <w:t xml:space="preserve">(100)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  <w:r>
              <w:t xml:space="preserve">(300)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  <w:r>
              <w:t xml:space="preserve">(500)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  <w:r>
              <w:t xml:space="preserve">(600)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  <w:r>
              <w:t xml:space="preserve">(700)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d(200)</w:t>
            </w: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d(200)</w:t>
            </w:r>
          </w:p>
        </w:tc>
        <w:tc>
          <w:tcPr/>
          <w:p>
            <w:pPr>
              <w:pStyle w:val="Compact"/>
            </w:pPr>
            <w:r>
              <w:t xml:space="preserve">(100)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d(200)</w:t>
            </w: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d(200)</w:t>
            </w:r>
          </w:p>
        </w:tc>
        <w:tc>
          <w:tcPr/>
          <w:p>
            <w:pPr>
              <w:pStyle w:val="Compact"/>
            </w:pPr>
            <w:r>
              <w:t xml:space="preserve">(300)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d(200)</w:t>
            </w: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d(200)</w:t>
            </w:r>
          </w:p>
        </w:tc>
        <w:tc>
          <w:tcPr/>
          <w:p>
            <w:pPr>
              <w:pStyle w:val="Compact"/>
            </w:pPr>
            <w:r>
              <w:t xml:space="preserve">(500)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d(200)</w:t>
            </w:r>
          </w:p>
        </w:tc>
        <w:tc>
          <w:tcPr/>
          <w:p>
            <w:pPr>
              <w:pStyle w:val="Compact"/>
            </w:pPr>
            <w:r>
              <w:t xml:space="preserve">(600)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d(200)</w:t>
            </w:r>
          </w:p>
        </w:tc>
        <w:tc>
          <w:tcPr/>
          <w:p>
            <w:pPr>
              <w:pStyle w:val="Compact"/>
            </w:pPr>
            <w:r>
              <w:t xml:space="preserve">(700)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  <w:r>
              <w:t xml:space="preserve">(100)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  <w:r>
              <w:t xml:space="preserve">(300)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  <w:r>
              <w:t xml:space="preserve">(500)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  <w:r>
              <w:t xml:space="preserve">(600)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  <w:r>
              <w:t xml:space="preserve">(700)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d(400)</w:t>
            </w: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d(400)</w:t>
            </w:r>
          </w:p>
        </w:tc>
        <w:tc>
          <w:tcPr/>
          <w:p>
            <w:pPr>
              <w:pStyle w:val="Compact"/>
            </w:pPr>
            <w:r>
              <w:t xml:space="preserve">(100)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d(400)</w:t>
            </w: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d(400)</w:t>
            </w:r>
          </w:p>
        </w:tc>
        <w:tc>
          <w:tcPr/>
          <w:p>
            <w:pPr>
              <w:pStyle w:val="Compact"/>
            </w:pPr>
            <w:r>
              <w:t xml:space="preserve">(300)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d(400)</w:t>
            </w: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d(400)</w:t>
            </w:r>
          </w:p>
        </w:tc>
        <w:tc>
          <w:tcPr/>
          <w:p>
            <w:pPr>
              <w:pStyle w:val="Compact"/>
            </w:pPr>
            <w:r>
              <w:t xml:space="preserve">(500)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d(400)</w:t>
            </w:r>
          </w:p>
        </w:tc>
        <w:tc>
          <w:tcPr/>
          <w:p>
            <w:pPr>
              <w:pStyle w:val="Compact"/>
            </w:pPr>
            <w:r>
              <w:t xml:space="preserve">(600)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d(400)</w:t>
            </w:r>
          </w:p>
        </w:tc>
        <w:tc>
          <w:tcPr/>
          <w:p>
            <w:pPr>
              <w:pStyle w:val="Compact"/>
            </w:pPr>
            <w:r>
              <w:t xml:space="preserve">(700)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d(500)</w:t>
            </w: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d(500)</w:t>
            </w:r>
          </w:p>
        </w:tc>
        <w:tc>
          <w:tcPr/>
          <w:p>
            <w:pPr>
              <w:pStyle w:val="Compact"/>
            </w:pPr>
            <w:r>
              <w:t xml:space="preserve">(100)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d(500)</w:t>
            </w: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d(500)</w:t>
            </w:r>
          </w:p>
        </w:tc>
        <w:tc>
          <w:tcPr/>
          <w:p>
            <w:pPr>
              <w:pStyle w:val="Compact"/>
            </w:pPr>
            <w:r>
              <w:t xml:space="preserve">(300)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d(500)</w:t>
            </w: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d(500)</w:t>
            </w:r>
          </w:p>
        </w:tc>
        <w:tc>
          <w:tcPr/>
          <w:p>
            <w:pPr>
              <w:pStyle w:val="Compact"/>
            </w:pPr>
            <w:r>
              <w:t xml:space="preserve">(500)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d(500)</w:t>
            </w:r>
          </w:p>
        </w:tc>
        <w:tc>
          <w:tcPr/>
          <w:p>
            <w:pPr>
              <w:pStyle w:val="Compact"/>
            </w:pPr>
            <w:r>
              <w:t xml:space="preserve">(600)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d(500)</w:t>
            </w:r>
          </w:p>
        </w:tc>
        <w:tc>
          <w:tcPr/>
          <w:p>
            <w:pPr>
              <w:pStyle w:val="Compact"/>
            </w:pPr>
            <w:r>
              <w:t xml:space="preserve">(700)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d(600)</w:t>
            </w: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d(600)</w:t>
            </w:r>
          </w:p>
        </w:tc>
        <w:tc>
          <w:tcPr/>
          <w:p>
            <w:pPr>
              <w:pStyle w:val="Compact"/>
            </w:pPr>
            <w:r>
              <w:t xml:space="preserve">(100)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d(600)</w:t>
            </w: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d(600)</w:t>
            </w:r>
          </w:p>
        </w:tc>
        <w:tc>
          <w:tcPr/>
          <w:p>
            <w:pPr>
              <w:pStyle w:val="Compact"/>
            </w:pPr>
            <w:r>
              <w:t xml:space="preserve">(300)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d(600)</w:t>
            </w: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d(600)</w:t>
            </w:r>
          </w:p>
        </w:tc>
        <w:tc>
          <w:tcPr/>
          <w:p>
            <w:pPr>
              <w:pStyle w:val="Compact"/>
            </w:pPr>
            <w:r>
              <w:t xml:space="preserve">(500)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d(600)</w:t>
            </w:r>
          </w:p>
        </w:tc>
        <w:tc>
          <w:tcPr/>
          <w:p>
            <w:pPr>
              <w:pStyle w:val="Compact"/>
            </w:pPr>
            <w:r>
              <w:t xml:space="preserve">(600)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d(600)</w:t>
            </w:r>
          </w:p>
        </w:tc>
        <w:tc>
          <w:tcPr/>
          <w:p>
            <w:pPr>
              <w:pStyle w:val="Compact"/>
            </w:pPr>
            <w:r>
              <w:t xml:space="preserve">(700)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d(700)</w:t>
            </w: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d(700)</w:t>
            </w:r>
          </w:p>
        </w:tc>
        <w:tc>
          <w:tcPr/>
          <w:p>
            <w:pPr>
              <w:pStyle w:val="Compact"/>
            </w:pPr>
            <w:r>
              <w:t xml:space="preserve">(100)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d(700)</w:t>
            </w: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d(700)</w:t>
            </w:r>
          </w:p>
        </w:tc>
        <w:tc>
          <w:tcPr/>
          <w:p>
            <w:pPr>
              <w:pStyle w:val="Compact"/>
            </w:pPr>
            <w:r>
              <w:t xml:space="preserve">(300)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d(700)</w:t>
            </w: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d(700)</w:t>
            </w:r>
          </w:p>
        </w:tc>
        <w:tc>
          <w:tcPr/>
          <w:p>
            <w:pPr>
              <w:pStyle w:val="Compact"/>
            </w:pPr>
            <w:r>
              <w:t xml:space="preserve">(500)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d(700)</w:t>
            </w:r>
          </w:p>
        </w:tc>
        <w:tc>
          <w:tcPr/>
          <w:p>
            <w:pPr>
              <w:pStyle w:val="Compact"/>
            </w:pPr>
            <w:r>
              <w:t xml:space="preserve">(600)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d(700)</w:t>
            </w:r>
          </w:p>
        </w:tc>
        <w:tc>
          <w:tcPr/>
          <w:p>
            <w:pPr>
              <w:pStyle w:val="Compact"/>
            </w:pPr>
            <w:r>
              <w:t xml:space="preserve">(700)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</w:tbl>
    <w:p>
      <w:pPr>
        <w:pStyle w:val="BodyText"/>
      </w:pPr>
      <w:r>
        <w:t xml:space="preserve">Таблица 2.1 «Установленные права и разрешённые действия»</w:t>
      </w:r>
    </w:p>
    <w:bookmarkEnd w:id="88"/>
    <w:bookmarkStart w:id="89" w:name="X2e4a2daa509df4f81255ad8c2a0d7a2a41dfe8f"/>
    <w:p>
      <w:pPr>
        <w:pStyle w:val="Heading3"/>
      </w:pPr>
      <w:r>
        <w:rPr>
          <w:rStyle w:val="SectionNumber"/>
        </w:rPr>
        <w:t xml:space="preserve">2.0.13</w:t>
      </w:r>
      <w:r>
        <w:tab/>
      </w:r>
      <w:r>
        <w:t xml:space="preserve">14. На основании заполненной таблицы определим те или иные минимально необходимые права для выполнения операций внутри директории dir1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584"/>
        <w:gridCol w:w="1584"/>
        <w:gridCol w:w="1584"/>
        <w:gridCol w:w="1584"/>
        <w:gridCol w:w="1584"/>
      </w:tblGrid>
      <w:tr>
        <w:tc>
          <w:tcPr/>
          <w:p>
            <w:pPr>
              <w:pStyle w:val="Compac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Минимальные права на директорию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Минимальные права на файл</w:t>
            </w:r>
          </w:p>
        </w:tc>
      </w:tr>
      <w:tr>
        <w:tc>
          <w:tcPr/>
          <w:p>
            <w:pPr>
              <w:pStyle w:val="Compac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</w:tr>
      <w:tr>
        <w:tc>
          <w:tcPr/>
          <w:p>
            <w:pPr>
              <w:pStyle w:val="Compac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</w:tr>
      <w:tr>
        <w:tc>
          <w:tcPr/>
          <w:p>
            <w:pPr>
              <w:pStyle w:val="Compac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</w:tr>
    </w:tbl>
    <w:p>
      <w:pPr>
        <w:pStyle w:val="BodyText"/>
      </w:pPr>
      <w:r>
        <w:t xml:space="preserve">Таблица 2.2</w:t>
      </w:r>
      <w:r>
        <w:t xml:space="preserve"> </w:t>
      </w:r>
      <w:r>
        <w:t xml:space="preserve">“Минимальные права для совершения операций”</w:t>
      </w:r>
    </w:p>
    <w:bookmarkEnd w:id="89"/>
    <w:bookmarkEnd w:id="90"/>
    <w:bookmarkStart w:id="91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Получены практических навыки работы в консоли с атрибутами файлов, закреплены теоретические основы дискреционного разграничения доступа в современных системах с открытым кодом на базе ОС Linux</w:t>
      </w:r>
    </w:p>
    <w:bookmarkEnd w:id="91"/>
    <w:bookmarkStart w:id="92" w:name="список-литературы.-библиограф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Права доступа в OC Linux - https://codechick.io/tutorials/unix-linux/unix-linux-permissions</w:t>
      </w:r>
      <w:r>
        <w:t xml:space="preserve"> </w:t>
      </w:r>
      <w:r>
        <w:t xml:space="preserve">[2] Руковсдство по команде lsattr - https://rus-linux.net/MyLDP/consol/Linux_lsattr_command.html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56" Target="media/rId56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 Информационная безопасность</dc:title>
  <dc:creator>Кармацкий Никита Сергеевич, НФИбд-01-21, 1032210061</dc:creator>
  <dc:language>ru-RU</dc:language>
  <cp:keywords/>
  <dcterms:created xsi:type="dcterms:W3CDTF">2024-09-12T13:14:00Z</dcterms:created>
  <dcterms:modified xsi:type="dcterms:W3CDTF">2024-09-12T13:14:00Z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9pt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Scale=MatchLowercase,Scale=0.6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Дискреционное разграничение прав в Linux. Основные атрибуты.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