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№3</w:t>
      </w:r>
    </w:p>
    <w:p>
      <w:pPr>
        <w:pStyle w:val="Subtitle"/>
      </w:pPr>
      <w:r>
        <w:t xml:space="preserve">Дискреционное разграничение прав в Linux. Два пользователя</w:t>
      </w:r>
    </w:p>
    <w:p>
      <w:pPr>
        <w:pStyle w:val="Author"/>
      </w:pPr>
      <w:r>
        <w:t xml:space="preserve">Кармацкий Никита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/>
          <w:bCs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pStyle w:val="Compact"/>
        <w:numPr>
          <w:ilvl w:val="0"/>
          <w:numId w:val="1001"/>
        </w:numPr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pStyle w:val="Compact"/>
        <w:numPr>
          <w:ilvl w:val="0"/>
          <w:numId w:val="1001"/>
        </w:numPr>
      </w:pPr>
      <w:r>
        <w:t xml:space="preserve">sys - группа открывает доступ к исходникам ядра и файлам - include сохраненным в системе</w:t>
      </w:r>
    </w:p>
    <w:p>
      <w:pPr>
        <w:pStyle w:val="Compact"/>
        <w:numPr>
          <w:ilvl w:val="0"/>
          <w:numId w:val="1001"/>
        </w:numPr>
      </w:pPr>
      <w:r>
        <w:t xml:space="preserve">sync - позволяет выполнять команду /bin/sync</w:t>
      </w:r>
    </w:p>
    <w:p>
      <w:pPr>
        <w:pStyle w:val="Compact"/>
        <w:numPr>
          <w:ilvl w:val="0"/>
          <w:numId w:val="1001"/>
        </w:numPr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pStyle w:val="Compact"/>
        <w:numPr>
          <w:ilvl w:val="0"/>
          <w:numId w:val="1001"/>
        </w:numPr>
      </w:pPr>
      <w:r>
        <w:t xml:space="preserve">man - позволяет добавлять страницы в директорию /var/cache/man</w:t>
      </w:r>
    </w:p>
    <w:p>
      <w:pPr>
        <w:pStyle w:val="Compact"/>
        <w:numPr>
          <w:ilvl w:val="0"/>
          <w:numId w:val="1001"/>
        </w:numPr>
      </w:pPr>
      <w:r>
        <w:t xml:space="preserve">lp - позволяет использовать устройства параллельных портов</w:t>
      </w:r>
    </w:p>
    <w:p>
      <w:pPr>
        <w:pStyle w:val="Compact"/>
        <w:numPr>
          <w:ilvl w:val="0"/>
          <w:numId w:val="1001"/>
        </w:numPr>
      </w:pPr>
      <w:r>
        <w:t xml:space="preserve">mail - позволяет записывать данные в почтовые ящики /var/mail/</w:t>
      </w:r>
    </w:p>
    <w:p>
      <w:pPr>
        <w:pStyle w:val="Compact"/>
        <w:numPr>
          <w:ilvl w:val="0"/>
          <w:numId w:val="1001"/>
        </w:numPr>
      </w:pPr>
      <w:r>
        <w:t xml:space="preserve">proxy - используется прокси серверами, нет доступа записи файлов на диск</w:t>
      </w:r>
    </w:p>
    <w:p>
      <w:pPr>
        <w:pStyle w:val="Compact"/>
        <w:numPr>
          <w:ilvl w:val="0"/>
          <w:numId w:val="1001"/>
        </w:numPr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pStyle w:val="Compact"/>
        <w:numPr>
          <w:ilvl w:val="0"/>
          <w:numId w:val="1001"/>
        </w:numPr>
      </w:pPr>
      <w:r>
        <w:t xml:space="preserve">list - позволяет просматривать сообщения в /var/mail</w:t>
      </w:r>
    </w:p>
    <w:p>
      <w:pPr>
        <w:pStyle w:val="Compact"/>
        <w:numPr>
          <w:ilvl w:val="0"/>
          <w:numId w:val="1001"/>
        </w:numPr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pStyle w:val="Compact"/>
        <w:numPr>
          <w:ilvl w:val="0"/>
          <w:numId w:val="1001"/>
        </w:numPr>
      </w:pPr>
      <w:r>
        <w:t xml:space="preserve">adm - позволяет читать логи из директории /var/log</w:t>
      </w:r>
    </w:p>
    <w:p>
      <w:pPr>
        <w:pStyle w:val="Compact"/>
        <w:numPr>
          <w:ilvl w:val="0"/>
          <w:numId w:val="1001"/>
        </w:numPr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pStyle w:val="Compact"/>
        <w:numPr>
          <w:ilvl w:val="0"/>
          <w:numId w:val="1001"/>
        </w:numPr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pStyle w:val="Compact"/>
        <w:numPr>
          <w:ilvl w:val="0"/>
          <w:numId w:val="1001"/>
        </w:numPr>
      </w:pPr>
      <w:r>
        <w:t xml:space="preserve">dialout - полный доступ к серийному порту</w:t>
      </w:r>
    </w:p>
    <w:p>
      <w:pPr>
        <w:pStyle w:val="Compact"/>
        <w:numPr>
          <w:ilvl w:val="0"/>
          <w:numId w:val="1001"/>
        </w:numPr>
      </w:pPr>
      <w:r>
        <w:t xml:space="preserve">cdrom - доступ к CD-ROM</w:t>
      </w:r>
    </w:p>
    <w:p>
      <w:pPr>
        <w:pStyle w:val="Compact"/>
        <w:numPr>
          <w:ilvl w:val="0"/>
          <w:numId w:val="1001"/>
        </w:numPr>
      </w:pPr>
      <w:r>
        <w:t xml:space="preserve">wheel - позволяет запускать утилиту sudo для повышения привилегий</w:t>
      </w:r>
    </w:p>
    <w:p>
      <w:pPr>
        <w:pStyle w:val="Compact"/>
        <w:numPr>
          <w:ilvl w:val="0"/>
          <w:numId w:val="1001"/>
        </w:numPr>
      </w:pPr>
      <w:r>
        <w:t xml:space="preserve">audio - управление аудиодрайвером</w:t>
      </w:r>
    </w:p>
    <w:p>
      <w:pPr>
        <w:pStyle w:val="Compact"/>
        <w:numPr>
          <w:ilvl w:val="0"/>
          <w:numId w:val="1001"/>
        </w:numPr>
      </w:pPr>
      <w:r>
        <w:t xml:space="preserve">src - полный доступ к исходникам в каталоге /usr/src/</w:t>
      </w:r>
    </w:p>
    <w:p>
      <w:pPr>
        <w:pStyle w:val="Compact"/>
        <w:numPr>
          <w:ilvl w:val="0"/>
          <w:numId w:val="1001"/>
        </w:numPr>
      </w:pPr>
      <w:r>
        <w:t xml:space="preserve">shadow - разрешает чтение файла /etc/shadow</w:t>
      </w:r>
    </w:p>
    <w:p>
      <w:pPr>
        <w:pStyle w:val="Compact"/>
        <w:numPr>
          <w:ilvl w:val="0"/>
          <w:numId w:val="1001"/>
        </w:numPr>
      </w:pPr>
      <w:r>
        <w:t xml:space="preserve">utmp - разрешает запись в файлы /var/log/utmp /var/log/wtmp</w:t>
      </w:r>
    </w:p>
    <w:p>
      <w:pPr>
        <w:pStyle w:val="Compact"/>
        <w:numPr>
          <w:ilvl w:val="0"/>
          <w:numId w:val="1001"/>
        </w:numPr>
      </w:pPr>
      <w:r>
        <w:t xml:space="preserve">video - позволяет работать с видеодрайвером</w:t>
      </w:r>
    </w:p>
    <w:p>
      <w:pPr>
        <w:pStyle w:val="Compact"/>
        <w:numPr>
          <w:ilvl w:val="0"/>
          <w:numId w:val="1001"/>
        </w:numPr>
      </w:pPr>
      <w:r>
        <w:t xml:space="preserve">plugdev - позволяет монтировать внешние устройства USB, CD и т д</w:t>
      </w:r>
    </w:p>
    <w:p>
      <w:pPr>
        <w:pStyle w:val="Compact"/>
        <w:numPr>
          <w:ilvl w:val="0"/>
          <w:numId w:val="1001"/>
        </w:numPr>
      </w:pPr>
      <w:r>
        <w:t xml:space="preserve">staff - разрешает запись в папку /usr/local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 установленной операционной системе создайте учётную запись пользователя guest2 (используя учётную запись администратора)</w:t>
      </w:r>
    </w:p>
    <w:p>
      <w:pPr>
        <w:pStyle w:val="FirstParagraph"/>
      </w:pPr>
      <w:r>
        <w:t xml:space="preserve">Guest1 был создан в ходе выполнения лабораторной работы №2.</w:t>
      </w:r>
    </w:p>
    <w:bookmarkStart w:id="25" w:name="fig:001"/>
    <w:p>
      <w:pPr>
        <w:pStyle w:val="CaptionedFigure"/>
      </w:pPr>
      <w:r>
        <w:drawing>
          <wp:inline>
            <wp:extent cx="3479800" cy="368300"/>
            <wp:effectExtent b="0" l="0" r="0" t="0"/>
            <wp:docPr descr="Рис. 1: Создание новог опользовател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 опользователя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Задаем пароль для пользователя guest2.</w:t>
      </w:r>
    </w:p>
    <w:bookmarkStart w:id="29" w:name="fig:002"/>
    <w:p>
      <w:pPr>
        <w:pStyle w:val="CaptionedFigure"/>
      </w:pPr>
      <w:r>
        <w:drawing>
          <wp:inline>
            <wp:extent cx="3733800" cy="843399"/>
            <wp:effectExtent b="0" l="0" r="0" t="0"/>
            <wp:docPr descr="Рис. 2: Пароль пользовател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3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Пароль пользователя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Добавим пользователя guest2 в группу guest:</w:t>
      </w:r>
    </w:p>
    <w:bookmarkStart w:id="33" w:name="fig:003"/>
    <w:p>
      <w:pPr>
        <w:pStyle w:val="CaptionedFigure"/>
      </w:pPr>
      <w:r>
        <w:drawing>
          <wp:inline>
            <wp:extent cx="3733800" cy="386255"/>
            <wp:effectExtent b="0" l="0" r="0" t="0"/>
            <wp:docPr descr="Рис. 3: Группа gues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Группа guest</w:t>
      </w:r>
    </w:p>
    <w:bookmarkEnd w:id="33"/>
    <w:p>
      <w:pPr>
        <w:pStyle w:val="Compact"/>
        <w:numPr>
          <w:ilvl w:val="0"/>
          <w:numId w:val="1005"/>
        </w:numPr>
      </w:pPr>
      <w:r>
        <w:t xml:space="preserve">Осуществите вход в систему от двух пользователей на двух разных консолях.</w:t>
      </w:r>
    </w:p>
    <w:bookmarkStart w:id="37" w:name="fig:004"/>
    <w:p>
      <w:pPr>
        <w:pStyle w:val="CaptionedFigure"/>
      </w:pPr>
      <w:r>
        <w:drawing>
          <wp:inline>
            <wp:extent cx="3733800" cy="1611107"/>
            <wp:effectExtent b="0" l="0" r="0" t="0"/>
            <wp:docPr descr="Рис. 4: Вход в систему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Вход в систему</w:t>
      </w:r>
    </w:p>
    <w:bookmarkEnd w:id="37"/>
    <w:p>
      <w:pPr>
        <w:pStyle w:val="Compact"/>
        <w:numPr>
          <w:ilvl w:val="0"/>
          <w:numId w:val="1006"/>
        </w:numPr>
      </w:pPr>
      <w:r>
        <w:t xml:space="preserve">Для обоих пользователей командой pwd определим директорию, в которой мы находитесь. Сравним её с приглашениями командной строки</w:t>
      </w:r>
    </w:p>
    <w:bookmarkStart w:id="41" w:name="fig:005"/>
    <w:p>
      <w:pPr>
        <w:pStyle w:val="CaptionedFigure"/>
      </w:pPr>
      <w:r>
        <w:drawing>
          <wp:inline>
            <wp:extent cx="3733800" cy="914645"/>
            <wp:effectExtent b="0" l="0" r="0" t="0"/>
            <wp:docPr descr="Рис. 5: Определение директории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Определение директории</w:t>
      </w:r>
    </w:p>
    <w:bookmarkEnd w:id="41"/>
    <w:p>
      <w:pPr>
        <w:pStyle w:val="Compact"/>
        <w:numPr>
          <w:ilvl w:val="0"/>
          <w:numId w:val="1007"/>
        </w:numPr>
      </w:pPr>
      <w:r>
        <w:t xml:space="preserve">Уточним имя вашего пользователя, его группу, кто входит в неё и к каким группам принадлежит он сам. Определим командами</w:t>
      </w:r>
      <w:r>
        <w:t xml:space="preserve"> </w:t>
      </w:r>
      <w:r>
        <w:t xml:space="preserve">groups guest и groups guest2, в какие группы входят пользователи guest и guest2. Сравним вывод команды groups с выводом команд id -Gn и id -G :</w:t>
      </w:r>
    </w:p>
    <w:bookmarkStart w:id="45" w:name="fig:006"/>
    <w:p>
      <w:pPr>
        <w:pStyle w:val="CaptionedFigure"/>
      </w:pPr>
      <w:r>
        <w:drawing>
          <wp:inline>
            <wp:extent cx="3733800" cy="609356"/>
            <wp:effectExtent b="0" l="0" r="0" t="0"/>
            <wp:docPr descr="Рис. 6: Сравнение данных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Сравнение данных</w:t>
      </w:r>
    </w:p>
    <w:bookmarkEnd w:id="45"/>
    <w:p>
      <w:pPr>
        <w:pStyle w:val="Compact"/>
        <w:numPr>
          <w:ilvl w:val="0"/>
          <w:numId w:val="1008"/>
        </w:numPr>
      </w:pPr>
      <w:r>
        <w:t xml:space="preserve">Сравним полученную информацию с содержимым файла /etc/group :</w:t>
      </w:r>
    </w:p>
    <w:bookmarkStart w:id="49" w:name="fig:007"/>
    <w:p>
      <w:pPr>
        <w:pStyle w:val="CaptionedFigure"/>
      </w:pPr>
      <w:r>
        <w:drawing>
          <wp:inline>
            <wp:extent cx="3733800" cy="401324"/>
            <wp:effectExtent b="0" l="0" r="0" t="0"/>
            <wp:docPr descr="Рис. 7: Инофрмация в /etc/group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Инофрмация в /etc/group</w:t>
      </w:r>
    </w:p>
    <w:bookmarkEnd w:id="49"/>
    <w:p>
      <w:pPr>
        <w:pStyle w:val="Compact"/>
        <w:numPr>
          <w:ilvl w:val="0"/>
          <w:numId w:val="1009"/>
        </w:numPr>
      </w:pPr>
      <w:r>
        <w:t xml:space="preserve">От имени пользователя guest2 выполним регистрацию пользователя guest2 в группе guest командой newgrp guest :</w:t>
      </w:r>
    </w:p>
    <w:bookmarkStart w:id="53" w:name="fig:008"/>
    <w:p>
      <w:pPr>
        <w:pStyle w:val="CaptionedFigure"/>
      </w:pPr>
      <w:r>
        <w:drawing>
          <wp:inline>
            <wp:extent cx="3733800" cy="335084"/>
            <wp:effectExtent b="0" l="0" r="0" t="0"/>
            <wp:docPr descr="Рис. 8: Регистрация пользователя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Регистрация пользователя</w:t>
      </w:r>
    </w:p>
    <w:bookmarkEnd w:id="53"/>
    <w:p>
      <w:pPr>
        <w:pStyle w:val="Compact"/>
        <w:numPr>
          <w:ilvl w:val="0"/>
          <w:numId w:val="1010"/>
        </w:numPr>
      </w:pPr>
      <w:r>
        <w:t xml:space="preserve">От имени пользователя guest изменим права директории /home/guest, разрешив все действия для пользователей группы: chmod g+rwx /home/guest</w:t>
      </w:r>
    </w:p>
    <w:bookmarkStart w:id="57" w:name="fig:009"/>
    <w:p>
      <w:pPr>
        <w:pStyle w:val="CaptionedFigure"/>
      </w:pPr>
      <w:r>
        <w:drawing>
          <wp:inline>
            <wp:extent cx="3733800" cy="1665923"/>
            <wp:effectExtent b="0" l="0" r="0" t="0"/>
            <wp:docPr descr="Рис. 9: Изменения прав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5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Изменения прав</w:t>
      </w:r>
    </w:p>
    <w:bookmarkEnd w:id="57"/>
    <w:p>
      <w:pPr>
        <w:pStyle w:val="Compact"/>
        <w:numPr>
          <w:ilvl w:val="0"/>
          <w:numId w:val="1011"/>
        </w:numPr>
      </w:pPr>
      <w:r>
        <w:t xml:space="preserve">От имени пользователя guest снимем с директории /home/guest/dir1 все атрибуты командой chmod 000 dir1 :</w:t>
      </w:r>
    </w:p>
    <w:bookmarkStart w:id="61" w:name="fig:0010"/>
    <w:p>
      <w:pPr>
        <w:pStyle w:val="CaptionedFigure"/>
      </w:pPr>
      <w:r>
        <w:drawing>
          <wp:inline>
            <wp:extent cx="3733800" cy="783148"/>
            <wp:effectExtent b="0" l="0" r="0" t="0"/>
            <wp:docPr descr="Рис. 10: Снятие атрибутов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Снятие атрибутов</w:t>
      </w:r>
    </w:p>
    <w:bookmarkEnd w:id="61"/>
    <w:bookmarkStart w:id="62" w:name="заполнение-таблицы-3.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Заполнение таблицы 3.1</w:t>
      </w:r>
    </w:p>
    <w:p>
      <w:pPr>
        <w:pStyle w:val="Compact"/>
        <w:numPr>
          <w:ilvl w:val="0"/>
          <w:numId w:val="1012"/>
        </w:numPr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  <w:r>
        <w:t xml:space="preserve"> </w:t>
      </w:r>
      <w:r>
        <w:t xml:space="preserve">Сравните табл. 2.1 (из лабораторной работы № 2) и табл. 3.1.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62"/>
    <w:bookmarkStart w:id="63" w:name="заполнение-таблицы-3.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Заполнение таблицы 3.2</w:t>
      </w:r>
    </w:p>
    <w:p>
      <w:pPr>
        <w:pStyle w:val="Compact"/>
        <w:numPr>
          <w:ilvl w:val="0"/>
          <w:numId w:val="1013"/>
        </w:numPr>
      </w:pP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p>
      <w:pPr>
        <w:pStyle w:val="BodyText"/>
      </w:pPr>
      <w:r>
        <w:t xml:space="preserve">Сравнивая таблицу 3.1. с таблицей 2.1, можно сказать, что они одинаковы. Единственное различие в том, что в предыдущий раз мы присваивали права владельцу, а в этот раз группе.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 для групп пользователей</w:t>
      </w:r>
    </w:p>
    <w:bookmarkEnd w:id="65"/>
    <w:bookmarkStart w:id="66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Группы пользователей: https://losst.pro/gruppy-polzovatelej-linux#%D0%A7%D1%82%D0%BE_%D1%82%D0%B0%D0%BA%D0%BE%D0%B5_%D0%B3%D1%80%D1%83%D0%BF%D0%BF%D1%8B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</dc:title>
  <dc:creator>Кармацкий Никита Сергеевич</dc:creator>
  <dc:language>ru-RU</dc:language>
  <cp:keywords/>
  <dcterms:created xsi:type="dcterms:W3CDTF">2024-09-21T17:59:24Z</dcterms:created>
  <dcterms:modified xsi:type="dcterms:W3CDTF">2024-09-21T17:59:24Z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Два пользователя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