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пятому этапу индивидуального проекта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  <w:r>
        <w:t xml:space="preserve">.</w:t>
      </w:r>
    </w:p>
    <w:bookmarkEnd w:id="21"/>
    <w:bookmarkStart w:id="114" w:name="выполнение-лабораторной-работыё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работыё</w:t>
      </w:r>
    </w:p>
    <w:p>
      <w:pPr>
        <w:pStyle w:val="FirstParagraph"/>
      </w:pPr>
      <w:r>
        <w:t xml:space="preserve">Запускаем локальный сервер Apache (рис. 1).</w:t>
      </w:r>
    </w:p>
    <w:bookmarkStart w:id="25" w:name="fig:001"/>
    <w:p>
      <w:pPr>
        <w:pStyle w:val="CaptionedFigure"/>
      </w:pPr>
      <w:r>
        <w:drawing>
          <wp:inline>
            <wp:extent cx="3733800" cy="1364923"/>
            <wp:effectExtent b="0" l="0" r="0" t="0"/>
            <wp:docPr descr="Рис. 1: 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bookmarkEnd w:id="25"/>
    <w:p>
      <w:pPr>
        <w:pStyle w:val="BodyText"/>
      </w:pPr>
      <w:r>
        <w:t xml:space="preserve">Запускаем инструмент Burp Suite (рис. 2).</w:t>
      </w:r>
    </w:p>
    <w:bookmarkStart w:id="29" w:name="fig:002"/>
    <w:p>
      <w:pPr>
        <w:pStyle w:val="CaptionedFigure"/>
      </w:pPr>
      <w:r>
        <w:drawing>
          <wp:inline>
            <wp:extent cx="3733800" cy="1838514"/>
            <wp:effectExtent b="0" l="0" r="0" t="0"/>
            <wp:docPr descr="Рис. 2: Запуск приложен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приложения</w:t>
      </w:r>
    </w:p>
    <w:bookmarkEnd w:id="29"/>
    <w:p>
      <w:pPr>
        <w:pStyle w:val="BodyText"/>
      </w:pPr>
      <w:r>
        <w:t xml:space="preserve">Измененяем настроек сервера для работы с proxy и захватом данных с помощью Burp Suite (рис. 3).</w:t>
      </w:r>
    </w:p>
    <w:bookmarkStart w:id="33" w:name="fig:003"/>
    <w:p>
      <w:pPr>
        <w:pStyle w:val="CaptionedFigure"/>
      </w:pPr>
      <w:r>
        <w:drawing>
          <wp:inline>
            <wp:extent cx="3733800" cy="2248765"/>
            <wp:effectExtent b="0" l="0" r="0" t="0"/>
            <wp:docPr descr="Рис. 3: Настройки серве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Настройки сервера</w:t>
      </w:r>
    </w:p>
    <w:bookmarkEnd w:id="33"/>
    <w:p>
      <w:pPr>
        <w:pStyle w:val="BodyText"/>
      </w:pPr>
      <w:r>
        <w:t xml:space="preserve">Изменяем настройки Proxy инструмента Burp Suite для дальнейшей работы (рис. 4).</w:t>
      </w:r>
    </w:p>
    <w:bookmarkStart w:id="37" w:name="fig:004"/>
    <w:p>
      <w:pPr>
        <w:pStyle w:val="CaptionedFigure"/>
      </w:pPr>
      <w:r>
        <w:drawing>
          <wp:inline>
            <wp:extent cx="3733800" cy="2386589"/>
            <wp:effectExtent b="0" l="0" r="0" t="0"/>
            <wp:docPr descr="Рис. 4: Настройки Burp Suite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Burp Suite</w:t>
      </w:r>
    </w:p>
    <w:bookmarkEnd w:id="37"/>
    <w:p>
      <w:pPr>
        <w:pStyle w:val="BodyText"/>
      </w:pPr>
      <w:r>
        <w:t xml:space="preserve">Во вкладке Proxy устанавливаем</w:t>
      </w:r>
      <w:r>
        <w:t xml:space="preserve"> </w:t>
      </w:r>
      <w:r>
        <w:t xml:space="preserve">“Intercept is on”</w:t>
      </w:r>
      <w:r>
        <w:t xml:space="preserve"> </w:t>
      </w:r>
      <w:r>
        <w:t xml:space="preserve">(рис. 5).</w:t>
      </w:r>
    </w:p>
    <w:bookmarkStart w:id="41" w:name="fig:005"/>
    <w:p>
      <w:pPr>
        <w:pStyle w:val="CaptionedFigure"/>
      </w:pPr>
      <w:r>
        <w:drawing>
          <wp:inline>
            <wp:extent cx="3733800" cy="1505147"/>
            <wp:effectExtent b="0" l="0" r="0" t="0"/>
            <wp:docPr descr="Рис. 5: Настройки Proxy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Proxy</w:t>
      </w:r>
    </w:p>
    <w:bookmarkEnd w:id="41"/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 6).</w:t>
      </w:r>
    </w:p>
    <w:bookmarkStart w:id="45" w:name="fig:006"/>
    <w:p>
      <w:pPr>
        <w:pStyle w:val="CaptionedFigure"/>
      </w:pPr>
      <w:r>
        <w:drawing>
          <wp:inline>
            <wp:extent cx="3733800" cy="1071614"/>
            <wp:effectExtent b="0" l="0" r="0" t="0"/>
            <wp:docPr descr="Рис. 6: Настройки параметров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 параметров</w:t>
      </w:r>
    </w:p>
    <w:bookmarkEnd w:id="45"/>
    <w:p>
      <w:pPr>
        <w:pStyle w:val="BodyText"/>
      </w:pPr>
      <w:r>
        <w:t xml:space="preserve">Пытаемся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“Forward”</w:t>
      </w:r>
      <w:r>
        <w:t xml:space="preserve">, чтобы загрузить страницу (рис. 7).</w:t>
      </w:r>
    </w:p>
    <w:bookmarkStart w:id="49" w:name="fig:007"/>
    <w:p>
      <w:pPr>
        <w:pStyle w:val="CaptionedFigure"/>
      </w:pPr>
      <w:r>
        <w:drawing>
          <wp:inline>
            <wp:extent cx="3733800" cy="1850861"/>
            <wp:effectExtent b="0" l="0" r="0" t="0"/>
            <wp:docPr descr="Рис. 7: Получаемые запросы серве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Получаемые запросы сервера</w:t>
      </w:r>
    </w:p>
    <w:bookmarkEnd w:id="49"/>
    <w:p>
      <w:pPr>
        <w:pStyle w:val="BodyText"/>
      </w:pPr>
      <w:r>
        <w:t xml:space="preserve">Загрузилась страница авторизации, текст запроса поменялся (рис. 8).</w:t>
      </w:r>
    </w:p>
    <w:bookmarkStart w:id="53" w:name="fig:008"/>
    <w:p>
      <w:pPr>
        <w:pStyle w:val="CaptionedFigure"/>
      </w:pPr>
      <w:r>
        <w:drawing>
          <wp:inline>
            <wp:extent cx="3733800" cy="2332307"/>
            <wp:effectExtent b="0" l="0" r="0" t="0"/>
            <wp:docPr descr="Рис. 8: Страница авторизаци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Страница авторизации</w:t>
      </w:r>
    </w:p>
    <w:bookmarkEnd w:id="53"/>
    <w:p>
      <w:pPr>
        <w:pStyle w:val="BodyText"/>
      </w:pPr>
      <w:r>
        <w:t xml:space="preserve">История запросов хранится во вкладке Target (рис. 9).</w:t>
      </w:r>
    </w:p>
    <w:bookmarkStart w:id="57" w:name="fig:009"/>
    <w:p>
      <w:pPr>
        <w:pStyle w:val="CaptionedFigure"/>
      </w:pPr>
      <w:r>
        <w:drawing>
          <wp:inline>
            <wp:extent cx="3733800" cy="2525171"/>
            <wp:effectExtent b="0" l="0" r="0" t="0"/>
            <wp:docPr descr="Рис. 9: История запросов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История запросов</w:t>
      </w:r>
    </w:p>
    <w:bookmarkEnd w:id="57"/>
    <w:p>
      <w:pPr>
        <w:pStyle w:val="BodyText"/>
      </w:pPr>
      <w:r>
        <w:t xml:space="preserve">Попробуем ввести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 10).</w:t>
      </w:r>
    </w:p>
    <w:bookmarkStart w:id="61" w:name="fig:010"/>
    <w:p>
      <w:pPr>
        <w:pStyle w:val="CaptionedFigure"/>
      </w:pPr>
      <w:r>
        <w:drawing>
          <wp:inline>
            <wp:extent cx="3733800" cy="2830591"/>
            <wp:effectExtent b="0" l="0" r="0" t="0"/>
            <wp:docPr descr="Рис. 10: Ввод случайных данных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Ввод случайных данных</w:t>
      </w:r>
    </w:p>
    <w:bookmarkEnd w:id="61"/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“Send to Intruder”</w:t>
      </w:r>
      <w:r>
        <w:t xml:space="preserve"> </w:t>
      </w:r>
      <w:r>
        <w:t xml:space="preserve">(рис. 11).</w:t>
      </w:r>
    </w:p>
    <w:bookmarkStart w:id="65" w:name="fig:011"/>
    <w:p>
      <w:pPr>
        <w:pStyle w:val="CaptionedFigure"/>
      </w:pPr>
      <w:r>
        <w:drawing>
          <wp:inline>
            <wp:extent cx="3733800" cy="2256592"/>
            <wp:effectExtent b="0" l="0" r="0" t="0"/>
            <wp:docPr descr="Рис. 11: POST-запрос с вводом пароля и логин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POST-запрос с вводом пароля и логина</w:t>
      </w:r>
    </w:p>
    <w:bookmarkEnd w:id="65"/>
    <w:p>
      <w:pPr>
        <w:pStyle w:val="BodyText"/>
      </w:pPr>
      <w:r>
        <w:t xml:space="preserve">Попадаем на вкладку Intruder, видим значения по умолчанию у типа атаки и наш запрос (рис. 12).</w:t>
      </w:r>
    </w:p>
    <w:bookmarkStart w:id="69" w:name="fig:012"/>
    <w:p>
      <w:pPr>
        <w:pStyle w:val="CaptionedFigure"/>
      </w:pPr>
      <w:r>
        <w:drawing>
          <wp:inline>
            <wp:extent cx="3733800" cy="2607928"/>
            <wp:effectExtent b="0" l="0" r="0" t="0"/>
            <wp:docPr descr="Рис. 12: Вкладка Intruder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Вкладка Intruder</w:t>
      </w:r>
    </w:p>
    <w:bookmarkEnd w:id="69"/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 13).</w:t>
      </w:r>
    </w:p>
    <w:bookmarkStart w:id="73" w:name="fig:013"/>
    <w:p>
      <w:pPr>
        <w:pStyle w:val="CaptionedFigure"/>
      </w:pPr>
      <w:r>
        <w:drawing>
          <wp:inline>
            <wp:extent cx="3733800" cy="2726202"/>
            <wp:effectExtent b="0" l="0" r="0" t="0"/>
            <wp:docPr descr="Рис. 13: Изменение типа атак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типа атаки</w:t>
      </w:r>
    </w:p>
    <w:bookmarkEnd w:id="73"/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 14).</w:t>
      </w:r>
    </w:p>
    <w:bookmarkStart w:id="77" w:name="fig:014"/>
    <w:p>
      <w:pPr>
        <w:pStyle w:val="CaptionedFigure"/>
      </w:pPr>
      <w:r>
        <w:drawing>
          <wp:inline>
            <wp:extent cx="3733800" cy="3477279"/>
            <wp:effectExtent b="0" l="0" r="0" t="0"/>
            <wp:docPr descr="Рис. 14: Первый Simple list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Первый Simple list</w:t>
      </w:r>
    </w:p>
    <w:bookmarkEnd w:id="77"/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 15).</w:t>
      </w:r>
    </w:p>
    <w:bookmarkStart w:id="81" w:name="fig:015"/>
    <w:p>
      <w:pPr>
        <w:pStyle w:val="CaptionedFigure"/>
      </w:pPr>
      <w:r>
        <w:drawing>
          <wp:inline>
            <wp:extent cx="3733800" cy="3746184"/>
            <wp:effectExtent b="0" l="0" r="0" t="0"/>
            <wp:docPr descr="Рис. 15: Второй Simple list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Второй Simple list</w:t>
      </w:r>
    </w:p>
    <w:bookmarkEnd w:id="81"/>
    <w:p>
      <w:pPr>
        <w:pStyle w:val="BodyText"/>
      </w:pPr>
      <w:r>
        <w:t xml:space="preserve">Запускаем атаку и начинаем подбор (рис. 16).</w:t>
      </w:r>
    </w:p>
    <w:bookmarkStart w:id="85" w:name="fig:016"/>
    <w:p>
      <w:pPr>
        <w:pStyle w:val="CaptionedFigure"/>
      </w:pPr>
      <w:r>
        <w:drawing>
          <wp:inline>
            <wp:extent cx="3733800" cy="1865488"/>
            <wp:effectExtent b="0" l="0" r="0" t="0"/>
            <wp:docPr descr="Рис. 16: Запуск атак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атаки</w:t>
      </w:r>
    </w:p>
    <w:bookmarkEnd w:id="85"/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 17).</w:t>
      </w:r>
    </w:p>
    <w:bookmarkStart w:id="89" w:name="fig:017"/>
    <w:p>
      <w:pPr>
        <w:pStyle w:val="CaptionedFigure"/>
      </w:pPr>
      <w:r>
        <w:drawing>
          <wp:inline>
            <wp:extent cx="3733800" cy="2493254"/>
            <wp:effectExtent b="0" l="0" r="0" t="0"/>
            <wp:docPr descr="Рис. 17: Результат запрос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запроса</w:t>
      </w:r>
    </w:p>
    <w:bookmarkEnd w:id="89"/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 18).</w:t>
      </w:r>
    </w:p>
    <w:bookmarkStart w:id="93" w:name="fig:018"/>
    <w:p>
      <w:pPr>
        <w:pStyle w:val="CaptionedFigure"/>
      </w:pPr>
      <w:r>
        <w:drawing>
          <wp:inline>
            <wp:extent cx="3733800" cy="1760653"/>
            <wp:effectExtent b="0" l="0" r="0" t="0"/>
            <wp:docPr descr="Рис. 18: Результат запрос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запроса</w:t>
      </w:r>
    </w:p>
    <w:bookmarkEnd w:id="93"/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“Send to Repeater”</w:t>
      </w:r>
      <w:r>
        <w:t xml:space="preserve"> </w:t>
      </w:r>
      <w:r>
        <w:t xml:space="preserve">(рис. 19).</w:t>
      </w:r>
    </w:p>
    <w:bookmarkStart w:id="97" w:name="fig:019"/>
    <w:p>
      <w:pPr>
        <w:pStyle w:val="CaptionedFigure"/>
      </w:pPr>
      <w:r>
        <w:drawing>
          <wp:inline>
            <wp:extent cx="3733800" cy="2783681"/>
            <wp:effectExtent b="0" l="0" r="0" t="0"/>
            <wp:docPr descr="Рис. 19: Дополнительная проверка результат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Дополнительная проверка результата</w:t>
      </w:r>
    </w:p>
    <w:bookmarkEnd w:id="97"/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“Repeater”</w:t>
      </w:r>
      <w:r>
        <w:t xml:space="preserve"> </w:t>
      </w:r>
      <w:r>
        <w:t xml:space="preserve">(рис. 20).</w:t>
      </w:r>
    </w:p>
    <w:bookmarkStart w:id="101" w:name="fig:020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20: Вкладка Repeater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Вкладка Repeater</w:t>
      </w:r>
    </w:p>
    <w:bookmarkEnd w:id="101"/>
    <w:p>
      <w:pPr>
        <w:pStyle w:val="BodyText"/>
      </w:pPr>
      <w:r>
        <w:t xml:space="preserve">Нажимаем</w:t>
      </w:r>
      <w:r>
        <w:t xml:space="preserve"> </w:t>
      </w:r>
      <w:r>
        <w:t xml:space="preserve">“send”</w:t>
      </w:r>
      <w:r>
        <w:t xml:space="preserve">, получаем в Response в результат перенаправление на index.php (рис. 21).</w:t>
      </w:r>
    </w:p>
    <w:bookmarkStart w:id="105" w:name="fig:021"/>
    <w:p>
      <w:pPr>
        <w:pStyle w:val="CaptionedFigure"/>
      </w:pPr>
      <w:r>
        <w:drawing>
          <wp:inline>
            <wp:extent cx="3733800" cy="2166484"/>
            <wp:effectExtent b="0" l="0" r="0" t="0"/>
            <wp:docPr descr="Рис. 21: Окно Response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Окно Response</w:t>
      </w:r>
    </w:p>
    <w:bookmarkEnd w:id="105"/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 22).</w:t>
      </w:r>
    </w:p>
    <w:bookmarkStart w:id="109" w:name="fig:022"/>
    <w:p>
      <w:pPr>
        <w:pStyle w:val="CaptionedFigure"/>
      </w:pPr>
      <w:r>
        <w:drawing>
          <wp:inline>
            <wp:extent cx="3733800" cy="2590222"/>
            <wp:effectExtent b="0" l="0" r="0" t="0"/>
            <wp:docPr descr="Рис. 22: Изменение в окне Response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Изменение в окне Response</w:t>
      </w:r>
    </w:p>
    <w:bookmarkEnd w:id="109"/>
    <w:p>
      <w:pPr>
        <w:pStyle w:val="BodyText"/>
      </w:pPr>
      <w:r>
        <w:t xml:space="preserve">Далее в подокне Render получим то, как выглядит полученная страница (рис.</w:t>
      </w:r>
      <w:r>
        <w:t xml:space="preserve"> </w:t>
      </w:r>
      <w:r>
        <w:rPr>
          <w:b/>
          <w:bCs/>
        </w:rPr>
        <w:t xml:space="preserve">¿fig:023?</w:t>
      </w:r>
      <w:r>
        <w:t xml:space="preserve">).</w:t>
      </w:r>
    </w:p>
    <w:p>
      <w:pPr>
        <w:pStyle w:val="BodyText"/>
      </w:pPr>
      <w:bookmarkStart w:id="113" w:name="fig:023"/>
      <w:r>
        <w:drawing>
          <wp:inline>
            <wp:extent cx="3733800" cy="3489717"/>
            <wp:effectExtent b="0" l="0" r="0" t="0"/>
            <wp:docPr descr="Полученная страниц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  <w:r>
        <w:t xml:space="preserve"> </w:t>
      </w:r>
      <w:r>
        <w:t xml:space="preserve"># Вывод</w:t>
      </w:r>
    </w:p>
    <w:p>
      <w:pPr>
        <w:pStyle w:val="BodyText"/>
      </w:pPr>
      <w:r>
        <w:t xml:space="preserve">Научились использовть инструмент Burp Suite</w:t>
      </w:r>
    </w:p>
    <w:bookmarkEnd w:id="114"/>
    <w:bookmarkStart w:id="11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пятому этапу индивидуального проекта</dc:title>
  <dc:creator>Кармацкий Никита Сергеевич</dc:creator>
  <dc:language>ru-RU</dc:language>
  <cp:keywords/>
  <dcterms:created xsi:type="dcterms:W3CDTF">2024-10-12T17:33:16Z</dcterms:created>
  <dcterms:modified xsi:type="dcterms:W3CDTF">2024-10-12T17:33:16Z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9pt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Scale=MatchLowercase,Scale=0.6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Информационная безопасность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