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2181225" cy="17001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0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FACULDADE CESAR SCHOOL</w:t>
        <w:br w:type="textWrapping"/>
        <w:t xml:space="preserve">CURSO DE GRADUAÇÃO EM CIÊNCIA DA COMPUTAÇÃO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Skynodes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Grafos — Definição Formal: Malha Aérea Brasileira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Irvin Amilcar de Farias Botelho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Jerônimo Barbosa Rossi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Martins Verissimo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Vinicius Jose Matias Marques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RECIFE</w:t>
        <w:br w:type="textWrapping"/>
        <w:t xml:space="preserve">JUNHO/2026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1. DEFINIÇÃO FORMAL — G = (V, E, 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grafo Skynodes é definido formalmente como uma tripla G = (V, E, w), 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V é o conjunto finito de vértices, cada um representando um aeroporto brasileiro identificado pelo seu código 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ind w:firstLine="709"/>
        <w:jc w:val="both"/>
        <w:rPr/>
      </w:pPr>
      <w:sdt>
        <w:sdtPr>
          <w:id w:val="10054874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E ⊆ { {u, v} | u, v ∈ V, u ≠ v } é o conjunto de arestas não-direcionadas, cada uma representando uma rota aérea entre dois aeroportos.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ind w:firstLine="709"/>
        <w:jc w:val="both"/>
        <w:rPr/>
      </w:pPr>
      <w:sdt>
        <w:sdtPr>
          <w:id w:val="1652607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w : E → ℝ₊ é a função de peso que atribui um valor real positivo a cada aresta, calculado pela fórmula híbrida descrita na Seção 4.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grafo satisfaz as seguintes propriedades fundamentais:</w:t>
      </w:r>
      <w:r w:rsidDel="00000000" w:rsidR="00000000" w:rsidRPr="00000000">
        <w:rPr>
          <w:rtl w:val="0"/>
        </w:rPr>
      </w:r>
    </w:p>
    <w:tbl>
      <w:tblPr>
        <w:tblStyle w:val="Table1"/>
        <w:tblW w:w="94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Propriedade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Não-direcionado, simples (sem laços ou arestas múltiplas), ponderado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Ordem — |V|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Tamanho — |E|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Conectado?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sdt>
              <w:sdtPr>
                <w:id w:val="-1085019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Sim — ∀ u, v ∈ V, ∃ caminho u ↝ 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Densidade — δ(G)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0,2632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Peso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Peso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1: Propriedades formais do grafo G = (V, E, 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densidade é calculada pela fórmula para grafos simples não-direcionados: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="276" w:lineRule="auto"/>
        <w:jc w:val="center"/>
        <w:rPr/>
      </w:pPr>
      <w:sdt>
        <w:sdtPr>
          <w:id w:val="82534541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δ(G) = (2 · |E|) / (|V| · (|V| − 1)) = (2 · 50) / (20 · 19) = 100 / 380 ≈ 0,2632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2. VÉRTICES — V: ESTRUTURA DO 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conjunto de vértices é definido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V = { MAO, BEL, PVH, RBR, REC, SSA, FOR, NAT, JPA, THE, GRU, CGH, GIG, CNF, VIX, CWB, FLN, POA, BSB, GYN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ind w:firstLine="709"/>
        <w:jc w:val="both"/>
        <w:rPr/>
      </w:pPr>
      <w:sdt>
        <w:sdtPr>
          <w:id w:val="-71027428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Cada vértice v ∈ V carrega os seguintes atributos (lidos de aeroportos_data.csv):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Identificador único (chave primária)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Nome oficial do aeroporto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Município 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Região geográfica: Norte, Nordeste, Sudeste, Sul ou Centro-Oeste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int {0,1}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 se o aeroporto é hub nacional (GRU, BSB ou GIG), 0 caso contrário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distribuição regional dos 20 vértices é a seguinte: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Vértices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|V_r|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MAO, BEL, PVH, RBR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Nordeste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REC, SSA, FOR, NAT, JPA, 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GRU, CGH, GIG, CNF, VIX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CWB, FLN, 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Centro-Oeste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BSB, GYN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2: Partição de V por região geográfica.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grau de cada vértice v, denotado deg(v), é o número de arestas incidentes em v. O grau máximo pertence a GRU (deg = 11) e o grau mínimo a GYN (deg = 1). O grau médio da rede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d̄ = (2 · |E|) / |V| = (2 · 50) / 20 = 5,00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3. ARESTAS — E: CRITÉRIOS DE EXISTÊNCIA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ind w:firstLine="709"/>
        <w:jc w:val="both"/>
        <w:rPr/>
      </w:pPr>
      <w:sdt>
        <w:sdtPr>
          <w:id w:val="108843476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Uma aresta {u, v} ∈ E existe se e somente se o par (u, v) satisfaz ao menos uma das três regras hierárquicas de modelagem. As regras são mutuamente não-exclusivas: um par pode satisfazer múltiplas regras, mas a aresta é registrada apenas uma vez, com o tipo e peso da regra de maior prioridade (menor número de regra).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Regra 1 — Clique Intra-Regional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="276" w:lineRule="auto"/>
        <w:jc w:val="center"/>
        <w:rPr/>
      </w:pPr>
      <w:sdt>
        <w:sdtPr>
          <w:id w:val="-1433649540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z w:val="24"/>
              <w:szCs w:val="24"/>
              <w:rtl w:val="0"/>
            </w:rPr>
            <w:t xml:space="preserve">{u, v} ∈ E₁ ⟺ regiao(u) = regiao(v)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Todos os pares de aeroportos da mesma região estão conectados. Isso garante que cada subgrafo induzido G[V_r] é um clique completo K|V_r|.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|V_r|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|E_r| = C(|V_r|,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peso_base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Nordeste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Centro-Oeste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3: Subgrafos regionais. Todos os |E_r| = C(|V_r|, 2) confirmam cliques 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Regra 2 — Conexão via Hub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Os hubs nacionais são H = {GRU, BSB, GIG}. As arestas de hub conectam aeroportos de outras regiões diretamente a um hub nacional: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="276" w:lineRule="auto"/>
        <w:jc w:val="center"/>
        <w:rPr/>
      </w:pPr>
      <w:sdt>
        <w:sdtPr>
          <w:id w:val="802444038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z w:val="24"/>
              <w:szCs w:val="24"/>
              <w:rtl w:val="0"/>
            </w:rPr>
            <w:t xml:space="preserve">{u, v} ∈ E₂ ⟺ (v ∈ H) ∧ (regiao(u) ≠ regiao(v)) ∧ (conexao_hub(u, v) = True)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mapeamento explícito de quais aeroportos se conectam a qual hub é:</w:t>
      </w:r>
      <w:r w:rsidDel="00000000" w:rsidR="00000000" w:rsidRPr="00000000">
        <w:rPr>
          <w:rtl w:val="0"/>
        </w:rPr>
      </w:r>
    </w:p>
    <w:tbl>
      <w:tblPr>
        <w:tblStyle w:val="Table5"/>
        <w:tblW w:w="94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Aeroportos conectados (fora da região do 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MAO, REC, SSA, FOR, POA, CWB, FLN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MAO, NAT, JPA, THE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(apenas conexões regionais na Regra 1; pontes via Regra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lineRule="auto"/>
        <w:jc w:val="center"/>
        <w:rPr/>
      </w:pPr>
      <w:sdt>
        <w:sdtPr>
          <w:id w:val="128383812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Quadro 4: Mapeamento hub → aeroportos pela Regra 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Regra 3 — Pontes Inter-Regionais 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Quatro arestas fixas garantem conectividade entre regiões insuficientemente cobertas pelas regras anteriores: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E₃ = { {BSB, BEL}, {BSB, REC}, {BSB, POA}, {GIG, SSA} }</w:t>
      </w: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Regiões conectadas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sdt>
              <w:sdtPr>
                <w:id w:val="-178980714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BSB ↔ BEL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sdt>
              <w:sdtPr>
                <w:id w:val="22152219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Centro-Oeste ↔ Norte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Integração Norte via Brasília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sdt>
              <w:sdtPr>
                <w:id w:val="-154137656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BSB ↔ REC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sdt>
              <w:sdtPr>
                <w:id w:val="159885647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Centro-Oeste ↔ Nordeste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Rota estratégica Brasília-Recife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sdt>
              <w:sdtPr>
                <w:id w:val="-183754762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BSB ↔ POA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left"/>
              <w:rPr/>
            </w:pPr>
            <w:sdt>
              <w:sdtPr>
                <w:id w:val="43804518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Centro-Oeste ↔ Sul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Ligação Brasília-Porto Alegre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left"/>
              <w:rPr/>
            </w:pPr>
            <w:sdt>
              <w:sdtPr>
                <w:id w:val="155138122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GIG ↔ SSA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left"/>
              <w:rPr/>
            </w:pPr>
            <w:sdt>
              <w:sdtPr>
                <w:id w:val="152507589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Sudeste ↔ Nordeste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Conexão Rio de Janeiro-Salvador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5: Arestas inter-regionais da Regra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4. FUNÇÃO DE PESO — w(u,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76" w:lineRule="auto"/>
        <w:ind w:firstLine="709"/>
        <w:jc w:val="both"/>
        <w:rPr/>
      </w:pPr>
      <w:sdt>
        <w:sdtPr>
          <w:id w:val="6508144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A função de peso w : E → ℝ₊ é definida pela fórmula híbrida: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w(u, v) = peso_base(u, v) + pen_regiao(u, v) + pen_hub(u,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Onde cada parcela é definida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peso_base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Determinado pelo tipo da aresta conforme as regras acima: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="276" w:lineRule="auto"/>
        <w:jc w:val="center"/>
        <w:rPr/>
      </w:pPr>
      <w:sdt>
        <w:sdtPr>
          <w:id w:val="-131315649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peso_base(u, v) = 1,0  se {u,v} ∈ E₁ (regional)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276" w:lineRule="auto"/>
        <w:jc w:val="center"/>
        <w:rPr/>
      </w:pPr>
      <w:sdt>
        <w:sdtPr>
          <w:id w:val="-138081558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                  2,0  se {u,v} ∈ E₂ (hub)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="276" w:lineRule="auto"/>
        <w:jc w:val="center"/>
        <w:rPr/>
      </w:pPr>
      <w:sdt>
        <w:sdtPr>
          <w:id w:val="-177351574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                  2,5  se {u,v} ∈ E₃ (inter_regional)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pen_regiao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Penaliza arestas entre aeroportos de regiões distintas: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pen_regiao(u, v) = 0,0  se regiao(u) = regiao(v)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="276" w:lineRule="auto"/>
        <w:jc w:val="center"/>
        <w:rPr/>
      </w:pPr>
      <w:sdt>
        <w:sdtPr>
          <w:id w:val="-168317011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                   1,0  se regiao(u) ≠ regiao(v)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pen_hub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Penaliza arestas onde nenhum dos dois extremos é hub nacional: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80" w:line="276" w:lineRule="auto"/>
        <w:jc w:val="center"/>
        <w:rPr/>
      </w:pPr>
      <w:sdt>
        <w:sdtPr>
          <w:id w:val="140086768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pen_hub(u, v) = 0,0  se u ∈ H ou v ∈ 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                0,5  caso contrário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lógica está implementada na função _calcular_peso em src/graphs/io.py.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Exemplos de aplicação</w:t>
      </w:r>
      <w:r w:rsidDel="00000000" w:rsidR="00000000" w:rsidRPr="00000000">
        <w:rPr>
          <w:rtl w:val="0"/>
        </w:rPr>
      </w:r>
    </w:p>
    <w:tbl>
      <w:tblPr>
        <w:tblStyle w:val="Table7"/>
        <w:tblW w:w="940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7"/>
        <w:gridCol w:w="1567"/>
        <w:gridCol w:w="1568"/>
        <w:gridCol w:w="1567"/>
        <w:gridCol w:w="1567"/>
        <w:gridCol w:w="1569"/>
        <w:tblGridChange w:id="0">
          <w:tblGrid>
            <w:gridCol w:w="1567"/>
            <w:gridCol w:w="1567"/>
            <w:gridCol w:w="1568"/>
            <w:gridCol w:w="1567"/>
            <w:gridCol w:w="1567"/>
            <w:gridCol w:w="1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peso_base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pen_regiao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pen_hub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w(u,v)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sdt>
              <w:sdtPr>
                <w:id w:val="-199974765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GRU ↔ GIG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sdt>
              <w:sdtPr>
                <w:id w:val="125664764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REC ↔ FOR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sdt>
              <w:sdtPr>
                <w:id w:val="166204802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MAO ↔ GRU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left"/>
              <w:rPr/>
            </w:pPr>
            <w:sdt>
              <w:sdtPr>
                <w:id w:val="-72052644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NAT ↔ BSB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sdt>
              <w:sdtPr>
                <w:id w:val="184131989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BSB ↔ BEL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inter_regional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sdt>
              <w:sdtPr>
                <w:id w:val="51650213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GIG ↔ SSA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inter_regional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6: Exemplos de aplicação da fórmula híbrida de pesos.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76" w:lineRule="auto"/>
        <w:ind w:firstLine="709"/>
        <w:jc w:val="both"/>
        <w:rPr/>
      </w:pPr>
      <w:sdt>
        <w:sdtPr>
          <w:id w:val="76647947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O intervalo de pesos possíveis é [1,0; 3,5] ⊂ ℝ&gt;0, garantindo que w(u,v) &gt; 0 para toda aresta — propriedade obrigatória para a corretude do algoritmo de Dijkstra.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5. CONECTIVIDADE E MÉTRICAS ESTRUTURAIS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5.1 Conectividade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76" w:lineRule="auto"/>
        <w:ind w:firstLine="709"/>
        <w:jc w:val="both"/>
        <w:rPr/>
      </w:pPr>
      <w:sdt>
        <w:sdtPr>
          <w:id w:val="1313115452"/>
          <w:tag w:val="goog_rdk_30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O grafo G é conexo: para todo par u, v ∈ V existe um caminho simples u = v₀, v₁, …, vₖ = v com {vᵢ₋₁, vᵢ} ∈ E. Isso foi verificado programaticamente por BFS a partir de todos os 20 vértices (src/solve.py).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conectividade é garantida pelas Regras 1 e 3 em conjunto: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Regra 1 garante que cada região forma um componente conexo internamente.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Regra 2 conecta a maioria dos aeroportos regionais aos hubs GRU e BSB.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76" w:lineRule="auto"/>
        <w:ind w:firstLine="709"/>
        <w:jc w:val="both"/>
        <w:rPr/>
      </w:pPr>
      <w:sdt>
        <w:sdtPr>
          <w:id w:val="-15495494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A Regra 3 introduz as pontes BSB↔BEL, BSB↔REC, BSB↔POA e GIG↔SSA, cobrindo os casos residuais (BEL, PVH, RBR acessíveis via MAO↔BEL pela Regra 1; GYN acessível via BSB pela Regra 1).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5.2 Métricas dos Subgrafos Regionais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Como a Regra 1 impõe clique completo intra-regional, a densidade de cada subgrafo regional G[V_r] é sempre 1,000: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="276" w:lineRule="auto"/>
        <w:jc w:val="center"/>
        <w:rPr/>
      </w:pPr>
      <w:sdt>
        <w:sdtPr>
          <w:id w:val="165972089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δ(G[V_r]) = (2 · C(|V_r|, 2)) / (|V_r| · (|V_r| − 1)) = 1,000  ∀r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5.3 Ego-Subredes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76" w:lineRule="auto"/>
        <w:ind w:firstLine="709"/>
        <w:jc w:val="both"/>
        <w:rPr/>
      </w:pPr>
      <w:sdt>
        <w:sdtPr>
          <w:id w:val="-672625776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A ego-subrede de um vértice v, denotada Gᵥᵉᵍᵒ, é o subgrafo induzido por {v} ∪ N(v), onde N(v) é a vizinhança aberta de v. A densidade da ego-subrede mede a coesão local dos vizinhos de v: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="276" w:lineRule="auto"/>
        <w:jc w:val="center"/>
        <w:rPr/>
      </w:pPr>
      <w:sdt>
        <w:sdtPr>
          <w:id w:val="-1439912627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z w:val="24"/>
              <w:szCs w:val="24"/>
              <w:rtl w:val="0"/>
            </w:rPr>
            <w:t xml:space="preserve">δ(Gᵥᵉᵍᵒ) = (2 · |E[N(v)]|) / (|N(v)| · (|N(v)| − 1))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GRU apresenta o maior grau (deg = 11, |Gᵥᵉᵍᵒ| = 12), mas sua ego-densidade é relativamente baixa, pois seus 11 vizinhos provêm de regiões distintas e não formam clique entre si. GYN possui deg = 1, resultando em ego-subrede degenerada (um único vértice vizinho).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8b2E++4TtV1MJbTRQSyTLeHzN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GQoBNhIUChIIB0IOCgVBcmlhbBIFQ2FyZG8aGQoBNxIUChIIB0IOCgVBcmlhbBIFQ2FyZG8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hsKAjMwEhUKEwgHQg8KBUFyaWFsEgZDYXVkZXgaJQoCMzESHwodCAdCGQoFQXJpYWwSEEFyaWFsIFVuaWNvZGUgTVMaJQoCMzISHwodCAdCGQoFQXJpYWwSEEFyaWFsIFVuaWNvZGUgTVMaGgoCMzMSFAoSCAdCDgoFQXJpYWwSBUNhcmRvGhoKAjM0EhQKEggHQg4KBUFyaWFsEgVDYXJkbzgAciExT1JqNG5KNUkxRUdxM0lkWEp3MFhNUEhaQUpCX1NMS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