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Product Vision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Preguntas - App móvil Aprueba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color w:val="404040"/>
          <w:rtl w:val="0"/>
        </w:rPr>
        <w:t xml:space="preserve">Asignatura Capstone · PTY4614_CAPSTONE_002D · Grupo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6" w:sz="8" w:val="single"/>
        </w:pBdr>
        <w:spacing w:after="30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Escuela de Informática y Telecomunicaciones · Duoc UC Sede San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1. Identificación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Preguntas de la aplicación móvil 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del módulo de preguntas de punta a punta: cliente Flutter y servicios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Empresa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Alloxentric, vinculada mediante la Incubadora Duoc UC San Bernardo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 Espinoza Morales · Sebastián Acevedo Araya · Jeremías Fernández Millacura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Bajo la adaptación de cliente delegado, Martin Espinoza toma las decisiones de priorización del día a día, en su rol de Coach y Tracker. Interpreta el contrato de la API, el modelo de datos y las reglas de negocio documentadas. No inventa. La empresa contraparte actúa como fuente de requisitos y valida las entregas funcionales, aunque de forma espaciada, sin participar del trabajo diario. Toda decisión sin confirmación queda registrada en la bitácora de supuestos.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Profesora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Eliana Mallen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1.1 - 04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="2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1.5 Definición Proyecto APT · Lista de historias priorizada inicial · Registro de interesados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2. Declaración de 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La siguiente declaración sigue la estructura de elevator pitch propuesta por Moore (2014) y adoptada como formato estándar de visión de producto en entornos ágiles.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1f3864" w:space="0" w:sz="8" w:val="single"/>
          <w:left w:color="1f3864" w:space="0" w:sz="8" w:val="single"/>
          <w:bottom w:color="1f3864" w:space="0" w:sz="8" w:val="single"/>
          <w:right w:color="1f3864" w:space="0" w:sz="8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eaf1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100" w:line="276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Para estudiantes de enseñanza media en Chile que se preparan para la Prueba de Acceso a la Educación Superior y no pueden costear un preuniversitario,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 Módulo de Preguntas de Aprueba es una experiencia de práctica móvil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0" w:line="276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 entrega retroalimentación inmediata, explicación paso a paso y un mapa del dominio alcanzado en cada habilidad evaluada.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diferencia de los bancos de ensayos gratuitos, que solo indican si la respuesta fue correcta, nuestro módulo muestra por qué se falló, qué habilidad hay que reforzar y qué estudiar antes de volver a intentarlo, y lo hace incluso sin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0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3. Product Vision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siguiente cuadro organiza la visión según el Product Vision Board de Pichler (2016), que descompone la declaración en grupo objetivo, necesidades, producto y objetivos de negocio.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900"/>
        <w:gridCol w:w="7100"/>
        <w:tblGridChange w:id="0">
          <w:tblGrid>
            <w:gridCol w:w="19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ningún estudiante quede fuera de la educación superior por no poder pagar una preparación de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Estudiantes de tercero y cuarto medio y egresados que rendirán la PAES, con teléfono inteligente y conectividad intermitente. Segmento primario: quienes no acceden a preuniversitario pagado. Segmento secundario: estudiantes que complementan su preuniversitario con práctica autónoma.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Practicar reactivos reales sin costo de entrada. Entender el error, no solo detectarlo. Saber qué habilidad específica está débil y en qué orden reforzarla. Medir el propio avance contra un referente. Poder estudiar en cualquier momento, incluso sin datos móviles.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Seis pantallas dentro de la aplicación móvil —pregunta, resultado, explicación detallada, habilidad, recorrección y desbloqueo de cuota— sostenidas por trece servicios REST que gobiernan la entrega de reactivos, el registro de respuestas, la economía de medallas y la cuota diaria escalonada.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Activar el modelo freemium mediante una cuota gratuita que genere hábito antes de introducir el pago. Capturar datos declarados de colegio y región a cambio de valor explícito. Mejorar de forma continua la calidad del banco de preguntas usando a los propios estudiantes como control de calidad. Habilitar el lanzamiento del producto para el siguiente ciclo de admisión.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4. Para quién es el producto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100"/>
        <w:gridCol w:w="3450"/>
        <w:gridCol w:w="3450"/>
        <w:tblGridChange w:id="0">
          <w:tblGrid>
            <w:gridCol w:w="2100"/>
            <w:gridCol w:w="3450"/>
            <w:gridCol w:w="34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obtiene del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 en 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principal. Practica dentro del límite diario, que puede ampliar declarando colegio o región.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Diez preguntas diarias ampliables a veinte, con resultado, explicación detallada y mapa de habilidad en cada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 suscriptor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que paga una suscripción de bajo costo por una prueba o por el conjunto.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 sin límite diario y acceso al modo facsímil, que ordena el ensayo como el examen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 sin conectividad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con plan de datos limitado o cobertura intermitente. Coincide en buena parte con el segmento primario.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 la última copia descargada de preguntas y explicaciones, con registro local de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contenido de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Beneficiario indirecto. No usa el módulo, pero recibe su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flujo permanente de reportes de recorrección que identifica enunciados erróneos, ambiguos o mal explicados.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5. Qué problema resuelve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lo resuelve el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 y se equivoca, pero no entiende por qué. El material disponible marca el error sin explicarlo.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respuesta abre una explicación paso a paso con planteamiento, resolución, verificación y concepto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sabe qué estudiar primero. Percibe su preparación como una masa indiferenciada de contenidos.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pregunta se asocia a una habilidad con su nivel de dominio y su árbol de prerrequisitos, que ordena la ruta de estudio.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tiene referencia de dónde está parado frente al resto de los postulantes.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resultado incorpora el percentil de cohorte, que sitúa su desempeño contra el del conjunto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topa con preguntas mal formuladas y no tiene a quién reclamarle.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flujo de recorrección permite reportar la pregunta con un motivo tipificado y seguir el estado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preparación de calidad tiene un costo de entrada que su familia no puede asumir.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cuota diaria gratuita entrega valor real desde el primer uso, ampliable sin pagar mediante la declaración voluntaria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queda sin datos móviles justo cuando tiene tiempo para estudiar.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caché local sirve las preguntas y explicaciones ya descargadas y registra las respuestas para sincronizarlas después.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0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6. Propuesta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Retroalimentación que enseña, no que solo corrige. El valor no está en decir si la respuesta fue correcta, sino en explicar el razonamiento completo hasta el concepto que lo sostiene.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Diagnóstico por habilidad y no por prueba. El estudiante deja de saber que le va mal en matemática y pasa a saber qué habilidad concreta está fallando y cuál es su prerrequisito.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costo de entrada de cero que igualmente entrega valor. La cuota gratuita está dimensionada para generar hábito diario, no para frustrar.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Intercambio explícito y honesto de datos por acceso. El estudiante amplía su cuota entregando colegio o región, sabiendo exactamente qué entrega y qué recibe a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Calidad de contenido sostenida por la comunidad. Cada recorrección confirmada mejora el banco para todos los usuarios y recompensa a quien la reportó.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Disponibilidad real en el contexto del usuario. El repaso sin conexión no es una función adicional sino parte del diseño, porque el segmento objetivo estudia con datos móviles limitados.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7. Diferenciadores frente a las alternativas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400"/>
        <w:gridCol w:w="3300"/>
        <w:gridCol w:w="3300"/>
        <w:tblGridChange w:id="0">
          <w:tblGrid>
            <w:gridCol w:w="24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ofrece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agrega el 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Ensayos oficiales publicados por el organismo evaluador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Reactivos válidos y gratuitos, en formato de documento, con clave de respuestas.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Corrección automática, explicación del razonamiento, diagnóstico por habilidad y seguimiento del progreso en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Preuniversitario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Acompañamiento docente y estructura de estudio.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permanente, costo marginal y diagnóstico individual continuo, sin depender de horarios ni de traslados.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 educativo en plataformas de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Explicaciones de buena calidad sobre temas puntuales.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 activa con reactivos del formato real y una ruta de estudio derivada del propio desempeño, en lugar de contenido genérico.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 conversacionales de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Explicación bajo demanda de cualquier ejercicio.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Banco curado y alineado al temario oficial, medición longitudinal del avance y garantía de que la respuesta correcta no se revela antes de responder.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Otras aplicaciones de ensayos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Volumen de preguntas y corrección inmediata.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Explicación estructurada, árbol de prerrequisitos, percentil de cohorte y un canal formal de corrección del banco alimentado por los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8. Objetivos de producto e indicadores de éxito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Los indicadores se declaran como criterios de verificación del valor entregado. Su medición efectiva depende de la instrumentación que disponga la empresa contraparte una vez desplegado el módulo.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600"/>
        <w:gridCol w:w="3300"/>
        <w:gridCol w:w="3100"/>
        <w:tblGridChange w:id="0">
          <w:tblGrid>
            <w:gridCol w:w="2600"/>
            <w:gridCol w:w="3300"/>
            <w:gridCol w:w="3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el estudiante aprenda del error y no solo lo detecte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 de respuestas incorrectas en que el estudiante abre la explicación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navegación desde la pantalla de resultado hacia la de 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hábito de práctica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 de usuarios que agotan la cuota base en un día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cuota del usuario al momento del reinicio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Activar el intercambio de datos por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 de usuarios que reclama al menos una de las dos bonificaciones de cuota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 de bonificaciones del estado de cuota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Sostener la calidad del banco de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Volumen de recorrecciones recibidas y proporción de ellas confirmadas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Colección de solicitudes de recorrección con su estado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Servir a usuarios con conectividad intermitente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 de sesiones que recuperan contenido desde la caché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recuperaciones desde la caché ante fallo de 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un producto verificable al cierre del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Seis pantallas navegables contra los trece servicios, con pruebas en verde y análisis estático sin advertencias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Criterios de terminado del equipo y evidencia en el repositorio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9. Lo que este producto no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Declarar los no objetivos protege la visión de la expansión de alcance y hace explícito ante la comisión evaluadora y ante la empresa qué queda deliberadamente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un curso ni una secuencia de contenidos. El módulo no enseña materia: entrega práctica con retroalimentación y una ruta de refuerzo.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una red social de estudio. Las funciones de grupos, comunidad y publicaciones existen en la aplicación pero quedan fuera del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un sistema de tutorías. El contacto con tutores es otro módulo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la consola de administración de la plataforma. La aprobación de recorrecciones y la curaduría del banco las realiza el equipo de Aprueba desde otra herramienta.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una pasarela de pago. El módulo lee el estado del plan del usuario, pero no gestiona la suscripción ni el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40" w:right="0" w:hanging="20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genera contenido. El banco de preguntas y sus explicaciones son insumo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="276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10. Trazabilidad con la lista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76" w:lineRule="auto"/>
        <w:jc w:val="both"/>
        <w:rPr/>
      </w:pPr>
      <w:r w:rsidDel="00000000" w:rsidR="00000000" w:rsidRPr="00000000">
        <w:rPr>
          <w:sz w:val="19"/>
          <w:szCs w:val="19"/>
          <w:rtl w:val="0"/>
        </w:rPr>
        <w:t xml:space="preserve">El siguiente cuadro conecta cada elemento de la propuesta de valor con las historias de usuario de la lista priorizada inicial y sus restricciones, de modo que la visión sea verificable contra el trabajo comprometido y no una declaración aislada.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3200"/>
        <w:gridCol w:w="2200"/>
        <w:gridCol w:w="3600"/>
        <w:tblGridChange w:id="0">
          <w:tblGrid>
            <w:gridCol w:w="3200"/>
            <w:gridCol w:w="22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 de la 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Historias - 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 del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 con reactivos del formato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HU-01, 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Retroalimentación inmediata del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HU-03, 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Respuestas,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Explicación que enseña el razonamiento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Diagnóstico por habilidad y ruta de refuerzo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HU-06, 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Habilidad,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Costo de entrada cero con cuota que genera hábito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Intercambio explícito de datos por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del banco sostenida por la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HU-09, 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 adaptada a las pruebas y al nivel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HU-11,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Funcionamiento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Restricciones de negocio comprensibles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 técnica que sostiene toda la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RT-01, HU-16, RT-02, RT-03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Integración, Seguridad, Calidad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11. Vigencia y actualización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Esta declaración de visión es el marco de referencia para la priorización de la lista de historias de usuario durante las tres fases del proyecto. Toda historia incorporada a la lista debe poder justificarse contra alguno de los elementos declarados en las secciones 6 y 7; una historia que no lo consiga es candidata a quedar fuera del alcance.</w:t>
      </w:r>
    </w:p>
    <w:p w:rsidR="00000000" w:rsidDel="00000000" w:rsidP="00000000" w:rsidRDefault="00000000" w:rsidRPr="00000000" w14:paraId="000000B7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La visión se revisa en la reflexión de cierre de cada iteración y se actualiza formalmente solo si la empresa contraparte introduce un cambio de dirección del producto. Cualquier modificación queda registrada con su fecha, su origen y su impacto en la lista de historias, siguiendo el mismo procedimiento de la bitácora de supuestos del equipo.</w:t>
      </w:r>
    </w:p>
    <w:p w:rsidR="00000000" w:rsidDel="00000000" w:rsidP="00000000" w:rsidRDefault="00000000" w:rsidRPr="00000000" w14:paraId="000000B8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300"/>
        <w:gridCol w:w="1800"/>
        <w:gridCol w:w="5900"/>
        <w:tblGridChange w:id="0">
          <w:tblGrid>
            <w:gridCol w:w="1300"/>
            <w:gridCol w:w="1800"/>
            <w:gridCol w:w="5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inicial, elaborada a partir del alcance vigente del módulo de preguntas, de la lista de historias priorizada inicial y de la documentación técnica entregada por la empresa contraparte.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line="2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reemplaza el vocabulario de Scrum por el de Extreme Programming, adoptado como metodología única tras la decisión tomada con la profesora guía. El alcance no cambia.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30" w:before="28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12.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76" w:lineRule="auto"/>
        <w:ind w:left="480" w:hanging="480"/>
        <w:jc w:val="both"/>
        <w:rPr/>
      </w:pPr>
      <w:r w:rsidDel="00000000" w:rsidR="00000000" w:rsidRPr="00000000">
        <w:rPr>
          <w:rtl w:val="0"/>
        </w:rPr>
        <w:t xml:space="preserve">Moore, G. A. (2014). Crossing the chasm: Marketing and selling disruptive products to mainstream customers (3.ª ed.). HarperBusiness.</w:t>
      </w:r>
    </w:p>
    <w:p w:rsidR="00000000" w:rsidDel="00000000" w:rsidP="00000000" w:rsidRDefault="00000000" w:rsidRPr="00000000" w14:paraId="000000C5">
      <w:pPr>
        <w:spacing w:after="160" w:line="276" w:lineRule="auto"/>
        <w:ind w:left="480" w:hanging="480"/>
        <w:jc w:val="both"/>
        <w:rPr/>
      </w:pPr>
      <w:r w:rsidDel="00000000" w:rsidR="00000000" w:rsidRPr="00000000">
        <w:rPr>
          <w:rtl w:val="0"/>
        </w:rPr>
        <w:t xml:space="preserve">Pichler, R. (2016). Strategize: Product strategy and product roadmap practices for the digital age. Pichler Consulting.</w:t>
      </w:r>
    </w:p>
    <w:p w:rsidR="00000000" w:rsidDel="00000000" w:rsidP="00000000" w:rsidRDefault="00000000" w:rsidRPr="00000000" w14:paraId="000000C6">
      <w:pPr>
        <w:spacing w:after="160" w:line="276" w:lineRule="auto"/>
        <w:ind w:left="480" w:hanging="480"/>
        <w:jc w:val="both"/>
        <w:rPr/>
      </w:pPr>
      <w:r w:rsidDel="00000000" w:rsidR="00000000" w:rsidRPr="00000000">
        <w:rPr>
          <w:rtl w:val="0"/>
        </w:rPr>
        <w:t xml:space="preserve">Project Management Institute. (2017). Guía de los fundamentos para la dirección de proyectos (Guía del PMBOK) (6.ª ed.). Project Management Institute.</w:t>
      </w:r>
    </w:p>
    <w:p w:rsidR="00000000" w:rsidDel="00000000" w:rsidP="00000000" w:rsidRDefault="00000000" w:rsidRPr="00000000" w14:paraId="000000C7">
      <w:pPr>
        <w:spacing w:after="160" w:line="276" w:lineRule="auto"/>
        <w:ind w:left="480" w:hanging="480"/>
        <w:jc w:val="both"/>
        <w:rPr/>
      </w:pPr>
      <w:r w:rsidDel="00000000" w:rsidR="00000000" w:rsidRPr="00000000">
        <w:rPr>
          <w:rtl w:val="0"/>
        </w:rPr>
        <w:t xml:space="preserve">Departamento de Evaluación, Medición y Registro Educacional. (2025, 31 de julio). PAES Regular 2025 logra cifra récord: más de 300 mil personas se inscribieron para rendirla en diciembre. Universidad de Chile. https://demre.cl/noticias/2025-07-31-incripcion-paes-regular-logra-cifra-record</w:t>
      </w:r>
    </w:p>
    <w:p w:rsidR="00000000" w:rsidDel="00000000" w:rsidP="00000000" w:rsidRDefault="00000000" w:rsidRPr="00000000" w14:paraId="000000C8">
      <w:pPr>
        <w:spacing w:after="160" w:line="276" w:lineRule="auto"/>
        <w:ind w:left="480" w:hanging="480"/>
        <w:jc w:val="both"/>
        <w:rPr/>
      </w:pPr>
      <w:r w:rsidDel="00000000" w:rsidR="00000000" w:rsidRPr="00000000">
        <w:rPr>
          <w:rtl w:val="0"/>
        </w:rPr>
        <w:t xml:space="preserve">Duoc UC. (2026). Instructivo CAPSTONE 2026. Escuela de Informática y Telecomunicaciones.</w:t>
      </w:r>
    </w:p>
    <w:p w:rsidR="00000000" w:rsidDel="00000000" w:rsidP="00000000" w:rsidRDefault="00000000" w:rsidRPr="00000000" w14:paraId="000000C9">
      <w:pPr>
        <w:spacing w:after="1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Documentación técnica de la empresa contraparte, de circulación restringida por acuerdo de confidencialidad: especificación del contrato de API, modelo de datos de la plataforma, wireframe funcional de la aplicación y manual de marca (Alloxentric, 2026).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0" w:top="11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/>
      <w:drawing>
        <wp:inline distB="114300" distT="114300" distL="114300" distR="114300">
          <wp:extent cx="2551113" cy="630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1113" cy="63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ylqIuX8WpUxjGMdAxaTvWq2fQ==">CgMxLjA4AHIhMXdWU1dPc3BHMXQ4VzFqUFdtSDRhcDNfRWVWZGJIZ1FM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2026-09-03T05:25:00Z</dcterms:created>
  <dc:creator>Un-named</dc:creator>
</cp:coreProperties>
</file>