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p w14:paraId="7F313DAB" w14:textId="77777777" w:rsidR="004F2A8B" w:rsidRPr="00931701" w:rsidRDefault="004F2A8B" w:rsidP="3D28A338">
      <w:pPr>
        <w:rPr>
          <w:rFonts w:eastAsiaTheme="majorEastAsia"/>
          <w:color w:val="767171" w:themeColor="background2" w:themeShade="80"/>
          <w:sz w:val="24"/>
          <w:szCs w:val="24"/>
        </w:rPr>
      </w:pPr>
    </w:p>
    <w:p w14:paraId="2C925C16" w14:textId="29E21BE2" w:rsidR="004F2A8B" w:rsidRPr="00931701" w:rsidRDefault="004F2A8B" w:rsidP="3D28A338">
      <w:pPr>
        <w:rPr>
          <w:rFonts w:eastAsiaTheme="majorEastAsia"/>
          <w:color w:val="767171" w:themeColor="background2" w:themeShade="80"/>
          <w:sz w:val="24"/>
          <w:szCs w:val="24"/>
        </w:rPr>
      </w:pPr>
      <w:r>
        <w:rPr>
          <w:rFonts w:ascii="Calibri" w:hAnsi="Calibri"/>
        </w:rPr>
        <w:t xml:space="preserve">Proyecto: Módulo de Preguntas </w:t>
      </w:r>
      <w:r w:rsidR="00FE31AA">
        <w:rPr>
          <w:rFonts w:ascii="Calibri" w:hAnsi="Calibri"/>
        </w:rPr>
        <w:t>-</w:t>
      </w:r>
      <w:r>
        <w:rPr>
          <w:rFonts w:ascii="Calibri" w:hAnsi="Calibri"/>
        </w:rPr>
        <w:t xml:space="preserve"> App móvil Aprueba </w:t>
      </w:r>
      <w:r w:rsidR="00FE31AA">
        <w:rPr>
          <w:rFonts w:ascii="Calibri" w:hAnsi="Calibri"/>
        </w:rPr>
        <w:t>-</w:t>
      </w:r>
      <w:r>
        <w:rPr>
          <w:rFonts w:ascii="Calibri" w:hAnsi="Calibri"/>
        </w:rPr>
        <w:t xml:space="preserve"> Empresa contraparte: Alloxentric</w:t>
      </w:r>
    </w:p>
    <w:p w14:paraId="05E38EB0" w14:textId="569A9227" w:rsidR="004F2A8B" w:rsidRPr="00931701" w:rsidRDefault="004F2A8B" w:rsidP="3D28A338">
      <w:pPr>
        <w:rPr>
          <w:rFonts w:eastAsiaTheme="majorEastAsia"/>
          <w:color w:val="767171" w:themeColor="background2" w:themeShade="80"/>
          <w:sz w:val="24"/>
          <w:szCs w:val="24"/>
        </w:rPr>
      </w:pPr>
      <w:r>
        <w:rPr>
          <w:rFonts w:ascii="Calibri" w:hAnsi="Calibri"/>
        </w:rPr>
        <w:t>Equipo: Grupo 9</w:t>
      </w:r>
      <w:r w:rsidR="00FE31AA">
        <w:rPr>
          <w:rFonts w:ascii="Calibri" w:hAnsi="Calibri"/>
        </w:rPr>
        <w:t xml:space="preserve"> -</w:t>
      </w:r>
      <w:r>
        <w:rPr>
          <w:rFonts w:ascii="Calibri" w:hAnsi="Calibri"/>
        </w:rPr>
        <w:t xml:space="preserve"> Sección: PTY4614 Capstone </w:t>
      </w:r>
      <w:r w:rsidR="00FE31AA">
        <w:rPr>
          <w:rFonts w:ascii="Calibri" w:hAnsi="Calibri"/>
        </w:rPr>
        <w:t>-</w:t>
      </w:r>
      <w:r>
        <w:rPr>
          <w:rFonts w:ascii="Calibri" w:hAnsi="Calibri"/>
        </w:rPr>
        <w:t xml:space="preserve"> CAPSTONE_002D </w:t>
      </w:r>
      <w:r w:rsidR="00FE31AA">
        <w:rPr>
          <w:rFonts w:ascii="Calibri" w:hAnsi="Calibri"/>
        </w:rPr>
        <w:t>-</w:t>
      </w:r>
      <w:r>
        <w:rPr>
          <w:rFonts w:ascii="Calibri" w:hAnsi="Calibri"/>
        </w:rPr>
        <w:t xml:space="preserve"> Fecha: 17 de septiembre de 2026</w:t>
      </w:r>
    </w:p>
    <w:p w14:paraId="05E5AF7C" w14:textId="384152BC" w:rsidR="004F2A8B" w:rsidRPr="00931701" w:rsidRDefault="004F2A8B" w:rsidP="3D28A338">
      <w:pPr>
        <w:rPr>
          <w:rFonts w:eastAsiaTheme="majorEastAsia"/>
          <w:color w:val="767171" w:themeColor="background2" w:themeShade="80"/>
          <w:sz w:val="24"/>
          <w:szCs w:val="24"/>
        </w:rPr>
      </w:pPr>
      <w:r>
        <w:rPr>
          <w:rFonts w:ascii="Calibri" w:hAnsi="Calibri"/>
          <w:b/>
          <w:color w:val="1F3864"/>
        </w:rPr>
        <w:t xml:space="preserve">Estudiante: Martin Alonso Espinoza Morales </w:t>
      </w:r>
      <w:r w:rsidR="00FE31AA">
        <w:rPr>
          <w:rFonts w:ascii="Calibri" w:hAnsi="Calibri"/>
          <w:b/>
          <w:color w:val="1F3864"/>
        </w:rPr>
        <w:t>-</w:t>
      </w:r>
      <w:r>
        <w:rPr>
          <w:rFonts w:ascii="Calibri" w:hAnsi="Calibri"/>
          <w:b/>
          <w:color w:val="1F3864"/>
        </w:rPr>
        <w:t xml:space="preserve"> Rol en el equipo: Coach y Tracker</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5789EEB4"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7E5F75C2" w14:textId="02079CCD" w:rsidR="005C5D19" w:rsidRPr="005C5D19" w:rsidRDefault="00380031" w:rsidP="005C5D19">
            <w:pPr>
              <w:spacing w:before="160"/>
              <w:jc w:val="both"/>
              <w:rPr>
                <w:rFonts w:ascii="Calibri" w:hAnsi="Calibri"/>
              </w:rPr>
            </w:pPr>
            <w:r>
              <w:rPr>
                <w:rFonts w:ascii="Calibri" w:hAnsi="Calibri"/>
              </w:rPr>
              <w:t xml:space="preserve">R: </w:t>
            </w:r>
            <w:r w:rsidR="005C5D19" w:rsidRPr="005C5D19">
              <w:rPr>
                <w:rFonts w:ascii="Calibri" w:hAnsi="Calibri"/>
              </w:rPr>
              <w:t>Sí, y con una iteración de adelanto. La carta Gantt sitúa la iteración 1 en la semana 5 y la 2 en la semana 6, y a la fecha ambas están cerradas. La iteración 1 entregó el entorno operativo y la compilación web desplegada, y la 2 el modelo de datos, el esquema local y los contratos con sus pruebas. Las tres entregas funcionales comprometidas, en las iteraciones 3, 6 y 10, siguen en la fecha planificada.</w:t>
            </w:r>
          </w:p>
          <w:p w14:paraId="37945355" w14:textId="5C2E3928" w:rsidR="005C5D19" w:rsidRPr="005C5D19" w:rsidRDefault="005C5D19" w:rsidP="005C5D19">
            <w:pPr>
              <w:spacing w:before="160"/>
              <w:jc w:val="both"/>
              <w:rPr>
                <w:rFonts w:ascii="Calibri" w:hAnsi="Calibri"/>
              </w:rPr>
            </w:pPr>
            <w:r w:rsidRPr="005C5D19">
              <w:rPr>
                <w:rFonts w:ascii="Calibri" w:hAnsi="Calibri"/>
              </w:rPr>
              <w:t>El factor que más facilitó el avance fue tener la especificación previa completa. Alloxentric entregó el contrato de la interfaz de programación, el modelo de datos y el wireframe funcional, de modo que no tuvimos que definir el alcance desde cero ni negociar cada detalle funcional. Eso permitió que la iteración 2 se dedicara a modelar y no a discutir qué modelar. El segundo facilitador fue haber descompuesto el alcance en cuarenta y tres paquetes de trabajo durante la Fase 1: al llegar a la iteración, la pregunta ya no era qué hacer sino cómo hacerlo.</w:t>
            </w:r>
          </w:p>
          <w:p w14:paraId="507FB882" w14:textId="45C1F768" w:rsidR="005C5D19" w:rsidRPr="005C5D19" w:rsidRDefault="005C5D19" w:rsidP="005C5D19">
            <w:pPr>
              <w:spacing w:before="160"/>
              <w:jc w:val="both"/>
              <w:rPr>
                <w:rFonts w:ascii="Calibri" w:hAnsi="Calibri"/>
              </w:rPr>
            </w:pPr>
            <w:r w:rsidRPr="005C5D19">
              <w:rPr>
                <w:rFonts w:ascii="Calibri" w:hAnsi="Calibri"/>
              </w:rPr>
              <w:t>El factor que más dificultó fue el que habíamos anticipado: ninguno de los tres había escrito Dart ni trabajado con Flutter antes del semestre. Por eso reservamos la iteración 1 completa a habilitar el entorno y comprender la arquitectura, en lugar de empezar a programar de inmediato. Esa decisión costó una semana de desarrollo aparente, pero evitó que el aprendizaje se pagara en código mal escrito durante las nueve iteraciones siguientes.</w:t>
            </w:r>
          </w:p>
          <w:p w14:paraId="73CACF8E" w14:textId="4ED631A3" w:rsidR="004F2A8B" w:rsidRPr="00931701" w:rsidRDefault="005C5D19" w:rsidP="005C5D19">
            <w:pPr>
              <w:spacing w:before="160"/>
              <w:jc w:val="both"/>
              <w:rPr>
                <w:rFonts w:eastAsiaTheme="majorEastAsia"/>
                <w:color w:val="767171" w:themeColor="background2" w:themeShade="80"/>
                <w:sz w:val="24"/>
                <w:szCs w:val="24"/>
              </w:rPr>
            </w:pPr>
            <w:r w:rsidRPr="005C5D19">
              <w:rPr>
                <w:rFonts w:ascii="Calibri" w:hAnsi="Calibri"/>
              </w:rPr>
              <w:t>La segunda dificultad fue el despliegue. Vercel no incluye el SDK de Flutter, así que hubo que resolver la compilación con un script propio, y el dominio de producción quedó respondiendo con error mientras se resolvía. Eso ya está corregido y la contraparte puede abrir el módulo desde el navegador.</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48B04D61" w14:textId="1888FFAA" w:rsidR="00380031" w:rsidRPr="00380031" w:rsidRDefault="00380031" w:rsidP="00380031">
            <w:pPr>
              <w:spacing w:before="160"/>
              <w:jc w:val="both"/>
              <w:rPr>
                <w:rFonts w:ascii="Calibri" w:hAnsi="Calibri"/>
              </w:rPr>
            </w:pPr>
            <w:r>
              <w:rPr>
                <w:rFonts w:ascii="Calibri" w:hAnsi="Calibri"/>
              </w:rPr>
              <w:t xml:space="preserve">R: </w:t>
            </w:r>
            <w:r w:rsidRPr="00380031">
              <w:rPr>
                <w:rFonts w:ascii="Calibri" w:hAnsi="Calibri"/>
              </w:rPr>
              <w:t>Con tres mecanismos, y los tres estaban previstos en el plan de trabajo.</w:t>
            </w:r>
          </w:p>
          <w:p w14:paraId="3378B740" w14:textId="3407E2BE" w:rsidR="00380031" w:rsidRPr="00380031" w:rsidRDefault="00380031" w:rsidP="00380031">
            <w:pPr>
              <w:spacing w:before="160"/>
              <w:jc w:val="both"/>
              <w:rPr>
                <w:rFonts w:ascii="Calibri" w:hAnsi="Calibri"/>
              </w:rPr>
            </w:pPr>
            <w:r w:rsidRPr="00380031">
              <w:rPr>
                <w:rFonts w:ascii="Calibri" w:hAnsi="Calibri"/>
              </w:rPr>
              <w:t>El primero fue concentrar el aprendizaje en la primera iteración y adoptar programación en pares durante las tres iniciales, en lugar de repartir el trabajo y que cada uno aprendiera por su cuenta. Es más lento al principio, pero distribuye el conocimiento en vez de concentrarlo en una persona.</w:t>
            </w:r>
          </w:p>
          <w:p w14:paraId="54A170E9" w14:textId="096648EA" w:rsidR="00380031" w:rsidRPr="00380031" w:rsidRDefault="00380031" w:rsidP="00380031">
            <w:pPr>
              <w:spacing w:before="160"/>
              <w:jc w:val="both"/>
              <w:rPr>
                <w:rFonts w:ascii="Calibri" w:hAnsi="Calibri"/>
              </w:rPr>
            </w:pPr>
            <w:r w:rsidRPr="00380031">
              <w:rPr>
                <w:rFonts w:ascii="Calibri" w:hAnsi="Calibri"/>
              </w:rPr>
              <w:t>El segundo es la bitácora de supuestos. La contraparte no participa de nuestro trabajo diario y las reuniones son semanales, así que hay definiciones que no podemos esperar. Cada decisión que tomamos sin confirmación queda anotada con su fundamento y con el impacto que tendría si resulta equivocada. Eso nos deja avanzar sin bloquear la iteración y, si después hay que corregir el rumbo, no tenemos que reconstruir qué pensábamos en ese momento.</w:t>
            </w:r>
          </w:p>
          <w:p w14:paraId="486C6367" w14:textId="684C9FA9" w:rsidR="00380031" w:rsidRPr="00380031" w:rsidRDefault="00380031" w:rsidP="00380031">
            <w:pPr>
              <w:spacing w:before="160"/>
              <w:jc w:val="both"/>
              <w:rPr>
                <w:rFonts w:ascii="Calibri" w:hAnsi="Calibri"/>
              </w:rPr>
            </w:pPr>
            <w:r w:rsidRPr="00380031">
              <w:rPr>
                <w:rFonts w:ascii="Calibri" w:hAnsi="Calibri"/>
              </w:rPr>
              <w:t>El tercero es escalar las dudas cuando corresponde. En la reunión de seguimiento nos indicaron que las definiciones técnicas las resuelve la contraparte del proyecto, así que le enviamos nuestras consultas por escrito, y todas tuvieron respuesta: desplegamos nosotros el backend sobre un proyecto Firestore propio en plan gratuito, se construye en FastAPI, la autenticación usa Firebase, la versión web es parte del producto y, ante diferencias entre los documentos de la empresa, prima la compatibilidad con la consola de administración. Aprendí que dejar una consulta pendiente por no saber a quién dirigirla cuesta más que preguntar a la persona equivocada.</w:t>
            </w:r>
          </w:p>
          <w:p w14:paraId="126D2F38" w14:textId="012E4D00" w:rsidR="004F2A8B" w:rsidRPr="003B466F" w:rsidRDefault="00380031" w:rsidP="00380031">
            <w:pPr>
              <w:spacing w:before="160"/>
              <w:jc w:val="both"/>
              <w:rPr>
                <w:rFonts w:eastAsiaTheme="majorEastAsia"/>
                <w:color w:val="767171" w:themeColor="background2" w:themeShade="80"/>
                <w:sz w:val="24"/>
                <w:szCs w:val="24"/>
              </w:rPr>
            </w:pPr>
            <w:r w:rsidRPr="00380031">
              <w:rPr>
                <w:rFonts w:ascii="Calibri" w:hAnsi="Calibri"/>
              </w:rPr>
              <w:t>Para lo que viene anticipo tres dificultades. La primera es la concentración de carga entre las semanas 7 y 12, con seis iteraciones consecutivas y dependencia entre cliente y servicios; la enfrentamos con integración diaria y alcance cerrado en la planificación del lunes. La segunda son los hitos que fijó la empresa: base de datos operativa en la semana 8 y todo el proyecto en contenedores en la semana 12, lo que nos obliga a adelantar Docker de la iteración 10 a la 7. La tercera es el cambio de backend: el andamiaje que construimos en Node.js debe pasarse a FastAPI. Lo hacemos al inicio de la iteración 3, antes de implementar los servicios, porque cada servicio escrito antes de migrar sería trabajo hecho dos veces.</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3D3D2620" w:rsidR="005C5D19" w:rsidRDefault="005C5D19">
      <w:pPr>
        <w:rPr>
          <w:b/>
          <w:bCs/>
          <w:sz w:val="24"/>
          <w:szCs w:val="24"/>
        </w:rPr>
      </w:pPr>
      <w:r>
        <w:rPr>
          <w:b/>
          <w:bCs/>
          <w:sz w:val="24"/>
          <w:szCs w:val="24"/>
        </w:rPr>
        <w:br w:type="page"/>
      </w:r>
    </w:p>
    <w:p w14:paraId="6DEC6F31" w14:textId="7777777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760D4D2E" w14:textId="310647E3" w:rsidR="00944D2C" w:rsidRPr="00944D2C" w:rsidRDefault="00380031" w:rsidP="00944D2C">
            <w:pPr>
              <w:spacing w:before="160"/>
              <w:jc w:val="both"/>
              <w:rPr>
                <w:rFonts w:ascii="Calibri" w:hAnsi="Calibri"/>
              </w:rPr>
            </w:pPr>
            <w:r>
              <w:rPr>
                <w:rFonts w:ascii="Calibri" w:hAnsi="Calibri"/>
              </w:rPr>
              <w:t xml:space="preserve">R: </w:t>
            </w:r>
            <w:r w:rsidR="00944D2C" w:rsidRPr="00944D2C">
              <w:rPr>
                <w:rFonts w:ascii="Calibri" w:hAnsi="Calibri"/>
              </w:rPr>
              <w:t>Evalúo mi trabajo como bueno en lo que respecta a la coordinación y la documentación, y todavía insuficiente en lo técnico.</w:t>
            </w:r>
          </w:p>
          <w:p w14:paraId="598F3722" w14:textId="29793375" w:rsidR="00944D2C" w:rsidRPr="00944D2C" w:rsidRDefault="00944D2C" w:rsidP="00944D2C">
            <w:pPr>
              <w:spacing w:before="160"/>
              <w:jc w:val="both"/>
              <w:rPr>
                <w:rFonts w:ascii="Calibri" w:hAnsi="Calibri"/>
              </w:rPr>
            </w:pPr>
            <w:r w:rsidRPr="00944D2C">
              <w:rPr>
                <w:rFonts w:ascii="Calibri" w:hAnsi="Calibri"/>
              </w:rPr>
              <w:t>Destaco tres cosas. La primera es la trazabilidad que logramos entre documentos: las historias de usuario, los paquetes de la estructura de desglose, los requisitos y las actividades del cronograma usan los mismos códigos, de modo que cualquiera puede cruzarlos y verificar que no hay trabajo comprometido sin respaldo. La segunda es haber corregido la metodología a tiempo: la primera decisión combinaba dos enfoques por costumbre y sostenía un rol que en la práctica quedaba vacío, y revisarla llevó a una elección que sí responde al problema real del equipo. La tercera es la bitácora de supuestos, que se ha usado de verdad y no quedó como un documento decorativo.</w:t>
            </w:r>
          </w:p>
          <w:p w14:paraId="342A1917" w14:textId="57A3296E" w:rsidR="00944D2C" w:rsidRPr="00944D2C" w:rsidRDefault="00944D2C" w:rsidP="00944D2C">
            <w:pPr>
              <w:spacing w:before="160"/>
              <w:jc w:val="both"/>
              <w:rPr>
                <w:rFonts w:ascii="Calibri" w:hAnsi="Calibri"/>
              </w:rPr>
            </w:pPr>
            <w:r w:rsidRPr="00944D2C">
              <w:rPr>
                <w:rFonts w:ascii="Calibri" w:hAnsi="Calibri"/>
              </w:rPr>
              <w:t>Lo que debo mejorar es concreto. Mi rol es Coach y Tracker, pero también soy responsable de trabajo transversal entre cliente y servidor, y hasta ahora mi aporte ha sido mayoritariamente de gestión y documentación. En la iteración 3 tomo código propio: los servicios de catálogo de pruebas y de preferencias, y una prueba automatizada que verifica que ninguna ruta del backend entregue la alternativa correcta.</w:t>
            </w:r>
          </w:p>
          <w:p w14:paraId="09916672" w14:textId="0F6B878D" w:rsidR="00944D2C" w:rsidRPr="00944D2C" w:rsidRDefault="00944D2C" w:rsidP="00944D2C">
            <w:pPr>
              <w:spacing w:before="160"/>
              <w:jc w:val="both"/>
              <w:rPr>
                <w:rFonts w:ascii="Calibri" w:hAnsi="Calibri"/>
              </w:rPr>
            </w:pPr>
            <w:r w:rsidRPr="00944D2C">
              <w:rPr>
                <w:rFonts w:ascii="Calibri" w:hAnsi="Calibri"/>
              </w:rPr>
              <w:t>Hay además un punto que arrastramos y que es responsabilidad mía como Tracker: los commits del repositorio están quedando bajo una sola cuenta, porque no configuramos la identidad de git en cada equipo. Eso impide demostrar el aporte individual y no se puede corregir hacia atrás. Lo resolvemos antes de la iteración 3.</w:t>
            </w:r>
          </w:p>
          <w:p w14:paraId="3E7732F5" w14:textId="2A13E0C8" w:rsidR="004F2A8B" w:rsidRPr="003B466F" w:rsidRDefault="00944D2C" w:rsidP="00944D2C">
            <w:pPr>
              <w:spacing w:before="160"/>
              <w:jc w:val="both"/>
              <w:rPr>
                <w:rFonts w:eastAsiaTheme="majorEastAsia"/>
                <w:color w:val="767171" w:themeColor="background2" w:themeShade="80"/>
                <w:sz w:val="24"/>
                <w:szCs w:val="24"/>
              </w:rPr>
            </w:pPr>
            <w:r w:rsidRPr="00944D2C">
              <w:rPr>
                <w:rFonts w:ascii="Calibri" w:hAnsi="Calibri"/>
              </w:rPr>
              <w:t>También debo medir la velocidad del equipo, y todavía no lo hago. Empiezo al cierre de la iteración 3, con la estimación que hagamos ese lunes. El dato de las primeras iteraciones no servirá como referencia porque estamos aprendiendo el framework, pero sin él el informe de avance de la semana 10 no puede mostrar cómo planificamos.</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23988562" w:rsidR="00944D2C" w:rsidRDefault="00944D2C">
      <w:r>
        <w:br w:type="page"/>
      </w:r>
    </w:p>
    <w:p w14:paraId="2D41BFFE"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0FD3046D" w14:textId="6AE2FE84" w:rsidR="00380031" w:rsidRPr="00380031" w:rsidRDefault="00380031" w:rsidP="00380031">
            <w:pPr>
              <w:spacing w:before="160"/>
              <w:jc w:val="both"/>
              <w:rPr>
                <w:rFonts w:ascii="Calibri" w:hAnsi="Calibri"/>
              </w:rPr>
            </w:pPr>
            <w:r>
              <w:rPr>
                <w:rFonts w:ascii="Calibri" w:hAnsi="Calibri"/>
              </w:rPr>
              <w:t xml:space="preserve">R: </w:t>
            </w:r>
            <w:r w:rsidRPr="00380031">
              <w:rPr>
                <w:rFonts w:ascii="Calibri" w:hAnsi="Calibri"/>
              </w:rPr>
              <w:t>Me queda una inquietud principal y es cómo evidenciar el aporte individual de cada integrante.</w:t>
            </w:r>
          </w:p>
          <w:p w14:paraId="788B1CF0" w14:textId="509B24E3" w:rsidR="00380031" w:rsidRPr="00380031" w:rsidRDefault="00380031" w:rsidP="00380031">
            <w:pPr>
              <w:spacing w:before="160"/>
              <w:jc w:val="both"/>
              <w:rPr>
                <w:rFonts w:ascii="Calibri" w:hAnsi="Calibri"/>
              </w:rPr>
            </w:pPr>
            <w:r w:rsidRPr="00380031">
              <w:rPr>
                <w:rFonts w:ascii="Calibri" w:hAnsi="Calibri"/>
              </w:rPr>
              <w:t>Trabajamos con dos repositorios. Uno es el de la empresa, donde ocurre el desarrollo real y solo tienen acceso ellos y nosotros. El otro es el repositorio académico, público, donde subimos las evidencias de cada iteración. El instructivo exige que la evidencia del desarrollo quede reflejada en un sistema de versiones que demuestre la contribución de cada integrante, y hoy el código vive en el repositorio que la asignatura no revisa.</w:t>
            </w:r>
          </w:p>
          <w:p w14:paraId="7E8B5874" w14:textId="4E132C66" w:rsidR="00380031" w:rsidRPr="00380031" w:rsidRDefault="00380031" w:rsidP="00380031">
            <w:pPr>
              <w:spacing w:before="160"/>
              <w:jc w:val="both"/>
              <w:rPr>
                <w:rFonts w:ascii="Calibri" w:hAnsi="Calibri"/>
              </w:rPr>
            </w:pPr>
            <w:r w:rsidRPr="00380031">
              <w:rPr>
                <w:rFonts w:ascii="Calibri" w:hAnsi="Calibri"/>
              </w:rPr>
              <w:t>La pregunta que me gustaría hacerle a la docente es cómo resolver esa separación de manera que cumpla con lo que la asignatura exige sin romper el acuerdo con la empresa. ¿Basta con que el repositorio académico reciba el mismo historial de commits, o se requiere que el desarrollo ocurra directamente ahí?</w:t>
            </w:r>
          </w:p>
          <w:p w14:paraId="5894705F" w14:textId="2CF8564A" w:rsidR="00380031" w:rsidRPr="00380031" w:rsidRDefault="00380031" w:rsidP="00380031">
            <w:pPr>
              <w:spacing w:before="160"/>
              <w:jc w:val="both"/>
              <w:rPr>
                <w:rFonts w:ascii="Calibri" w:hAnsi="Calibri"/>
              </w:rPr>
            </w:pPr>
            <w:r w:rsidRPr="00380031">
              <w:rPr>
                <w:rFonts w:ascii="Calibri" w:hAnsi="Calibri"/>
              </w:rPr>
              <w:t>Una segunda inquietud es de orden técnico. Los documentos de la empresa no coinciden entre sí en las colecciones que comparten la consola de administración y nuestro módulo: usuarios, medallas y recorrecciones tienen nombres y estructuras distintas en cada uno. La contraparte nos indicó priorizar la compatibilidad con la consola, lo que obliga a revisar parte del modelo que construimos en la iteración 2. Es la clase de ajuste que un enfoque iterativo permite absorber, pero hay que hacerlo antes de que los servicios dependan de él.</w:t>
            </w:r>
          </w:p>
          <w:p w14:paraId="7EC7559D" w14:textId="51A7C9DF" w:rsidR="004F2A8B" w:rsidRPr="003B466F" w:rsidRDefault="00380031" w:rsidP="00380031">
            <w:pPr>
              <w:spacing w:before="160"/>
              <w:jc w:val="both"/>
              <w:rPr>
                <w:rFonts w:eastAsiaTheme="majorEastAsia"/>
                <w:color w:val="767171" w:themeColor="background2" w:themeShade="80"/>
                <w:sz w:val="24"/>
                <w:szCs w:val="24"/>
              </w:rPr>
            </w:pPr>
            <w:r w:rsidRPr="00380031">
              <w:rPr>
                <w:rFonts w:ascii="Calibri" w:hAnsi="Calibri"/>
              </w:rPr>
              <w:t>Una tercera inquietud es el uso de inteligencia artificial. Apoyamos la producción de código en agentes de forma intensiva, lo que aceleró las dos primeras iteraciones, pero elegimos Extreme Programming justamente para aprender en pares. Me gustaría saber si la asignatura tiene algún criterio sobre su uso y cómo espera que quede documentado. Por nuestra parte, cada decisión de diseño queda registrada en la bitácora de decisiones, y cada integrante debe poder explicarla en primera persona.</w:t>
            </w:r>
          </w:p>
        </w:tc>
      </w:tr>
    </w:tbl>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308F8BA6" w14:textId="7624D3AE" w:rsidR="00380031" w:rsidRPr="00380031" w:rsidRDefault="00380031" w:rsidP="00380031">
            <w:pPr>
              <w:spacing w:before="160"/>
              <w:jc w:val="both"/>
              <w:rPr>
                <w:rFonts w:ascii="Calibri" w:hAnsi="Calibri"/>
              </w:rPr>
            </w:pPr>
            <w:r>
              <w:rPr>
                <w:rFonts w:ascii="Calibri" w:hAnsi="Calibri"/>
              </w:rPr>
              <w:t xml:space="preserve">R: </w:t>
            </w:r>
            <w:r w:rsidRPr="00380031">
              <w:rPr>
                <w:rFonts w:ascii="Calibri" w:hAnsi="Calibri"/>
              </w:rPr>
              <w:t>Sí. Las dos primeras iteraciones las produjo mayoritariamente una persona, y lo corregimos desde la iteración 3, que es la primera con funcionalidad visible. Cada integrante toma código propio y una tarea transversal.</w:t>
            </w:r>
          </w:p>
          <w:p w14:paraId="5D633864" w14:textId="75B6854D" w:rsidR="00380031" w:rsidRPr="00380031" w:rsidRDefault="00380031" w:rsidP="00380031">
            <w:pPr>
              <w:spacing w:before="160"/>
              <w:jc w:val="both"/>
              <w:rPr>
                <w:rFonts w:ascii="Calibri" w:hAnsi="Calibri"/>
              </w:rPr>
            </w:pPr>
            <w:r w:rsidRPr="00380031">
              <w:rPr>
                <w:rFonts w:ascii="Calibri" w:hAnsi="Calibri"/>
              </w:rPr>
              <w:t>La iteración parte con Jeremías y yo trabajando en pares para pasar el andamiaje del backend a FastAPI, con la validación de sesión mediante Firebase. Después, Jeremías implementa la entrega de preguntas con la exclusión de las ya respondidas, y yo los servicios de catálogo de pruebas y de preferencias, junto con una prueba que verifica que ninguna ruta entregue la alternativa correcta. Sebastián construye la pantalla Pregunta de punta a punta y la traducción de los errores de cuota a estados de interfaz. Además conduzco la planificación y registro la velocidad. Cada pull request lo revisa otro integrante en el repositorio.</w:t>
            </w:r>
          </w:p>
          <w:p w14:paraId="0D99320D" w14:textId="42774C4A" w:rsidR="004F2A8B" w:rsidRDefault="00380031" w:rsidP="00380031">
            <w:pPr>
              <w:spacing w:before="160"/>
              <w:jc w:val="both"/>
              <w:rPr>
                <w:rFonts w:eastAsiaTheme="majorEastAsia"/>
                <w:color w:val="767171" w:themeColor="background2" w:themeShade="80"/>
                <w:sz w:val="24"/>
                <w:szCs w:val="24"/>
              </w:rPr>
            </w:pPr>
            <w:r w:rsidRPr="00380031">
              <w:rPr>
                <w:rFonts w:ascii="Calibri" w:hAnsi="Calibri"/>
              </w:rPr>
              <w:t>Hay también actividades nuevas: alinear el modelo de usuarios, medallas y recorrecciones con la consola de administración, configurar la identidad de git en cada equipo, llevar los tickets en Corestream, la plataforma de gestión que nos asignó la empresa, y adelantar el empaquetado en contenedores a la iteración 7 para cumplir el hito de la empresa en la semana 12.</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6C1F4BFA" w14:textId="3B547FC3" w:rsidR="00944D2C" w:rsidRPr="00944D2C" w:rsidRDefault="00380031" w:rsidP="00944D2C">
            <w:pPr>
              <w:spacing w:before="160"/>
              <w:jc w:val="both"/>
              <w:rPr>
                <w:rFonts w:ascii="Calibri" w:hAnsi="Calibri"/>
              </w:rPr>
            </w:pPr>
            <w:r>
              <w:rPr>
                <w:rFonts w:ascii="Calibri" w:hAnsi="Calibri"/>
              </w:rPr>
              <w:t xml:space="preserve">R: </w:t>
            </w:r>
            <w:r w:rsidR="00944D2C" w:rsidRPr="00944D2C">
              <w:rPr>
                <w:rFonts w:ascii="Calibri" w:hAnsi="Calibri"/>
              </w:rPr>
              <w:t>El trabajo en grupo ha funcionado bien y el indicador más claro es que llevamos una iteración de adelanto sobre el cronograma.</w:t>
            </w:r>
          </w:p>
          <w:p w14:paraId="698B8923" w14:textId="2C769A2F" w:rsidR="00944D2C" w:rsidRPr="00944D2C" w:rsidRDefault="00944D2C" w:rsidP="00944D2C">
            <w:pPr>
              <w:spacing w:before="160"/>
              <w:jc w:val="both"/>
              <w:rPr>
                <w:rFonts w:ascii="Calibri" w:hAnsi="Calibri"/>
              </w:rPr>
            </w:pPr>
            <w:r w:rsidRPr="00944D2C">
              <w:rPr>
                <w:rFonts w:ascii="Calibri" w:hAnsi="Calibri"/>
              </w:rPr>
              <w:t>Destacamos tres aspectos positivos. El primero es que la revisión cruzada de documentos funcionó: varios errores de consistencia entre el enunciado de alcance, la estructura de desglose y el cronograma los detectó alguien distinto de quien los escribió. El segundo es la disposición a corregir lo ya entregado; cuando la docente observó que nuestros objetivos estaban ordenados por etapas y no por entregables, los reescribimos completos en lugar de defender la versión original. El tercero es que compartimos sección y horario, lo que hace viables la programación en pares y la sincronización frecuente sin necesidad de coordinación adicional.</w:t>
            </w:r>
          </w:p>
          <w:p w14:paraId="3E0BD350" w14:textId="5D05D783" w:rsidR="00944D2C" w:rsidRPr="00944D2C" w:rsidRDefault="00944D2C" w:rsidP="00944D2C">
            <w:pPr>
              <w:spacing w:before="160"/>
              <w:jc w:val="both"/>
              <w:rPr>
                <w:rFonts w:ascii="Calibri" w:hAnsi="Calibri"/>
              </w:rPr>
            </w:pPr>
            <w:r w:rsidRPr="00944D2C">
              <w:rPr>
                <w:rFonts w:ascii="Calibri" w:hAnsi="Calibri"/>
              </w:rPr>
              <w:t>Hay dos aspectos por mejorar. El primero es que el trabajo técnico se ha concentrado en pocas manos y eso se refleja en el historial del repositorio, donde los commits aparecen bajo una sola cuenta. Es el punto más urgente, porque afecta la evidencia de aporte individual y no se corrige retroactivamente.</w:t>
            </w:r>
          </w:p>
          <w:p w14:paraId="135C9F0C" w14:textId="77777777" w:rsidR="00380031" w:rsidRDefault="00380031" w:rsidP="00944D2C">
            <w:pPr>
              <w:spacing w:before="160"/>
              <w:jc w:val="both"/>
              <w:rPr>
                <w:rFonts w:ascii="Calibri" w:hAnsi="Calibri"/>
              </w:rPr>
            </w:pPr>
            <w:r w:rsidRPr="00380031">
              <w:rPr>
                <w:rFonts w:ascii="Calibri" w:hAnsi="Calibri"/>
              </w:rPr>
              <w:t>El segundo es que la revisión cruzada no quedó registrada desde el principio. Las primeras fusiones se aprobaron por mensaje, y una entró sin revisión. Desde mediados de septiembre cada pull request se revisa y aprueba en el repositorio, que es la evidencia de que se hizo. Falta que esas revisiones digan qué se verificó, y no solo que los cambios se ven correctos.</w:t>
            </w:r>
          </w:p>
          <w:p w14:paraId="6B57E2ED" w14:textId="39F55221" w:rsidR="004F2A8B" w:rsidRDefault="00944D2C" w:rsidP="00944D2C">
            <w:pPr>
              <w:spacing w:before="160"/>
              <w:jc w:val="both"/>
              <w:rPr>
                <w:rFonts w:eastAsiaTheme="majorEastAsia"/>
                <w:color w:val="767171" w:themeColor="background2" w:themeShade="80"/>
                <w:sz w:val="24"/>
                <w:szCs w:val="24"/>
              </w:rPr>
            </w:pPr>
            <w:r w:rsidRPr="00944D2C">
              <w:rPr>
                <w:rFonts w:ascii="Calibri" w:hAnsi="Calibri"/>
              </w:rPr>
              <w:t>Ambos puntos se abordan desde la iteración 3 y quedaron registrados como acuerdo en la reflexión de cierre de la iteración 2.</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42205" w14:textId="77777777" w:rsidR="00BE0FD0" w:rsidRDefault="00BE0FD0" w:rsidP="00DF38AE">
      <w:pPr>
        <w:spacing w:after="0" w:line="240" w:lineRule="auto"/>
      </w:pPr>
      <w:r>
        <w:separator/>
      </w:r>
    </w:p>
  </w:endnote>
  <w:endnote w:type="continuationSeparator" w:id="0">
    <w:p w14:paraId="101726BE" w14:textId="77777777" w:rsidR="00BE0FD0" w:rsidRDefault="00BE0FD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1A597" w14:textId="77777777" w:rsidR="00BE0FD0" w:rsidRDefault="00BE0FD0" w:rsidP="00DF38AE">
      <w:pPr>
        <w:spacing w:after="0" w:line="240" w:lineRule="auto"/>
      </w:pPr>
      <w:r>
        <w:separator/>
      </w:r>
    </w:p>
  </w:footnote>
  <w:footnote w:type="continuationSeparator" w:id="0">
    <w:p w14:paraId="5F98DFEC" w14:textId="77777777" w:rsidR="00BE0FD0" w:rsidRDefault="00BE0FD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25333521">
    <w:abstractNumId w:val="3"/>
  </w:num>
  <w:num w:numId="2" w16cid:durableId="782653608">
    <w:abstractNumId w:val="8"/>
  </w:num>
  <w:num w:numId="3" w16cid:durableId="439492150">
    <w:abstractNumId w:val="12"/>
  </w:num>
  <w:num w:numId="4" w16cid:durableId="777873696">
    <w:abstractNumId w:val="28"/>
  </w:num>
  <w:num w:numId="5" w16cid:durableId="1430739802">
    <w:abstractNumId w:val="30"/>
  </w:num>
  <w:num w:numId="6" w16cid:durableId="1191450603">
    <w:abstractNumId w:val="4"/>
  </w:num>
  <w:num w:numId="7" w16cid:durableId="567034262">
    <w:abstractNumId w:val="11"/>
  </w:num>
  <w:num w:numId="8" w16cid:durableId="65226729">
    <w:abstractNumId w:val="19"/>
  </w:num>
  <w:num w:numId="9" w16cid:durableId="1947497980">
    <w:abstractNumId w:val="15"/>
  </w:num>
  <w:num w:numId="10" w16cid:durableId="747120875">
    <w:abstractNumId w:val="9"/>
  </w:num>
  <w:num w:numId="11" w16cid:durableId="2013217130">
    <w:abstractNumId w:val="24"/>
  </w:num>
  <w:num w:numId="12" w16cid:durableId="1123306023">
    <w:abstractNumId w:val="35"/>
  </w:num>
  <w:num w:numId="13" w16cid:durableId="1261447399">
    <w:abstractNumId w:val="29"/>
  </w:num>
  <w:num w:numId="14" w16cid:durableId="1627853896">
    <w:abstractNumId w:val="1"/>
  </w:num>
  <w:num w:numId="15" w16cid:durableId="1178735469">
    <w:abstractNumId w:val="36"/>
  </w:num>
  <w:num w:numId="16" w16cid:durableId="1129323039">
    <w:abstractNumId w:val="21"/>
  </w:num>
  <w:num w:numId="17" w16cid:durableId="635067606">
    <w:abstractNumId w:val="17"/>
  </w:num>
  <w:num w:numId="18" w16cid:durableId="1727292153">
    <w:abstractNumId w:val="31"/>
  </w:num>
  <w:num w:numId="19" w16cid:durableId="1017656709">
    <w:abstractNumId w:val="10"/>
  </w:num>
  <w:num w:numId="20" w16cid:durableId="454296546">
    <w:abstractNumId w:val="39"/>
  </w:num>
  <w:num w:numId="21" w16cid:durableId="156654957">
    <w:abstractNumId w:val="34"/>
  </w:num>
  <w:num w:numId="22" w16cid:durableId="1771438156">
    <w:abstractNumId w:val="13"/>
  </w:num>
  <w:num w:numId="23" w16cid:durableId="1943875084">
    <w:abstractNumId w:val="14"/>
  </w:num>
  <w:num w:numId="24" w16cid:durableId="1188182261">
    <w:abstractNumId w:val="5"/>
  </w:num>
  <w:num w:numId="25" w16cid:durableId="1861431040">
    <w:abstractNumId w:val="16"/>
  </w:num>
  <w:num w:numId="26" w16cid:durableId="1724284041">
    <w:abstractNumId w:val="20"/>
  </w:num>
  <w:num w:numId="27" w16cid:durableId="639968012">
    <w:abstractNumId w:val="23"/>
  </w:num>
  <w:num w:numId="28" w16cid:durableId="1844852094">
    <w:abstractNumId w:val="0"/>
  </w:num>
  <w:num w:numId="29" w16cid:durableId="1296253762">
    <w:abstractNumId w:val="18"/>
  </w:num>
  <w:num w:numId="30" w16cid:durableId="998463243">
    <w:abstractNumId w:val="22"/>
  </w:num>
  <w:num w:numId="31" w16cid:durableId="1575965978">
    <w:abstractNumId w:val="2"/>
  </w:num>
  <w:num w:numId="32" w16cid:durableId="1004673674">
    <w:abstractNumId w:val="7"/>
  </w:num>
  <w:num w:numId="33" w16cid:durableId="1818837633">
    <w:abstractNumId w:val="32"/>
  </w:num>
  <w:num w:numId="34" w16cid:durableId="13503921">
    <w:abstractNumId w:val="38"/>
  </w:num>
  <w:num w:numId="35" w16cid:durableId="1076054678">
    <w:abstractNumId w:val="6"/>
  </w:num>
  <w:num w:numId="36" w16cid:durableId="442001900">
    <w:abstractNumId w:val="25"/>
  </w:num>
  <w:num w:numId="37" w16cid:durableId="830757363">
    <w:abstractNumId w:val="37"/>
  </w:num>
  <w:num w:numId="38" w16cid:durableId="1544560203">
    <w:abstractNumId w:val="27"/>
  </w:num>
  <w:num w:numId="39" w16cid:durableId="1044253203">
    <w:abstractNumId w:val="26"/>
  </w:num>
  <w:num w:numId="40" w16cid:durableId="211454829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17F0"/>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031"/>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5D19"/>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4493"/>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94E78"/>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52C"/>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4D2C"/>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3CD"/>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0FD0"/>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31AA"/>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Pages>
  <Words>1880</Words>
  <Characters>10344</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Diario de Reflexión Fase 2 — Proyecto APT</vt:lpstr>
    </vt:vector>
  </TitlesOfParts>
  <Company>Wal-Mart Stores, Inc.</Company>
  <LinksUpToDate>false</LinksUpToDate>
  <CharactersWithSpaces>12200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Diario de Reflexión Fase 2 — Proyecto APT</dc:title>
  <dc:subject>Módulo de Preguntas — App móvil Aprueba</dc:subject>
  <dc:creator>Martin Alonso Espinoza Morales — Grupo 9, CAPSTONE_002D</dc:creator>
  <cp:lastModifiedBy>MARTIN ALONSO ESPINOZA MORALES</cp:lastModifiedBy>
  <cp:revision>48</cp:revision>
  <cp:lastPrinted>2019-12-16T20:10:00Z</cp:lastPrinted>
  <dcterms:created xsi:type="dcterms:W3CDTF">2021-12-31T12:50:00Z</dcterms:created>
  <dcterms:modified xsi:type="dcterms:W3CDTF">2026-09-23T21:28:00Z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