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Pr/>
        <w:drawing>
          <wp:inline distB="0" distT="0" distL="0" distR="0">
            <wp:extent cx="1619250" cy="400050"/>
            <wp:effectExtent b="0" l="0" r="0" t="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619250" cy="400050"/>
                    </a:xfrm>
                    <a:prstGeom prst="rect"/>
                    <a:ln/>
                  </pic:spPr>
                </pic:pic>
              </a:graphicData>
            </a:graphic>
          </wp:inline>
        </w:drawing>
      </w:r>
      <w:r>
        <w:rPr>
          <w:rtl w:val="0"/>
        </w:rPr>
      </w:r>
    </w:p>
    <w:p w:rsidR="00000000" w:rsidDel="00000000" w:rsidP="00000000" w:rsidRDefault="00000000" w:rsidRPr="00000000" w14:paraId="00000002">
      <w:pPr>
        <w:spacing w:after="60" w:before="200" w:lineRule="auto"/>
        <w:rPr/>
      </w:pPr>
      <w:r>
        <w:rPr>
          <w:rFonts w:ascii="Calibri" w:cs="Calibri" w:eastAsia="Calibri" w:hAnsi="Calibri"/>
          <w:b w:val="1"/>
          <w:bCs w:val="1"/>
          <w:sz w:val="40"/>
          <w:szCs w:val="40"/>
          <w:rtl w:val="0"/>
        </w:rPr>
        <w:t xml:space="preserve">Innovación</w:t>
      </w:r>
      <w:r>
        <w:rPr>
          <w:rtl w:val="0"/>
        </w:rPr>
      </w:r>
    </w:p>
    <w:p w:rsidR="00000000" w:rsidDel="00000000" w:rsidP="00000000" w:rsidRDefault="00000000" w:rsidRPr="00000000" w14:paraId="00000003">
      <w:pPr>
        <w:spacing w:after="60" w:lineRule="auto"/>
        <w:rPr/>
      </w:pPr>
      <w:r>
        <w:rPr>
          <w:rFonts w:ascii="Calibri" w:cs="Calibri" w:eastAsia="Calibri" w:hAnsi="Calibri"/>
          <w:color w:val="595959"/>
          <w:sz w:val="26"/>
          <w:szCs w:val="26"/>
          <w:rtl w:val="0"/>
        </w:rPr>
        <w:t xml:space="preserve">Problema, propuesta diferenciadora y valor</w:t>
      </w:r>
      <w:r>
        <w:rPr>
          <w:rtl w:val="0"/>
        </w:rPr>
      </w:r>
    </w:p>
    <w:p w:rsidR="00000000" w:rsidDel="00000000" w:rsidP="00000000" w:rsidRDefault="00000000" w:rsidRPr="00000000" w14:paraId="00000004">
      <w:pPr>
        <w:pBdr>
          <w:bottom w:color="000000" w:space="4" w:sz="12" w:val="single"/>
        </w:pBdr>
        <w:spacing w:after="240" w:lineRule="auto"/>
        <w:rPr/>
      </w:pPr>
      <w:r>
        <w:rPr>
          <w:rFonts w:ascii="Calibri" w:cs="Calibri" w:eastAsia="Calibri" w:hAnsi="Calibri"/>
          <w:color w:val="595959"/>
          <w:sz w:val="22"/>
          <w:szCs w:val="22"/>
          <w:rtl w:val="0"/>
        </w:rPr>
        <w:t xml:space="preserve">App móvil Aprueba - Módulo de Preguntas · Grupo 9 · PTY4614 Capstone, sección 002D</w:t>
      </w:r>
      <w:r>
        <w:rPr>
          <w:rtl w:val="0"/>
        </w:rPr>
      </w:r>
    </w:p>
    <w:tbl>
      <w:tblPr>
        <w:tblStyle w:val="Table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038"/>
        <w:tblGridChange w:id="0">
          <w:tblGrid>
            <w:gridCol w:w="2600"/>
            <w:gridCol w:w="7038"/>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005">
            <w:pPr>
              <w:jc w:val="center"/>
              <w:rPr/>
            </w:pPr>
            <w:r>
              <w:rPr>
                <w:rFonts w:ascii="Calibri" w:cs="Calibri" w:eastAsia="Calibri" w:hAnsi="Calibri"/>
                <w:b w:val="1"/>
                <w:bCs w:val="1"/>
                <w:color w:val="ffffff"/>
                <w:sz w:val="19"/>
                <w:szCs w:val="19"/>
                <w:rtl w:val="0"/>
              </w:rPr>
              <w:t xml:space="preserve">Campo</w:t>
            </w:r>
            <w:r>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006">
            <w:pPr>
              <w:jc w:val="center"/>
              <w:rPr/>
            </w:pPr>
            <w:r>
              <w:rPr>
                <w:rFonts w:ascii="Calibri" w:cs="Calibri" w:eastAsia="Calibri" w:hAnsi="Calibri"/>
                <w:b w:val="1"/>
                <w:bCs w:val="1"/>
                <w:color w:val="ffffff"/>
                <w:sz w:val="19"/>
                <w:szCs w:val="19"/>
                <w:rtl w:val="0"/>
              </w:rPr>
              <w:t xml:space="preserve">Detalle</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90.0" w:type="dxa"/>
              <w:bottom w:w="60.0" w:type="dxa"/>
              <w:right w:w="90.0" w:type="dxa"/>
            </w:tcMar>
          </w:tcPr>
          <w:p w:rsidR="00000000" w:rsidDel="00000000" w:rsidP="00000000" w:rsidRDefault="00000000" w:rsidRPr="00000000" w14:paraId="00000007">
            <w:pPr>
              <w:jc w:val="left"/>
              <w:rPr/>
            </w:pPr>
            <w:r>
              <w:rPr>
                <w:rFonts w:ascii="Calibri" w:cs="Calibri" w:eastAsia="Calibri" w:hAnsi="Calibri"/>
                <w:b w:val="1"/>
                <w:bCs w:val="1"/>
                <w:sz w:val="19"/>
                <w:szCs w:val="19"/>
                <w:rtl w:val="0"/>
              </w:rPr>
              <w:t xml:space="preserve">Paquete de la EDT</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08">
            <w:pPr>
              <w:jc w:val="left"/>
              <w:rPr/>
            </w:pPr>
            <w:r>
              <w:rPr>
                <w:rFonts w:ascii="Calibri" w:cs="Calibri" w:eastAsia="Calibri" w:hAnsi="Calibri"/>
                <w:b w:val="0"/>
                <w:bCs w:val="0"/>
                <w:sz w:val="19"/>
                <w:szCs w:val="19"/>
                <w:rtl w:val="0"/>
              </w:rPr>
              <w:t xml:space="preserve">1.3.7.3 · Innovación</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90.0" w:type="dxa"/>
              <w:bottom w:w="60.0" w:type="dxa"/>
              <w:right w:w="90.0" w:type="dxa"/>
            </w:tcMar>
          </w:tcPr>
          <w:p w:rsidR="00000000" w:rsidDel="00000000" w:rsidP="00000000" w:rsidRDefault="00000000" w:rsidRPr="00000000" w14:paraId="00000009">
            <w:pPr>
              <w:jc w:val="left"/>
              <w:rPr/>
            </w:pPr>
            <w:r>
              <w:rPr>
                <w:rFonts w:ascii="Calibri" w:cs="Calibri" w:eastAsia="Calibri" w:hAnsi="Calibri"/>
                <w:b w:val="1"/>
                <w:bCs w:val="1"/>
                <w:sz w:val="19"/>
                <w:szCs w:val="19"/>
                <w:rtl w:val="0"/>
              </w:rPr>
              <w:t xml:space="preserve">Elaborado por</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0A">
            <w:pPr>
              <w:jc w:val="left"/>
              <w:rPr/>
            </w:pPr>
            <w:r>
              <w:rPr>
                <w:rFonts w:ascii="Calibri" w:cs="Calibri" w:eastAsia="Calibri" w:hAnsi="Calibri"/>
                <w:b w:val="0"/>
                <w:bCs w:val="0"/>
                <w:sz w:val="19"/>
                <w:szCs w:val="19"/>
                <w:rtl w:val="0"/>
              </w:rPr>
              <w:t xml:space="preserve">Equipo del Grupo 9</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90.0" w:type="dxa"/>
              <w:bottom w:w="60.0" w:type="dxa"/>
              <w:right w:w="90.0" w:type="dxa"/>
            </w:tcMar>
          </w:tcPr>
          <w:p w:rsidR="00000000" w:rsidDel="00000000" w:rsidP="00000000" w:rsidRDefault="00000000" w:rsidRPr="00000000" w14:paraId="0000000B">
            <w:pPr>
              <w:jc w:val="left"/>
              <w:rPr/>
            </w:pPr>
            <w:r>
              <w:rPr>
                <w:rFonts w:ascii="Calibri" w:cs="Calibri" w:eastAsia="Calibri" w:hAnsi="Calibri"/>
                <w:b w:val="1"/>
                <w:bCs w:val="1"/>
                <w:sz w:val="19"/>
                <w:szCs w:val="19"/>
                <w:rtl w:val="0"/>
              </w:rPr>
              <w:t xml:space="preserve">Fecha</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0C">
            <w:pPr>
              <w:jc w:val="left"/>
              <w:rPr/>
            </w:pPr>
            <w:r>
              <w:rPr>
                <w:rFonts w:ascii="Calibri" w:cs="Calibri" w:eastAsia="Calibri" w:hAnsi="Calibri"/>
                <w:b w:val="0"/>
                <w:bCs w:val="0"/>
                <w:sz w:val="19"/>
                <w:szCs w:val="19"/>
                <w:rtl w:val="0"/>
              </w:rPr>
              <w:t xml:space="preserve">15 de octubre de 2026</w:t>
            </w:r>
            <w:r>
              <w:rPr>
                <w:rtl w:val="0"/>
              </w:rPr>
            </w:r>
          </w:p>
        </w:tc>
      </w:tr>
    </w:tbl>
    <w:p w:rsidR="00000000" w:rsidDel="00000000" w:rsidP="00000000" w:rsidRDefault="00000000" w:rsidRPr="00000000" w14:paraId="0000000D">
      <w:pPr>
        <w:pStyle w:val="Heading1"/>
        <w:spacing w:after="120" w:before="260" w:lineRule="auto"/>
        <w:rPr/>
      </w:pPr>
      <w:r>
        <w:rPr>
          <w:rFonts w:ascii="Calibri" w:cs="Calibri" w:eastAsia="Calibri" w:hAnsi="Calibri"/>
          <w:b w:val="1"/>
          <w:bCs w:val="1"/>
          <w:color w:val="000000"/>
          <w:sz w:val="28"/>
          <w:szCs w:val="28"/>
          <w:rtl w:val="0"/>
        </w:rPr>
        <w:t xml:space="preserve">1. Problema</w:t>
      </w:r>
      <w:r>
        <w:rPr>
          <w:rtl w:val="0"/>
        </w:rPr>
      </w:r>
    </w:p>
    <w:p w:rsidR="00000000" w:rsidDel="00000000" w:rsidP="00000000" w:rsidRDefault="00000000" w:rsidRPr="00000000" w14:paraId="0000000E">
      <w:pPr>
        <w:spacing w:after="120" w:line="276" w:lineRule="auto"/>
        <w:jc w:val="both"/>
        <w:rPr/>
      </w:pPr>
      <w:r>
        <w:rPr>
          <w:rFonts w:ascii="Calibri" w:cs="Calibri" w:eastAsia="Calibri" w:hAnsi="Calibri"/>
          <w:sz w:val="22"/>
          <w:szCs w:val="22"/>
          <w:rtl w:val="0"/>
        </w:rPr>
        <w:t xml:space="preserve">La PAES Regular 2025 contó con 300.595 personas inscritas, la cifra más alta en la historia de los procesos de admisión del país (Ministerio de Educación [Mineduc], 2025). </w:t>
      </w:r>
      <w:r>
        <w:rPr>
          <w:rtl w:val="0"/>
        </w:rPr>
        <w:t xml:space="preserve">Parte de los recursos de práctica disponibles se centra en indicar si una respuesta es correcta, sin necesariamente ofrecer una explicación detallada del error ni orientar al estudiante sobre qué contenidos o habilidades debe reforzar. A esto se suma que la preparación con acompañamiento puede implicar un costo adicional para los postulantes. </w:t>
      </w:r>
    </w:p>
    <w:p w:rsidR="00000000" w:rsidDel="00000000" w:rsidP="00000000" w:rsidRDefault="00000000" w:rsidRPr="00000000" w14:paraId="0000000F">
      <w:pPr>
        <w:pStyle w:val="Heading1"/>
        <w:spacing w:after="120" w:before="260" w:lineRule="auto"/>
        <w:rPr/>
      </w:pPr>
      <w:r>
        <w:rPr>
          <w:rFonts w:ascii="Calibri" w:cs="Calibri" w:eastAsia="Calibri" w:hAnsi="Calibri"/>
          <w:b w:val="1"/>
          <w:bCs w:val="1"/>
          <w:color w:val="000000"/>
          <w:sz w:val="28"/>
          <w:szCs w:val="28"/>
          <w:rtl w:val="0"/>
        </w:rPr>
        <w:t xml:space="preserve">2. Qué hace diferente a la solución</w:t>
      </w:r>
      <w:r>
        <w:rPr>
          <w:rtl w:val="0"/>
        </w:rPr>
      </w:r>
    </w:p>
    <w:p w:rsidR="00000000" w:rsidDel="00000000" w:rsidP="00000000" w:rsidRDefault="00000000" w:rsidRPr="00000000" w14:paraId="00000010">
      <w:pPr>
        <w:pStyle w:val="Heading2"/>
        <w:spacing w:after="80" w:before="180" w:lineRule="auto"/>
        <w:rPr/>
      </w:pPr>
      <w:r>
        <w:rPr>
          <w:rFonts w:ascii="Calibri" w:cs="Calibri" w:eastAsia="Calibri" w:hAnsi="Calibri"/>
          <w:b w:val="1"/>
          <w:bCs w:val="1"/>
          <w:color w:val="000000"/>
          <w:sz w:val="24"/>
          <w:szCs w:val="24"/>
          <w:rtl w:val="0"/>
        </w:rPr>
        <w:t xml:space="preserve">2.1 Cada pregunta es un ciclo de aprendizaje</w:t>
      </w:r>
      <w:r>
        <w:rPr>
          <w:rtl w:val="0"/>
        </w:rPr>
      </w:r>
    </w:p>
    <w:p w:rsidR="00000000" w:rsidDel="00000000" w:rsidP="00000000" w:rsidRDefault="00000000" w:rsidRPr="00000000" w14:paraId="00000011">
      <w:pPr>
        <w:spacing w:after="120" w:line="276" w:lineRule="auto"/>
        <w:jc w:val="both"/>
        <w:rPr/>
      </w:pPr>
      <w:r>
        <w:rPr>
          <w:rFonts w:ascii="Calibri" w:cs="Calibri" w:eastAsia="Calibri" w:hAnsi="Calibri"/>
          <w:sz w:val="22"/>
          <w:szCs w:val="22"/>
          <w:rtl w:val="0"/>
        </w:rPr>
        <w:t xml:space="preserve">Después de responder, el estudiante recibe la explicación paso a paso y ubica la habilidad evaluada dentro de un árbol de prerrequisitos que le indica qué estudiar primero.</w:t>
      </w:r>
      <w:r>
        <w:rPr>
          <w:rtl w:val="0"/>
        </w:rPr>
      </w:r>
    </w:p>
    <w:p w:rsidR="00000000" w:rsidDel="00000000" w:rsidP="00000000" w:rsidRDefault="00000000" w:rsidRPr="00000000" w14:paraId="00000012">
      <w:pPr>
        <w:pStyle w:val="Heading2"/>
        <w:spacing w:after="80" w:before="180" w:lineRule="auto"/>
        <w:rPr/>
      </w:pPr>
      <w:r>
        <w:rPr>
          <w:rFonts w:ascii="Calibri" w:cs="Calibri" w:eastAsia="Calibri" w:hAnsi="Calibri"/>
          <w:b w:val="1"/>
          <w:bCs w:val="1"/>
          <w:color w:val="000000"/>
          <w:sz w:val="24"/>
          <w:szCs w:val="24"/>
          <w:rtl w:val="0"/>
        </w:rPr>
        <w:t xml:space="preserve">2.2 Comparación con la cohorte</w:t>
      </w:r>
      <w:r>
        <w:rPr>
          <w:rtl w:val="0"/>
        </w:rPr>
      </w:r>
    </w:p>
    <w:p w:rsidR="00000000" w:rsidDel="00000000" w:rsidP="00000000" w:rsidRDefault="00000000" w:rsidRPr="00000000" w14:paraId="00000013">
      <w:pPr>
        <w:spacing w:after="120" w:line="276" w:lineRule="auto"/>
        <w:jc w:val="both"/>
        <w:rPr/>
      </w:pPr>
      <w:r>
        <w:rPr>
          <w:rFonts w:ascii="Calibri" w:cs="Calibri" w:eastAsia="Calibri" w:hAnsi="Calibri"/>
          <w:sz w:val="22"/>
          <w:szCs w:val="22"/>
          <w:rtl w:val="0"/>
        </w:rPr>
        <w:t xml:space="preserve">El resultado muestra el percentil del estudiante respecto de quienes respondieron la misma pregunta, calculado a partir de un histograma de tiempos almacenado en cada pregunta, sin consultas de agregación.</w:t>
      </w:r>
      <w:r>
        <w:rPr>
          <w:rtl w:val="0"/>
        </w:rPr>
      </w:r>
    </w:p>
    <w:p w:rsidR="00000000" w:rsidDel="00000000" w:rsidP="00000000" w:rsidRDefault="00000000" w:rsidRPr="00000000" w14:paraId="00000014">
      <w:pPr>
        <w:pStyle w:val="Heading2"/>
        <w:spacing w:after="80" w:before="180" w:lineRule="auto"/>
        <w:rPr/>
      </w:pPr>
      <w:r>
        <w:rPr>
          <w:rFonts w:ascii="Calibri" w:cs="Calibri" w:eastAsia="Calibri" w:hAnsi="Calibri"/>
          <w:b w:val="1"/>
          <w:bCs w:val="1"/>
          <w:color w:val="000000"/>
          <w:sz w:val="24"/>
          <w:szCs w:val="24"/>
          <w:rtl w:val="0"/>
        </w:rPr>
        <w:t xml:space="preserve">2.3 Acceso gratuito regulado por datos declarados</w:t>
      </w:r>
      <w:r>
        <w:rPr>
          <w:rtl w:val="0"/>
        </w:rPr>
      </w:r>
    </w:p>
    <w:p w:rsidR="00000000" w:rsidDel="00000000" w:rsidP="00000000" w:rsidRDefault="00000000" w:rsidRPr="00000000" w14:paraId="00000015">
      <w:pPr>
        <w:spacing w:after="120" w:line="276" w:lineRule="auto"/>
        <w:jc w:val="both"/>
        <w:rPr/>
      </w:pPr>
      <w:r>
        <w:rPr>
          <w:rFonts w:ascii="Calibri" w:cs="Calibri" w:eastAsia="Calibri" w:hAnsi="Calibri"/>
          <w:sz w:val="22"/>
          <w:szCs w:val="22"/>
          <w:rtl w:val="0"/>
        </w:rPr>
        <w:t xml:space="preserve">La cuota diaria escalonada se amplía cuando el estudiante declara voluntariamente información de su contexto educativo, lo que sostiene un modelo freemium sin exigir un pago inicial.</w:t>
      </w:r>
      <w:r>
        <w:rPr>
          <w:rtl w:val="0"/>
        </w:rPr>
      </w:r>
    </w:p>
    <w:p w:rsidR="00000000" w:rsidDel="00000000" w:rsidP="00000000" w:rsidRDefault="00000000" w:rsidRPr="00000000" w14:paraId="00000016">
      <w:pPr>
        <w:pStyle w:val="Heading2"/>
        <w:spacing w:after="80" w:before="180" w:lineRule="auto"/>
        <w:rPr/>
      </w:pPr>
      <w:r>
        <w:rPr>
          <w:rFonts w:ascii="Calibri" w:cs="Calibri" w:eastAsia="Calibri" w:hAnsi="Calibri"/>
          <w:b w:val="1"/>
          <w:bCs w:val="1"/>
          <w:color w:val="000000"/>
          <w:sz w:val="24"/>
          <w:szCs w:val="24"/>
          <w:rtl w:val="0"/>
        </w:rPr>
        <w:t xml:space="preserve">2.4 Control de calidad comunitario</w:t>
      </w:r>
      <w:r>
        <w:rPr>
          <w:rtl w:val="0"/>
        </w:rPr>
      </w:r>
    </w:p>
    <w:p w:rsidR="00000000" w:rsidDel="00000000" w:rsidP="00000000" w:rsidRDefault="00000000" w:rsidRPr="00000000" w14:paraId="00000017">
      <w:pPr>
        <w:spacing w:after="120" w:line="276" w:lineRule="auto"/>
        <w:jc w:val="both"/>
        <w:rPr/>
      </w:pPr>
      <w:r>
        <w:rPr>
          <w:rFonts w:ascii="Calibri" w:cs="Calibri" w:eastAsia="Calibri" w:hAnsi="Calibri"/>
          <w:sz w:val="22"/>
          <w:szCs w:val="22"/>
          <w:rtl w:val="0"/>
        </w:rPr>
        <w:t xml:space="preserve">Los estudiantes pueden reportar preguntas con errores y proponer la alternativa que consideran correcta. La solicitud llega a la consola de administración de la empresa, lo que convierte a los usuarios en un mecanismo permanente de control de calidad del contenido.</w:t>
      </w:r>
      <w:r>
        <w:rPr>
          <w:rtl w:val="0"/>
        </w:rPr>
      </w:r>
    </w:p>
    <w:p w:rsidR="00000000" w:rsidDel="00000000" w:rsidP="00000000" w:rsidRDefault="00000000" w:rsidRPr="00000000" w14:paraId="00000018">
      <w:pPr>
        <w:pStyle w:val="Heading2"/>
        <w:spacing w:after="80" w:before="180" w:lineRule="auto"/>
        <w:rPr/>
      </w:pPr>
      <w:r>
        <w:rPr>
          <w:rFonts w:ascii="Calibri" w:cs="Calibri" w:eastAsia="Calibri" w:hAnsi="Calibri"/>
          <w:b w:val="1"/>
          <w:bCs w:val="1"/>
          <w:color w:val="000000"/>
          <w:sz w:val="24"/>
          <w:szCs w:val="24"/>
          <w:rtl w:val="0"/>
        </w:rPr>
        <w:t xml:space="preserve">2.5 Integridad del contenido</w:t>
      </w:r>
      <w:r>
        <w:rPr>
          <w:rtl w:val="0"/>
        </w:rPr>
      </w:r>
    </w:p>
    <w:p w:rsidR="00000000" w:rsidDel="00000000" w:rsidP="00000000" w:rsidRDefault="00000000" w:rsidRPr="00000000" w14:paraId="00000019">
      <w:pPr>
        <w:spacing w:after="120" w:line="276" w:lineRule="auto"/>
        <w:jc w:val="both"/>
        <w:rPr/>
      </w:pPr>
      <w:r>
        <w:rPr>
          <w:rFonts w:ascii="Calibri" w:cs="Calibri" w:eastAsia="Calibri" w:hAnsi="Calibri"/>
          <w:sz w:val="22"/>
          <w:szCs w:val="22"/>
          <w:rtl w:val="0"/>
        </w:rPr>
        <w:t xml:space="preserve">La alternativa correcta nunca se envía a la aplicación antes de que el estudiante responda, y la pregunta entregada queda pendiente hasta responderla. Así se evita que el banco pueda recorrerse o copiarse sin consumir cuota, lo que protege el principal activo de la empresa.</w:t>
      </w:r>
      <w:r>
        <w:rPr>
          <w:rtl w:val="0"/>
        </w:rPr>
      </w:r>
    </w:p>
    <w:p w:rsidR="00000000" w:rsidDel="00000000" w:rsidP="00000000" w:rsidRDefault="00000000" w:rsidRPr="00000000" w14:paraId="0000001A">
      <w:pPr>
        <w:pStyle w:val="Heading1"/>
        <w:spacing w:after="120" w:before="260" w:lineRule="auto"/>
        <w:rPr/>
      </w:pPr>
      <w:r>
        <w:rPr>
          <w:rFonts w:ascii="Calibri" w:cs="Calibri" w:eastAsia="Calibri" w:hAnsi="Calibri"/>
          <w:b w:val="1"/>
          <w:bCs w:val="1"/>
          <w:color w:val="000000"/>
          <w:sz w:val="28"/>
          <w:szCs w:val="28"/>
          <w:rtl w:val="0"/>
        </w:rPr>
        <w:t xml:space="preserve">3. Valor que agrega</w:t>
      </w:r>
      <w:r>
        <w:rPr>
          <w:rtl w:val="0"/>
        </w:rPr>
      </w:r>
    </w:p>
    <w:p w:rsidR="00000000" w:rsidDel="00000000" w:rsidP="00000000" w:rsidRDefault="00000000" w:rsidRPr="00000000" w14:paraId="0000001B">
      <w:pPr>
        <w:spacing w:after="120" w:line="276" w:lineRule="auto"/>
        <w:jc w:val="both"/>
        <w:rPr/>
      </w:pPr>
      <w:r>
        <w:rPr>
          <w:rFonts w:ascii="Calibri" w:cs="Calibri" w:eastAsia="Calibri" w:hAnsi="Calibri"/>
          <w:sz w:val="22"/>
          <w:szCs w:val="22"/>
          <w:rtl w:val="0"/>
        </w:rPr>
        <w:t xml:space="preserve">Para el estudiante, reduce la barrera económica de la preparación y orienta el estudio hacia sus debilidades concretas, con práctica disponible en dispositivos móviles y en navegador, y sin conexión para quienes tienen conectividad limitada. Para la empresa, habilita el núcleo funcional de su producto, protege su banco de preguntas y le entrega un canal continuo de mejora del contenido.</w:t>
      </w:r>
      <w:r>
        <w:rPr>
          <w:rtl w:val="0"/>
        </w:rPr>
      </w:r>
    </w:p>
    <w:p w:rsidR="00000000" w:rsidDel="00000000" w:rsidP="00000000" w:rsidRDefault="00000000" w:rsidRPr="00000000" w14:paraId="0000001C">
      <w:pPr>
        <w:pStyle w:val="Heading1"/>
        <w:spacing w:after="120" w:before="260" w:lineRule="auto"/>
        <w:rPr/>
      </w:pPr>
      <w:r>
        <w:rPr>
          <w:rFonts w:ascii="Calibri" w:cs="Calibri" w:eastAsia="Calibri" w:hAnsi="Calibri"/>
          <w:b w:val="1"/>
          <w:bCs w:val="1"/>
          <w:color w:val="000000"/>
          <w:sz w:val="28"/>
          <w:szCs w:val="28"/>
          <w:rtl w:val="0"/>
        </w:rPr>
        <w:t xml:space="preserve">Declaración de uso de inteligencia artificial</w:t>
      </w:r>
      <w:r>
        <w:rPr>
          <w:rtl w:val="0"/>
        </w:rPr>
      </w:r>
    </w:p>
    <w:p w:rsidR="00000000" w:rsidDel="00000000" w:rsidP="00000000" w:rsidRDefault="00000000" w:rsidRPr="00000000" w14:paraId="0000001D">
      <w:pPr>
        <w:spacing w:after="120" w:line="276" w:lineRule="auto"/>
        <w:jc w:val="both"/>
        <w:rPr/>
      </w:pPr>
      <w:r>
        <w:rPr>
          <w:rFonts w:ascii="Calibri" w:cs="Calibri" w:eastAsia="Calibri" w:hAnsi="Calibri"/>
          <w:sz w:val="22"/>
          <w:szCs w:val="22"/>
          <w:rtl w:val="0"/>
        </w:rPr>
        <w:t xml:space="preserve">Se utilizó Claude (Anthropic, 2026) como apoyo en la redacción y estructuración de este documento, a partir de la información del proyecto aportada por el equipo. El contenido fue revisado y validado por los integrantes antes de su entrega.</w:t>
      </w:r>
      <w:r>
        <w:rPr>
          <w:rtl w:val="0"/>
        </w:rPr>
      </w:r>
    </w:p>
    <w:p w:rsidR="00000000" w:rsidDel="00000000" w:rsidP="00000000" w:rsidRDefault="00000000" w:rsidRPr="00000000" w14:paraId="0000001E">
      <w:pPr>
        <w:pStyle w:val="Heading1"/>
        <w:spacing w:after="120" w:before="260" w:lineRule="auto"/>
        <w:rPr/>
      </w:pPr>
      <w:r>
        <w:rPr>
          <w:rFonts w:ascii="Calibri" w:cs="Calibri" w:eastAsia="Calibri" w:hAnsi="Calibri"/>
          <w:b w:val="1"/>
          <w:bCs w:val="1"/>
          <w:color w:val="000000"/>
          <w:sz w:val="28"/>
          <w:szCs w:val="28"/>
          <w:rtl w:val="0"/>
        </w:rPr>
        <w:t xml:space="preserve">Referencias</w:t>
      </w:r>
      <w:r>
        <w:rPr>
          <w:rtl w:val="0"/>
        </w:rPr>
      </w:r>
    </w:p>
    <w:p w:rsidR="00000000" w:rsidDel="00000000" w:rsidP="00000000" w:rsidRDefault="00000000" w:rsidRPr="00000000" w14:paraId="0000001F">
      <w:pPr>
        <w:spacing w:after="120" w:line="276" w:lineRule="auto"/>
        <w:ind w:left="360" w:hanging="360"/>
        <w:jc w:val="both"/>
        <w:rPr/>
      </w:pPr>
      <w:r>
        <w:rPr>
          <w:rFonts w:ascii="Calibri" w:cs="Calibri" w:eastAsia="Calibri" w:hAnsi="Calibri"/>
          <w:b w:val="0"/>
          <w:bCs w:val="0"/>
          <w:i w:val="0"/>
          <w:iCs w:val="0"/>
          <w:sz w:val="22"/>
          <w:szCs w:val="22"/>
          <w:rtl w:val="0"/>
        </w:rPr>
        <w:t xml:space="preserve">Anthropic. (2026). </w:t>
      </w:r>
      <w:r>
        <w:rPr>
          <w:rFonts w:ascii="Calibri" w:cs="Calibri" w:eastAsia="Calibri" w:hAnsi="Calibri"/>
          <w:b w:val="0"/>
          <w:bCs w:val="0"/>
          <w:i w:val="1"/>
          <w:iCs w:val="1"/>
          <w:sz w:val="22"/>
          <w:szCs w:val="22"/>
          <w:rtl w:val="0"/>
        </w:rPr>
        <w:t xml:space="preserve">Claude</w:t>
      </w:r>
      <w:r>
        <w:rPr>
          <w:rFonts w:ascii="Calibri" w:cs="Calibri" w:eastAsia="Calibri" w:hAnsi="Calibri"/>
          <w:b w:val="0"/>
          <w:bCs w:val="0"/>
          <w:i w:val="0"/>
          <w:iCs w:val="0"/>
          <w:sz w:val="22"/>
          <w:szCs w:val="22"/>
          <w:rtl w:val="0"/>
        </w:rPr>
        <w:t xml:space="preserve"> [Modelo de lenguaje de gran escala]. Recuperado de https://claude.ai</w:t>
      </w:r>
      <w:r>
        <w:rPr>
          <w:rtl w:val="0"/>
        </w:rPr>
      </w:r>
    </w:p>
    <w:p w:rsidR="00000000" w:rsidDel="00000000" w:rsidP="00000000" w:rsidRDefault="00000000" w:rsidRPr="00000000" w14:paraId="00000020">
      <w:pPr>
        <w:spacing w:after="120" w:line="276" w:lineRule="auto"/>
        <w:ind w:left="360" w:hanging="360"/>
        <w:jc w:val="both"/>
        <w:rPr/>
      </w:pPr>
      <w:r>
        <w:rPr>
          <w:rFonts w:ascii="Calibri" w:cs="Calibri" w:eastAsia="Calibri" w:hAnsi="Calibri"/>
          <w:b w:val="0"/>
          <w:bCs w:val="0"/>
          <w:i w:val="0"/>
          <w:iCs w:val="0"/>
          <w:sz w:val="22"/>
          <w:szCs w:val="22"/>
          <w:rtl w:val="0"/>
        </w:rPr>
        <w:t xml:space="preserve">Ministerio de Educación. (2025, 1 de diciembre). </w:t>
      </w:r>
      <w:r>
        <w:rPr>
          <w:rFonts w:ascii="Calibri" w:cs="Calibri" w:eastAsia="Calibri" w:hAnsi="Calibri"/>
          <w:b w:val="0"/>
          <w:bCs w:val="0"/>
          <w:i w:val="1"/>
          <w:iCs w:val="1"/>
          <w:sz w:val="22"/>
          <w:szCs w:val="22"/>
          <w:rtl w:val="0"/>
        </w:rPr>
        <w:t xml:space="preserve">Comienza histórica aplicación de la PAES Regular con cifra récord de personas inscritas</w:t>
      </w:r>
      <w:r>
        <w:rPr>
          <w:rFonts w:ascii="Calibri" w:cs="Calibri" w:eastAsia="Calibri" w:hAnsi="Calibri"/>
          <w:b w:val="0"/>
          <w:bCs w:val="0"/>
          <w:i w:val="0"/>
          <w:iCs w:val="0"/>
          <w:sz w:val="22"/>
          <w:szCs w:val="22"/>
          <w:rtl w:val="0"/>
        </w:rPr>
        <w:t xml:space="preserve">. Recuperado de https://www.mineduc.cl/?p=42047</w:t>
      </w:r>
      <w:r>
        <w:rPr>
          <w:rtl w:val="0"/>
        </w:rPr>
      </w:r>
    </w:p>
    <w:p w:rsidR="00000000" w:rsidDel="00000000" w:rsidP="00000000" w:rsidRDefault="00000000" w:rsidRPr="00000000" w14:paraId="00000021">
      <w:pPr>
        <w:pStyle w:val="Heading1"/>
        <w:spacing w:after="120" w:before="260" w:lineRule="auto"/>
        <w:rPr/>
      </w:pPr>
      <w:r>
        <w:rPr>
          <w:rFonts w:ascii="Calibri" w:cs="Calibri" w:eastAsia="Calibri" w:hAnsi="Calibri"/>
          <w:b w:val="1"/>
          <w:bCs w:val="1"/>
          <w:color w:val="000000"/>
          <w:sz w:val="28"/>
          <w:szCs w:val="28"/>
          <w:rtl w:val="0"/>
        </w:rPr>
        <w:t xml:space="preserve">Control de versiones</w:t>
      </w:r>
      <w:r>
        <w:rPr>
          <w:rtl w:val="0"/>
        </w:rPr>
      </w:r>
    </w:p>
    <w:tbl>
      <w:tblPr>
        <w:tblStyle w:val="Table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1500"/>
        <w:gridCol w:w="7038"/>
        <w:tblGridChange w:id="0">
          <w:tblGrid>
            <w:gridCol w:w="1100"/>
            <w:gridCol w:w="1500"/>
            <w:gridCol w:w="7038"/>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022">
            <w:pPr>
              <w:jc w:val="center"/>
              <w:rPr/>
            </w:pPr>
            <w:r>
              <w:rPr>
                <w:rFonts w:ascii="Calibri" w:cs="Calibri" w:eastAsia="Calibri" w:hAnsi="Calibri"/>
                <w:b w:val="1"/>
                <w:bCs w:val="1"/>
                <w:color w:val="ffffff"/>
                <w:sz w:val="19"/>
                <w:szCs w:val="19"/>
                <w:rtl w:val="0"/>
              </w:rPr>
              <w:t xml:space="preserve">Versión</w:t>
            </w:r>
            <w:r>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023">
            <w:pPr>
              <w:jc w:val="center"/>
              <w:rPr/>
            </w:pPr>
            <w:r>
              <w:rPr>
                <w:rFonts w:ascii="Calibri" w:cs="Calibri" w:eastAsia="Calibri" w:hAnsi="Calibri"/>
                <w:b w:val="1"/>
                <w:bCs w:val="1"/>
                <w:color w:val="ffffff"/>
                <w:sz w:val="19"/>
                <w:szCs w:val="19"/>
                <w:rtl w:val="0"/>
              </w:rPr>
              <w:t xml:space="preserve">Fecha</w:t>
            </w:r>
            <w:r>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024">
            <w:pPr>
              <w:jc w:val="center"/>
              <w:rPr/>
            </w:pPr>
            <w:r>
              <w:rPr>
                <w:rFonts w:ascii="Calibri" w:cs="Calibri" w:eastAsia="Calibri" w:hAnsi="Calibri"/>
                <w:b w:val="1"/>
                <w:bCs w:val="1"/>
                <w:color w:val="ffffff"/>
                <w:sz w:val="19"/>
                <w:szCs w:val="19"/>
                <w:rtl w:val="0"/>
              </w:rPr>
              <w:t xml:space="preserve">Descripción</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25">
            <w:pPr>
              <w:jc w:val="center"/>
              <w:rPr/>
            </w:pPr>
            <w:r>
              <w:rPr>
                <w:rFonts w:ascii="Calibri" w:cs="Calibri" w:eastAsia="Calibri" w:hAnsi="Calibri"/>
                <w:b w:val="0"/>
                <w:bCs w:val="0"/>
                <w:sz w:val="19"/>
                <w:szCs w:val="19"/>
                <w:rtl w:val="0"/>
              </w:rPr>
              <w:t xml:space="preserve">1.0</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26">
            <w:pPr>
              <w:jc w:val="center"/>
              <w:rPr/>
            </w:pPr>
            <w:r>
              <w:rPr>
                <w:rFonts w:ascii="Calibri" w:cs="Calibri" w:eastAsia="Calibri" w:hAnsi="Calibri"/>
                <w:b w:val="0"/>
                <w:bCs w:val="0"/>
                <w:sz w:val="19"/>
                <w:szCs w:val="19"/>
                <w:rtl w:val="0"/>
              </w:rPr>
              <w:t xml:space="preserve">30/09/2026</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27">
            <w:pPr>
              <w:jc w:val="left"/>
              <w:rPr/>
            </w:pPr>
            <w:r>
              <w:rPr>
                <w:rFonts w:ascii="Calibri" w:cs="Calibri" w:eastAsia="Calibri" w:hAnsi="Calibri"/>
                <w:b w:val="0"/>
                <w:bCs w:val="0"/>
                <w:sz w:val="19"/>
                <w:szCs w:val="19"/>
                <w:rtl w:val="0"/>
              </w:rPr>
              <w:t xml:space="preserve">Versión inicial.</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pPr>
              <w:jc w:val="center"/>
              <w:rPr/>
            </w:pPr>
            <w:r>
              <w:rPr>
                <w:rFonts w:ascii="Calibri" w:cs="Calibri" w:eastAsia="Calibri" w:hAnsi="Calibri"/>
                <w:b w:val="0"/>
                <w:bCs w:val="0"/>
                <w:sz w:val="19"/>
                <w:szCs w:val="19"/>
                <w:rtl w:val="0"/>
              </w:rPr>
              <w:t xml:space="preserve">1.1</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pPr>
              <w:jc w:val="center"/>
              <w:rPr/>
            </w:pPr>
            <w:r>
              <w:rPr>
                <w:rFonts w:ascii="Calibri" w:cs="Calibri" w:eastAsia="Calibri" w:hAnsi="Calibri"/>
                <w:b w:val="0"/>
                <w:bCs w:val="0"/>
                <w:sz w:val="19"/>
                <w:szCs w:val="19"/>
                <w:rtl w:val="0"/>
              </w:rPr>
              <w:t xml:space="preserve">15/10/2026</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pPr>
              <w:jc w:val="left"/>
              <w:rPr/>
            </w:pPr>
            <w:r>
              <w:rPr>
                <w:rFonts w:ascii="Calibri" w:cs="Calibri" w:eastAsia="Calibri" w:hAnsi="Calibri"/>
                <w:b w:val="0"/>
                <w:bCs w:val="0"/>
                <w:sz w:val="19"/>
                <w:szCs w:val="19"/>
                <w:rtl w:val="0"/>
              </w:rPr>
              <w:t xml:space="preserve">Se reemplaza la cifra preliminar de personas inscritas en la PAES Regular 2025, informada al cierre de las inscripciones (300.623), por la cifra informada por el Ministerio de Educación al inicio de la prueba (300.595).</w:t>
            </w:r>
            <w:r>
              <w:rPr>
                <w:rtl w:val="0"/>
              </w:rPr>
            </w:r>
          </w:p>
        </w:tc>
      </w:tr>
    </w:tbl>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sectPr>
      <w:headerReference r:id="rId8" w:type="default"/>
      <w:footerReference r:id="rId9" w:type="default"/>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jc w:val="center"/>
      <w:rPr/>
    </w:pPr>
    <w:r w:rsidDel="00000000" w:rsidR="00000000" w:rsidRPr="00000000">
      <w:rPr>
        <w:rFonts w:ascii="Calibri" w:cs="Calibri" w:eastAsia="Calibri" w:hAnsi="Calibri"/>
        <w:color w:val="595959"/>
        <w:sz w:val="16"/>
        <w:szCs w:val="16"/>
        <w:rtl w:val="0"/>
      </w:rPr>
      <w:t xml:space="preserve">Página </w:t>
    </w:r>
    <w:r w:rsidDel="00000000" w:rsidR="00000000" w:rsidRPr="00000000">
      <w:rPr>
        <w:rFonts w:ascii="Calibri" w:cs="Calibri" w:eastAsia="Calibri" w:hAnsi="Calibri"/>
        <w:color w:val="595959"/>
        <w:sz w:val="16"/>
        <w:szCs w:val="16"/>
      </w:rPr>
      <w:fldChar w:fldCharType="begin"/>
      <w:instrText xml:space="preserve">PAGE</w:instrText>
      <w:fldChar w:fldCharType="separate"/>
      <w:fldChar w:fldCharType="end"/>
    </w:r>
    <w:r w:rsidDel="00000000" w:rsidR="00000000" w:rsidRPr="00000000">
      <w:rPr>
        <w:rFonts w:ascii="Calibri" w:cs="Calibri" w:eastAsia="Calibri" w:hAnsi="Calibri"/>
        <w:color w:val="595959"/>
        <w:sz w:val="16"/>
        <w:szCs w:val="16"/>
        <w:rtl w:val="0"/>
      </w:rPr>
      <w:t xml:space="preserve"> de </w:t>
    </w:r>
    <w:r w:rsidDel="00000000" w:rsidR="00000000" w:rsidRPr="00000000">
      <w:rPr>
        <w:rFonts w:ascii="Calibri" w:cs="Calibri" w:eastAsia="Calibri" w:hAnsi="Calibri"/>
        <w:color w:val="595959"/>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jc w:val="right"/>
      <w:rPr/>
    </w:pPr>
    <w:r w:rsidDel="00000000" w:rsidR="00000000" w:rsidRPr="00000000">
      <w:rPr>
        <w:rFonts w:ascii="Calibri" w:cs="Calibri" w:eastAsia="Calibri" w:hAnsi="Calibri"/>
        <w:color w:val="595959"/>
        <w:sz w:val="16"/>
        <w:szCs w:val="16"/>
        <w:rtl w:val="0"/>
      </w:rPr>
      <w:t xml:space="preserve">Innovación · App móvil Aprueba - Módulo de Preguntas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gn3aLwowr7Isrwbf59fbxnVYog==">CgMxLjA4AHIhMUpBMEFibDJuZ2RtMjNCZmFpMHVvZFYtR3VBYmRTT21V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2026-09-30T06:58:37.224Z</dcterms:created>
  <dc:creator>Un-named</dc:creator>
</cp:coreProperties>
</file>

<file path=docProps/custom.xml><?xml version="1.0" encoding="utf-8"?>
<Properties xmlns="http://schemas.openxmlformats.org/officeDocument/2006/custom-properties" xmlns:vt="http://schemas.openxmlformats.org/officeDocument/2006/docPropsVTypes"/>
</file>