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rPr/>
      </w:pPr>
      <w:r w:rsidDel="00000000" w:rsidR="00000000" w:rsidRPr="00000000">
        <w:rPr/>
        <w:drawing>
          <wp:inline distB="0" distT="0" distL="0" distR="0">
            <wp:extent cx="1619250" cy="400050"/>
            <wp:effectExtent b="0" l="0" r="0" t="0"/>
            <wp:docPr id="118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400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0"/>
          <w:szCs w:val="40"/>
          <w:rtl w:val="0"/>
        </w:rPr>
        <w:t xml:space="preserve">Guía del estado de la aplicación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595959"/>
          <w:sz w:val="26"/>
          <w:szCs w:val="26"/>
          <w:rtl w:val="0"/>
        </w:rPr>
        <w:t xml:space="preserve">Pantallas, servicios y acceso al producto mínimo viable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4" w:sz="12" w:val="single"/>
        </w:pBdr>
        <w:spacing w:after="240" w:lineRule="auto"/>
        <w:rPr/>
      </w:pP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App móvil Aprueba - Módulo de Preguntas · Grupo 9 · PTY4614 Capstone, sección 002D</w:t>
      </w: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7038"/>
        <w:tblGridChange w:id="0">
          <w:tblGrid>
            <w:gridCol w:w="2600"/>
            <w:gridCol w:w="70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Detalle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Paquete de la EDT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1.3.4 · Pantallas de la aplicación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Vigente durante la iteración 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Fuente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Pruebas de aceptación T-39 del 10/10/2026 y T-48 del 18/10/2026, Product Backlog 2.8 y Plan de entregas 1.8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Elaborado por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Equipo del Grupo 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18 de octubre de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1. Propósito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Este documento describe el estado de la aplicación al 18 de octubre de 2026: cómo acceder a ella, qué permite hacer al estudiante y qué pantallas y servicios se encuentran disponibles o en desarrollo. Las capturas provienen de los registros de las pruebas de aceptación T-39 y T-48, ejecutadas en el entorno de producción el 10 y el 18 de octubre de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2. Acceso a la aplicación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La aplicación se encuentra desplegada en Vercel como compilación web, en https://aprueba-app-modulo-preguntas.vercel.app, y se recomienda revisarla en Google Chrome con la vista de dispositivo móvil. Las credenciales de las cuentas de prueba se entregan por un canal privado y no se incluyen en este documento. Se dispone de dos cuentas: una con el plan gratuito, que permite revisar la cuota base de diez preguntas y las restricciones del plan, y otra con cuota ilimitada y un plan que incluye el formato facsímil.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La aplicación utiliza un banco de demostración elaborado por el equipo, con 41 preguntas de cuatro y de cinco alternativas. El banco real de la empresa se incorporará cuando esta lo clasifique por prueba, dificultad, eje y habilidad.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3. Recorrido del estudiante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="276" w:lineRule="auto"/>
        <w:jc w:val="both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El estudiante inicia sesión con su cuenta de Firebase Authentication y elige la prueba de cada pregunta nueva entre las que seleccionó; si tiene una pregunta pendiente, la aplicación se la entrega primero, con su dificultad y su formato de práctica. Responde mientras el cronómetro registra su tiempo y, al confirmar, la pantalla Resultado le indica si acertó, la alternativa correcta, la explicación breve y la medalla obtenida. Desde ahí puede abrir la explicación detallada, con los pasos de resolución, la verificación y el concepto clave, y desde ella la habilidad evaluada, con su nivel y porcentaje de dominio, la ruta de aprendizaje y los recursos de estudio, o continuar con la siguiente pregunta hasta completar su cuota diaria. La alternativa correcta y la explicación nunca se envían a la aplicación antes de que el estudiante responda.</w:t>
      </w:r>
    </w:p>
    <w:p w:rsidR="00000000" w:rsidDel="00000000" w:rsidP="00000000" w:rsidRDefault="00000000" w:rsidRPr="00000000" w14:paraId="00000018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4. Pantallas del módulo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3838"/>
        <w:gridCol w:w="1300"/>
        <w:gridCol w:w="2800"/>
        <w:tblGridChange w:id="0">
          <w:tblGrid>
            <w:gridCol w:w="1700"/>
            <w:gridCol w:w="3838"/>
            <w:gridCol w:w="1300"/>
            <w:gridCol w:w="28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Pantalla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Qué permite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Estado al 18/10/2026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Pregunta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Ver el enunciado, las alternativas, el progreso y el cronómetro, y cambiar la dificultad y el formato de práctica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HU-02, HU-12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Aceptada (T-24 y T-39)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Conocer el acierto o el error, la alternativa correcta, la explicación breve, el percentil y la medalla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Aceptada (T-35 y T-48); la recuperación al recargar el navegador se corrige en la iteración 7 (H-25)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Explicación detallada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Revisar los pasos de resolución, la verificación y el concepto clave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Aceptada (T-39)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Habilidad evaluada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Conocer la habilidad, el nivel de dominio, los prerrequisitos y los recursos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Aceptada (T-48)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Desbloqueo de cuota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Ampliar la cuota diaria al declarar el colegio o la región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Se muestra al alcanzar la cuota base y solicita el colegio y la región; el desbloqueo se implementa en la iteración 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Recorrección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Reportar una pregunta con error y consultar el estado de los reportes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HU-09, HU-10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Indica "Disponible próximamente"; el envío se implementa en la iteración 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pStyle w:val="Heading1"/>
        <w:spacing w:after="120" w:before="260" w:lineRule="auto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5. Capturas de la aplicación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Las figuras muestran las pantallas en la vista de dispositivo móvil del navegador, tal como se observaron en las pruebas de aceptación T-39 y T-48. Fuente: registro de la prueba T-39, figuras A26, A4 y A8 (figuras 1, 3 y 5), y registro de la prueba T-48, figuras A14, A7, A15, A9 y A17 (figuras 2, 4, 6, 7 y 8).</w:t>
      </w: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4819"/>
        <w:gridCol w:w="4819"/>
        <w:tblGridChange w:id="0">
          <w:tblGrid>
            <w:gridCol w:w="4819"/>
            <w:gridCol w:w="4819"/>
          </w:tblGrid>
        </w:tblGridChange>
      </w:tblGrid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3B">
            <w:pPr>
              <w:spacing w:after="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0" distT="0" distL="0" distR="0">
                  <wp:extent cx="2015999" cy="4355173"/>
                  <wp:effectExtent b="6350" l="6350" r="6350" t="6350"/>
                  <wp:docPr id="120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55173"/>
                          </a:xfrm>
                          <a:prstGeom prst="rect"/>
                          <a:ln w="6350">
                            <a:solidFill>
                              <a:srgbClr val="808080"/>
                            </a:solidFill>
                            <a:prstDash val="solid"/>
                          </a:ln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Figura 1. Pantalla Pregunta, con el enunciado, las alternativas y el cronómetro.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after="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0" distT="0" distL="0" distR="0">
                  <wp:extent cx="2015999" cy="4372502"/>
                  <wp:effectExtent b="6350" l="6350" r="6350" t="6350"/>
                  <wp:docPr id="119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72502"/>
                          </a:xfrm>
                          <a:prstGeom prst="rect"/>
                          <a:ln w="6350">
                            <a:solidFill>
                              <a:srgbClr val="808080"/>
                            </a:solidFill>
                            <a:prstDash val="solid"/>
                          </a:ln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Figura 2. Configuración de la práctica: el plan gratuito no habilita el formato facsímil y se mantiene Modo libre.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3F">
            <w:pPr>
              <w:spacing w:after="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0" distT="0" distL="0" distR="0">
                  <wp:extent cx="2015999" cy="4423854"/>
                  <wp:effectExtent b="6350" l="6350" r="6350" t="6350"/>
                  <wp:docPr id="122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423854"/>
                          </a:xfrm>
                          <a:prstGeom prst="rect"/>
                          <a:ln w="6350">
                            <a:solidFill>
                              <a:srgbClr val="808080"/>
                            </a:solidFill>
                            <a:prstDash val="solid"/>
                          </a:ln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Figura 3. Pantalla Resultado de una respuesta correcta, con la medalla y la cuota del día.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0" distT="0" distL="0" distR="0">
                  <wp:extent cx="2015999" cy="4372502"/>
                  <wp:effectExtent b="6350" l="6350" r="6350" t="6350"/>
                  <wp:docPr id="121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72502"/>
                          </a:xfrm>
                          <a:prstGeom prst="rect"/>
                          <a:ln w="6350">
                            <a:solidFill>
                              <a:srgbClr val="808080"/>
                            </a:solidFill>
                            <a:prstDash val="solid"/>
                          </a:ln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Figura 4. Explicación detallada, con los pasos, la verificación, el concepto clave y el acceso a la habilidad evaluada.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after="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0" distT="0" distL="0" distR="0">
                  <wp:extent cx="2015999" cy="4462898"/>
                  <wp:effectExtent b="6350" l="6350" r="6350" t="6350"/>
                  <wp:docPr id="11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462898"/>
                          </a:xfrm>
                          <a:prstGeom prst="rect"/>
                          <a:ln w="6350">
                            <a:solidFill>
                              <a:srgbClr val="808080"/>
                            </a:solidFill>
                            <a:prstDash val="solid"/>
                          </a:ln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Figura 5. Explicación de una pregunta aún no respondida: el servicio no la entrega.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after="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0" distT="0" distL="0" distR="0">
                  <wp:extent cx="2015999" cy="4372502"/>
                  <wp:effectExtent b="6350" l="6350" r="6350" t="6350"/>
                  <wp:docPr id="114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72502"/>
                          </a:xfrm>
                          <a:prstGeom prst="rect"/>
                          <a:ln w="6350">
                            <a:solidFill>
                              <a:srgbClr val="808080"/>
                            </a:solidFill>
                            <a:prstDash val="solid"/>
                          </a:ln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Figura 6. Cuota base alcanzada: el desbloqueo solicita el colegio y la región.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47">
            <w:pPr>
              <w:spacing w:after="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0" distT="0" distL="0" distR="0">
                  <wp:extent cx="2015999" cy="4372502"/>
                  <wp:effectExtent b="6350" l="6350" r="6350" t="6350"/>
                  <wp:docPr id="117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72502"/>
                          </a:xfrm>
                          <a:prstGeom prst="rect"/>
                          <a:ln w="6350">
                            <a:solidFill>
                              <a:srgbClr val="808080"/>
                            </a:solidFill>
                            <a:prstDash val="solid"/>
                          </a:ln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Figura 7. Habilidad evaluada, con el nivel y el porcentaje de dominio, la ruta de aprendizaje y los recursos.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spacing w:after="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0" distT="0" distL="0" distR="0">
                  <wp:extent cx="2015999" cy="4372502"/>
                  <wp:effectExtent b="6350" l="6350" r="6350" t="6350"/>
                  <wp:docPr id="116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72502"/>
                          </a:xfrm>
                          <a:prstGeom prst="rect"/>
                          <a:ln w="6350">
                            <a:solidFill>
                              <a:srgbClr val="808080"/>
                            </a:solidFill>
                            <a:prstDash val="solid"/>
                          </a:ln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Figura 8. Elección de la prueba para una pregunta nueva.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pStyle w:val="Heading1"/>
        <w:spacing w:after="120" w:before="260" w:lineRule="auto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6. Servicios de la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El backend, desarrollado en FastAPI y desplegado en Vercel, expone catorce servicios: los trece del contrato de la empresa y GET /me, incorporado como ajuste de alcance. Nueve se encuentran en producción.</w:t>
      </w:r>
      <w:r w:rsidDel="00000000" w:rsidR="00000000" w:rsidRPr="00000000">
        <w:rPr>
          <w:rtl w:val="0"/>
        </w:rPr>
      </w:r>
    </w:p>
    <w:tbl>
      <w:tblPr>
        <w:tblStyle w:val="Table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1600"/>
        <w:gridCol w:w="3838"/>
        <w:tblGridChange w:id="0">
          <w:tblGrid>
            <w:gridCol w:w="4200"/>
            <w:gridCol w:w="1600"/>
            <w:gridCol w:w="38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Estado al 18/10/2026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GET /practice/next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2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En producción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GET /questions/{id}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En producción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POST /questions/{id}/answer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En producción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GET /tests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En producción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GET /me/preferences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En producción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PUT /me/preferences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2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En producción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GET /me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HT-07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En producción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GET /questions/{id}/explanation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En producción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GET /questions/{id}/skill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En producción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GET /me/quota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Planificado para la iteración 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POST /me/quota/unlock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Planificado para la iteración 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2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POST /corrections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Planificado para la iteración 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GET /corrections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Planificado para la iteración 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GET /me/progress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Planificado para la iteración 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7. Limitaciones conocidas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La pantalla de inicio y la pestaña Medallas pertenecen a otros módulos del producto. La pantalla de inicio consulta la cuota y el progreso del estudiante, servicios planificados para las iteraciones 7 y 9, por lo que sus tarjetas aparecen vacías, y la pestaña Medallas consulta un servicio que no forma parte de este módulo.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Al recargar el navegador en la pantalla Resultado, la aplicación indica que el resultado no está disponible en el dispositivo en lugar de recuperarlo (H-25); se corrige en la iteración 7 con la tarea T-43. El botón Volver de la explicación detallada ya regresa al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Con el banco de demostración, cada prueba se agota tras pocas preguntas en la dificultad Básico; en ese caso la aplicación vuelve a la elección de la prueba para continuar con otra.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El percentil de cohorte se muestra cuando la pregunta reúne al menos cinco respuestas previas, por lo que con el banco de demostración no siempre aparece en la pantalla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Declaración de uso de inteligencia artificial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Se utilizó Claude (Anthropic, 2026) como apoyo en la redacción y estructuración de este documento, a partir de la información del proyecto aportada por el equipo. El contenido fue revisado y validado por los integrantes antes de su entrega.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Referencias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76" w:lineRule="auto"/>
        <w:ind w:left="36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Anthropic. (2026).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z w:val="22"/>
          <w:szCs w:val="22"/>
          <w:rtl w:val="0"/>
        </w:rPr>
        <w:t xml:space="preserve">Claude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 [Modelo de lenguaje de gran escala]. Recuperado de https://claude.ai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1"/>
        <w:spacing w:after="120" w:before="260" w:lineRule="auto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Control de versiones</w:t>
      </w:r>
      <w:r w:rsidDel="00000000" w:rsidR="00000000" w:rsidRPr="00000000">
        <w:rPr>
          <w:rtl w:val="0"/>
        </w:rPr>
      </w:r>
    </w:p>
    <w:tbl>
      <w:tblPr>
        <w:tblStyle w:val="Table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00"/>
        <w:gridCol w:w="1500"/>
        <w:gridCol w:w="7038"/>
        <w:tblGridChange w:id="0">
          <w:tblGrid>
            <w:gridCol w:w="1100"/>
            <w:gridCol w:w="1500"/>
            <w:gridCol w:w="70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15/10/2026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Versión inicial.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18/10/2026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Estado al cierre de la iteración 6: pantalla Habilidad evaluada y su servicio aceptados (T-48), elección de la prueba, desbloqueo sin el campo Edad y capturas actualizadas.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headerReference r:id="rId16" w:type="default"/>
      <w:footerReference r:id="rId17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jc w:val="center"/>
      <w:rPr/>
    </w:pPr>
    <w:r w:rsidDel="00000000" w:rsidR="00000000" w:rsidRPr="00000000">
      <w:rPr>
        <w:rFonts w:ascii="Calibri" w:cs="Calibri" w:eastAsia="Calibri" w:hAnsi="Calibri"/>
        <w:color w:val="595959"/>
        <w:sz w:val="16"/>
        <w:szCs w:val="16"/>
        <w:rtl w:val="0"/>
      </w:rPr>
      <w:t xml:space="preserve">Página </w:t>
    </w:r>
    <w:r w:rsidDel="00000000" w:rsidR="00000000" w:rsidRPr="00000000"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color w:val="595959"/>
        <w:sz w:val="16"/>
        <w:szCs w:val="16"/>
        <w:rtl w:val="0"/>
      </w:rPr>
      <w:t xml:space="preserve"> de </w:t>
    </w:r>
    <w:r w:rsidDel="00000000" w:rsidR="00000000" w:rsidRPr="00000000"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0">
    <w:pPr>
      <w:jc w:val="right"/>
      <w:rPr/>
    </w:pPr>
    <w:r w:rsidDel="00000000" w:rsidR="00000000" w:rsidRPr="00000000">
      <w:rPr>
        <w:rFonts w:ascii="Calibri" w:cs="Calibri" w:eastAsia="Calibri" w:hAnsi="Calibri"/>
        <w:color w:val="595959"/>
        <w:sz w:val="16"/>
        <w:szCs w:val="16"/>
        <w:rtl w:val="0"/>
      </w:rPr>
      <w:t xml:space="preserve">Guía del estado de la aplicación · App móvil Aprueba - Módulo de Preguntas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7" Type="http://schemas.openxmlformats.org/officeDocument/2006/relationships/footer" Target="footer1.xml"/><Relationship Id="rId16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8.jp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RmEi87wbCxSmyVskHKQghbByiA==">CgMxLjA4AHIhMUtkSFBPNml0Z0xldTdyV2ppWDBfOElwbi1JVjB2em1s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2026-09-30T06:58:37.195Z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