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16192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400050"/>
                    </a:xfrm>
                    <a:prstGeom prst="rect">
                      <a:avLst/>
                    </a:prstGeom>
                  </pic:spPr>
                </pic:pic>
              </a:graphicData>
            </a:graphic>
          </wp:inline>
        </w:drawing>
      </w:r>
    </w:p>
    <w:p>
      <w:pPr>
        <w:spacing w:after="60" w:before="200"/>
      </w:pPr>
      <w:r>
        <w:rPr>
          <w:rFonts w:ascii="Calibri" w:cs="Calibri" w:eastAsia="Calibri" w:hAnsi="Calibri"/>
          <w:b/>
          <w:bCs/>
          <w:sz w:val="40"/>
          <w:szCs w:val="40"/>
        </w:rPr>
        <w:t xml:space="preserve">Reflexiones de cierre de iteración</w:t>
      </w:r>
    </w:p>
    <w:p>
      <w:pPr>
        <w:spacing w:after="60"/>
      </w:pPr>
      <w:r>
        <w:rPr>
          <w:rFonts w:ascii="Calibri" w:cs="Calibri" w:eastAsia="Calibri" w:hAnsi="Calibri"/>
          <w:color w:val="595959"/>
          <w:sz w:val="26"/>
          <w:szCs w:val="26"/>
        </w:rPr>
        <w:t xml:space="preserve">Equivalente a las retrospectivas de Scrum</w:t>
      </w:r>
    </w:p>
    <w:p>
      <w:pPr>
        <w:pBdr>
          <w:bottom w:val="single" w:color="000000" w:sz="12" w:space="4"/>
        </w:pBdr>
        <w:spacing w:after="240"/>
      </w:pPr>
      <w:r>
        <w:rPr>
          <w:rFonts w:ascii="Calibri" w:cs="Calibri" w:eastAsia="Calibri" w:hAnsi="Calibri"/>
          <w:color w:val="595959"/>
          <w:sz w:val="22"/>
          <w:szCs w:val="22"/>
        </w:rPr>
        <w:t xml:space="preserve">App móvil Aprueba - Módulo de Preguntas · Grupo 9 · PTY4614 Capstone, sección 002D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Campo</w:t>
            </w:r>
          </w:p>
        </w:tc>
        <w:tc>
          <w:tcPr>
            <w:tcW w:type="dxa" w:w="7038"/>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Detalle</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rFonts w:ascii="Calibri" w:cs="Calibri" w:eastAsia="Calibri" w:hAnsi="Calibri"/>
                <w:b/>
                <w:bCs/>
                <w:sz w:val="19"/>
                <w:szCs w:val="19"/>
              </w:rPr>
              <w:t xml:space="preserve">Paquete de la EDT</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1.1.6 · Reflexiones de cierre de iteración</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rFonts w:ascii="Calibri" w:cs="Calibri" w:eastAsia="Calibri" w:hAnsi="Calibri"/>
                <w:b/>
                <w:bCs/>
                <w:sz w:val="19"/>
                <w:szCs w:val="19"/>
              </w:rPr>
              <w:t xml:space="preserve">Iteraciones</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1, 2, 3, 4, 5, 6, 7 y 8</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rFonts w:ascii="Calibri" w:cs="Calibri" w:eastAsia="Calibri" w:hAnsi="Calibri"/>
                <w:b/>
                <w:bCs/>
                <w:sz w:val="19"/>
                <w:szCs w:val="19"/>
              </w:rPr>
              <w:t xml:space="preserve">Conducción y registro</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Martin Espinoza Morales, encargado de seguimiento (Tracker)</w:t>
            </w:r>
          </w:p>
        </w:tc>
      </w:tr>
      <w:tr>
        <w:tc>
          <w:tcPr>
            <w:tcW w:type="dxa" w:w="2600"/>
            <w:tcBorders>
              <w:top w:val="single" w:color="808080" w:sz="4"/>
              <w:left w:val="single" w:color="808080" w:sz="4"/>
              <w:bottom w:val="single" w:color="808080" w:sz="4"/>
              <w:right w:val="single" w:color="808080" w:sz="4"/>
            </w:tcBorders>
            <w:shd w:fill="F2F2F2" w:val="clear"/>
            <w:tcMar>
              <w:top w:type="dxa" w:w="60"/>
              <w:left w:type="dxa" w:w="90"/>
              <w:bottom w:type="dxa" w:w="60"/>
              <w:right w:type="dxa" w:w="90"/>
            </w:tcMar>
          </w:tcPr>
          <w:p>
            <w:pPr>
              <w:jc w:val="left"/>
            </w:pPr>
            <w:r>
              <w:rPr>
                <w:rFonts w:ascii="Calibri" w:cs="Calibri" w:eastAsia="Calibri" w:hAnsi="Calibri"/>
                <w:b/>
                <w:bCs/>
                <w:sz w:val="19"/>
                <w:szCs w:val="19"/>
              </w:rPr>
              <w:t xml:space="preserve">Fecha</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29 de octubre de 2026</w:t>
            </w:r>
          </w:p>
        </w:tc>
      </w:tr>
    </w:tbl>
    <w:p>
      <w:pPr>
        <w:pStyle w:val="Heading1"/>
        <w:spacing w:after="120" w:before="260"/>
      </w:pPr>
      <w:r>
        <w:rPr>
          <w:rFonts w:ascii="Calibri" w:cs="Calibri" w:eastAsia="Calibri" w:hAnsi="Calibri"/>
          <w:b/>
          <w:bCs/>
          <w:color w:val="000000"/>
          <w:sz w:val="28"/>
          <w:szCs w:val="28"/>
        </w:rPr>
        <w:t xml:space="preserve">1. Velocidad por iteración</w:t>
      </w:r>
    </w:p>
    <w:p>
      <w:pPr>
        <w:spacing w:after="120" w:line="276"/>
        <w:jc w:val="both"/>
      </w:pPr>
      <w:r>
        <w:rPr>
          <w:rFonts w:ascii="Calibri" w:cs="Calibri" w:eastAsia="Calibri" w:hAnsi="Calibri"/>
          <w:sz w:val="22"/>
          <w:szCs w:val="22"/>
        </w:rPr>
        <w:t xml:space="preserve">En Extreme Programming cada iteración cierra con una reflexión del equipo sobre qué funcionó, qué no y qué se ajusta para la siguiente (Beck y Andres, 2004). Este documento registra la reflexión de cada iteración cerrada. Los resultados en puntos provienen del plan de iteraciones, y solo suman las historias que cumplen los criterios de terminado.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638"/>
      </w:tblGrid>
      <w:tr>
        <w:trPr>
          <w:tblHeader/>
        </w:trPr>
        <w:tc>
          <w:tcPr>
            <w:tcW w:type="dxa" w:w="20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Iteración</w:t>
            </w:r>
          </w:p>
        </w:tc>
        <w:tc>
          <w:tcPr>
            <w:tcW w:type="dxa" w:w="25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Puntos comprometidos</w:t>
            </w:r>
          </w:p>
        </w:tc>
        <w:tc>
          <w:tcPr>
            <w:tcW w:type="dxa" w:w="25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Puntos terminados</w:t>
            </w:r>
          </w:p>
        </w:tc>
        <w:tc>
          <w:tcPr>
            <w:tcW w:type="dxa" w:w="2638"/>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Observación</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 · Semana 5</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HT-01 dividida al cierre</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 · Semana 6</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 · Semana 7</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26</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26</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Incluye 3 puntos no planificados</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4 · Semana 8</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18</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11</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HU-12, HT-06 y HT-03 pasan a la iteración 5</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5 · Semana 9</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10</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10</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Las cuatro historias comprometidas se terminan</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6 · Semana 10</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5</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5</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HU-06 terminada; T-43 pasa a la iteración 7</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7 · Semana 11</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7</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7</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HU-07 y HU-08 terminadas; T-68 pasa a la iteración 8</w:t>
            </w:r>
          </w:p>
        </w:tc>
      </w:tr>
      <w:t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8 · Semana 12</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7</w:t>
            </w:r>
          </w:p>
        </w:tc>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7</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HU-09 y HU-10 terminadas; T-68 terminada</w:t>
            </w:r>
          </w:p>
        </w:tc>
      </w:tr>
    </w:tbl>
    <w:p>
      <w:pPr>
        <w:spacing w:after="120" w:line="276"/>
        <w:jc w:val="both"/>
      </w:pPr>
      <w:r>
        <w:rPr>
          <w:rFonts w:ascii="Calibri" w:cs="Calibri" w:eastAsia="Calibri" w:hAnsi="Calibri"/>
          <w:sz w:val="22"/>
          <w:szCs w:val="22"/>
        </w:rPr>
        <w:t xml:space="preserve">Las dos primeras iteraciones no se consideran referencia de velocidad, porque el equipo se encontraba aprendiendo el framework.</w:t>
      </w:r>
    </w:p>
    <w:p>
      <w:pPr>
        <w:pStyle w:val="Heading1"/>
        <w:spacing w:after="120" w:before="260"/>
      </w:pPr>
      <w:r>
        <w:rPr>
          <w:rFonts w:ascii="Calibri" w:cs="Calibri" w:eastAsia="Calibri" w:hAnsi="Calibri"/>
          <w:b/>
          <w:bCs/>
          <w:color w:val="000000"/>
          <w:sz w:val="28"/>
          <w:szCs w:val="28"/>
        </w:rPr>
        <w:t xml:space="preserve">2. Iteración 1 · Entorno operativo y despliegue</w:t>
      </w:r>
    </w:p>
    <w:p>
      <w:pPr>
        <w:pStyle w:val="Heading2"/>
        <w:spacing w:after="80" w:before="180"/>
      </w:pPr>
      <w:r>
        <w:rPr>
          <w:rFonts w:ascii="Calibri" w:cs="Calibri" w:eastAsia="Calibri" w:hAnsi="Calibri"/>
          <w:b/>
          <w:bCs/>
          <w:color w:val="000000"/>
          <w:sz w:val="24"/>
          <w:szCs w:val="24"/>
        </w:rPr>
        <w:t xml:space="preserve">Objetivo</w:t>
      </w:r>
    </w:p>
    <w:p>
      <w:pPr>
        <w:spacing w:after="120" w:line="276"/>
        <w:jc w:val="both"/>
      </w:pPr>
      <w:r>
        <w:rPr>
          <w:rFonts w:ascii="Calibri" w:cs="Calibri" w:eastAsia="Calibri" w:hAnsi="Calibri"/>
          <w:sz w:val="22"/>
          <w:szCs w:val="22"/>
        </w:rPr>
        <w:t xml:space="preserve">Habilitar el entorno de desarrollo y desplegar la aplicación para que el cliente pueda revisar el avance desde un enlace.</w:t>
      </w:r>
    </w:p>
    <w:p>
      <w:pPr>
        <w:pStyle w:val="Heading2"/>
        <w:spacing w:after="80" w:before="180"/>
      </w:pPr>
      <w:r>
        <w:rPr>
          <w:rFonts w:ascii="Calibri" w:cs="Calibri" w:eastAsia="Calibri" w:hAnsi="Calibri"/>
          <w:b/>
          <w:bCs/>
          <w:color w:val="000000"/>
          <w:sz w:val="24"/>
          <w:szCs w:val="24"/>
        </w:rPr>
        <w:t xml:space="preserve">Qué funcionó</w:t>
      </w:r>
    </w:p>
    <w:p>
      <w:pPr>
        <w:spacing w:after="120" w:line="276"/>
        <w:jc w:val="both"/>
      </w:pPr>
      <w:r>
        <w:rPr>
          <w:rFonts w:ascii="Calibri" w:cs="Calibri" w:eastAsia="Calibri" w:hAnsi="Calibri"/>
          <w:sz w:val="22"/>
          <w:szCs w:val="22"/>
        </w:rPr>
        <w:t xml:space="preserve">Dedicar la iteración a la habilitación del entorno, antes de escribir código productivo, permitió comprender la arquitectura antes de modificarla. El despliegue quedó operativo en la misma semana.</w:t>
      </w:r>
    </w:p>
    <w:p>
      <w:pPr>
        <w:pStyle w:val="Heading2"/>
        <w:spacing w:after="80" w:before="180"/>
      </w:pPr>
      <w:r>
        <w:rPr>
          <w:rFonts w:ascii="Calibri" w:cs="Calibri" w:eastAsia="Calibri" w:hAnsi="Calibri"/>
          <w:b/>
          <w:bCs/>
          <w:color w:val="000000"/>
          <w:sz w:val="24"/>
          <w:szCs w:val="24"/>
        </w:rPr>
        <w:t xml:space="preserve">Qué no funcionó</w:t>
      </w:r>
    </w:p>
    <w:p>
      <w:pPr>
        <w:spacing w:after="120" w:line="276"/>
        <w:jc w:val="both"/>
      </w:pPr>
      <w:r>
        <w:rPr>
          <w:rFonts w:ascii="Calibri" w:cs="Calibri" w:eastAsia="Calibri" w:hAnsi="Calibri"/>
          <w:sz w:val="22"/>
          <w:szCs w:val="22"/>
        </w:rPr>
        <w:t xml:space="preserve">El despliegue tomó más de lo previsto por restricciones no anticipadas de la plataforma, y la verificación del entorno en los equipos de los tres integrantes no alcanzó a completarse.</w:t>
      </w:r>
    </w:p>
    <w:p>
      <w:pPr>
        <w:pStyle w:val="Heading2"/>
        <w:spacing w:after="80" w:before="180"/>
      </w:pPr>
      <w:r>
        <w:rPr>
          <w:rFonts w:ascii="Calibri" w:cs="Calibri" w:eastAsia="Calibri" w:hAnsi="Calibri"/>
          <w:b/>
          <w:bCs/>
          <w:color w:val="000000"/>
          <w:sz w:val="24"/>
          <w:szCs w:val="24"/>
        </w:rPr>
        <w:t xml:space="preserve">Ajuste acordado</w:t>
      </w:r>
    </w:p>
    <w:p>
      <w:pPr>
        <w:spacing w:after="120" w:line="276"/>
        <w:jc w:val="both"/>
      </w:pPr>
      <w:r>
        <w:rPr>
          <w:rFonts w:ascii="Calibri" w:cs="Calibri" w:eastAsia="Calibri" w:hAnsi="Calibri"/>
          <w:sz w:val="22"/>
          <w:szCs w:val="22"/>
        </w:rPr>
        <w:t xml:space="preserve">Verificar el entorno en los equipos de todos los integrantes antes de cerrar una iteración. La verificación pendiente se separó en la historia HT-06, planificada para la iteración 4.</w:t>
      </w:r>
    </w:p>
    <w:p>
      <w:pPr>
        <w:pStyle w:val="Heading1"/>
        <w:spacing w:after="120" w:before="260"/>
      </w:pPr>
      <w:r>
        <w:rPr>
          <w:rFonts w:ascii="Calibri" w:cs="Calibri" w:eastAsia="Calibri" w:hAnsi="Calibri"/>
          <w:b/>
          <w:bCs/>
          <w:color w:val="000000"/>
          <w:sz w:val="28"/>
          <w:szCs w:val="28"/>
        </w:rPr>
        <w:t xml:space="preserve">3. Iteración 2 · Modelo de datos y contratos</w:t>
      </w:r>
    </w:p>
    <w:p>
      <w:pPr>
        <w:pStyle w:val="Heading2"/>
        <w:spacing w:after="80" w:before="180"/>
      </w:pPr>
      <w:r>
        <w:rPr>
          <w:rFonts w:ascii="Calibri" w:cs="Calibri" w:eastAsia="Calibri" w:hAnsi="Calibri"/>
          <w:b/>
          <w:bCs/>
          <w:color w:val="000000"/>
          <w:sz w:val="24"/>
          <w:szCs w:val="24"/>
        </w:rPr>
        <w:t xml:space="preserve">Objetivo</w:t>
      </w:r>
    </w:p>
    <w:p>
      <w:pPr>
        <w:spacing w:after="120" w:line="276"/>
        <w:jc w:val="both"/>
      </w:pPr>
      <w:r>
        <w:rPr>
          <w:rFonts w:ascii="Calibri" w:cs="Calibri" w:eastAsia="Calibri" w:hAnsi="Calibri"/>
          <w:sz w:val="22"/>
          <w:szCs w:val="22"/>
        </w:rPr>
        <w:t xml:space="preserve">Implementar el modelo de datos, sus reglas de seguridad e índices, y los modelos de dominio con pruebas de serialización.</w:t>
      </w:r>
    </w:p>
    <w:p>
      <w:pPr>
        <w:pStyle w:val="Heading2"/>
        <w:spacing w:after="80" w:before="180"/>
      </w:pPr>
      <w:r>
        <w:rPr>
          <w:rFonts w:ascii="Calibri" w:cs="Calibri" w:eastAsia="Calibri" w:hAnsi="Calibri"/>
          <w:b/>
          <w:bCs/>
          <w:color w:val="000000"/>
          <w:sz w:val="24"/>
          <w:szCs w:val="24"/>
        </w:rPr>
        <w:t xml:space="preserve">Qué funcionó</w:t>
      </w:r>
    </w:p>
    <w:p>
      <w:pPr>
        <w:spacing w:after="120" w:line="276"/>
        <w:jc w:val="both"/>
      </w:pPr>
      <w:r>
        <w:rPr>
          <w:rFonts w:ascii="Calibri" w:cs="Calibri" w:eastAsia="Calibri" w:hAnsi="Calibri"/>
          <w:sz w:val="22"/>
          <w:szCs w:val="22"/>
        </w:rPr>
        <w:t xml:space="preserve">La revisión previa a la integración detectó errores antes de que llegaran a la rama principal, entre ellos un código de estado distinto al del contrato y fechas almacenadas como texto.</w:t>
      </w:r>
    </w:p>
    <w:p>
      <w:pPr>
        <w:pStyle w:val="Heading2"/>
        <w:spacing w:after="80" w:before="180"/>
      </w:pPr>
      <w:r>
        <w:rPr>
          <w:rFonts w:ascii="Calibri" w:cs="Calibri" w:eastAsia="Calibri" w:hAnsi="Calibri"/>
          <w:b/>
          <w:bCs/>
          <w:color w:val="000000"/>
          <w:sz w:val="24"/>
          <w:szCs w:val="24"/>
        </w:rPr>
        <w:t xml:space="preserve">Qué no funcionó</w:t>
      </w:r>
    </w:p>
    <w:p>
      <w:pPr>
        <w:spacing w:after="120" w:line="276"/>
        <w:jc w:val="both"/>
      </w:pPr>
      <w:r>
        <w:rPr>
          <w:rFonts w:ascii="Calibri" w:cs="Calibri" w:eastAsia="Calibri" w:hAnsi="Calibri"/>
          <w:sz w:val="22"/>
          <w:szCs w:val="22"/>
        </w:rPr>
        <w:t xml:space="preserve">Las reglas de seguridad iniciales permitían leer la alternativa correcta directamente desde el cliente. Además, varias integraciones se aprobaron por mensajería sin quedar registradas en el repositorio, y los commits no identificaban a cada integrante.</w:t>
      </w:r>
    </w:p>
    <w:p>
      <w:pPr>
        <w:pStyle w:val="Heading2"/>
        <w:spacing w:after="80" w:before="180"/>
      </w:pPr>
      <w:r>
        <w:rPr>
          <w:rFonts w:ascii="Calibri" w:cs="Calibri" w:eastAsia="Calibri" w:hAnsi="Calibri"/>
          <w:b/>
          <w:bCs/>
          <w:color w:val="000000"/>
          <w:sz w:val="24"/>
          <w:szCs w:val="24"/>
        </w:rPr>
        <w:t xml:space="preserve">Ajuste acordado</w:t>
      </w:r>
    </w:p>
    <w:p>
      <w:pPr>
        <w:spacing w:after="120" w:line="276"/>
        <w:jc w:val="both"/>
      </w:pPr>
      <w:r>
        <w:rPr>
          <w:rFonts w:ascii="Calibri" w:cs="Calibri" w:eastAsia="Calibri" w:hAnsi="Calibri"/>
          <w:sz w:val="22"/>
          <w:szCs w:val="22"/>
        </w:rPr>
        <w:t xml:space="preserve">Negar todo acceso directo del cliente a la base de datos; integrar solo mediante solicitudes revisadas y aprobadas en el repositorio; y configurar la identidad de cada integrante en el control de versiones.</w:t>
      </w:r>
    </w:p>
    <w:p>
      <w:pPr>
        <w:pStyle w:val="Heading1"/>
        <w:spacing w:after="120" w:before="260"/>
      </w:pPr>
      <w:r>
        <w:rPr>
          <w:rFonts w:ascii="Calibri" w:cs="Calibri" w:eastAsia="Calibri" w:hAnsi="Calibri"/>
          <w:b/>
          <w:bCs/>
          <w:color w:val="000000"/>
          <w:sz w:val="28"/>
          <w:szCs w:val="28"/>
        </w:rPr>
        <w:t xml:space="preserve">4. Iteración 3 · Backend en FastAPI, sesión y entrega de preguntas</w:t>
      </w:r>
    </w:p>
    <w:p>
      <w:pPr>
        <w:pStyle w:val="Heading2"/>
        <w:spacing w:after="80" w:before="180"/>
      </w:pPr>
      <w:r>
        <w:rPr>
          <w:rFonts w:ascii="Calibri" w:cs="Calibri" w:eastAsia="Calibri" w:hAnsi="Calibri"/>
          <w:b/>
          <w:bCs/>
          <w:color w:val="000000"/>
          <w:sz w:val="24"/>
          <w:szCs w:val="24"/>
        </w:rPr>
        <w:t xml:space="preserve">Objetivo</w:t>
      </w:r>
    </w:p>
    <w:p>
      <w:pPr>
        <w:spacing w:after="120" w:line="276"/>
        <w:jc w:val="both"/>
      </w:pPr>
      <w:r>
        <w:rPr>
          <w:rFonts w:ascii="Calibri" w:cs="Calibri" w:eastAsia="Calibri" w:hAnsi="Calibri"/>
          <w:sz w:val="22"/>
          <w:szCs w:val="22"/>
        </w:rPr>
        <w:t xml:space="preserve">Permitir que el estudiante inicie sesión, configure su práctica y reciba una pregunta.</w:t>
      </w:r>
    </w:p>
    <w:p>
      <w:pPr>
        <w:pStyle w:val="Heading2"/>
        <w:spacing w:after="80" w:before="180"/>
      </w:pPr>
      <w:r>
        <w:rPr>
          <w:rFonts w:ascii="Calibri" w:cs="Calibri" w:eastAsia="Calibri" w:hAnsi="Calibri"/>
          <w:b/>
          <w:bCs/>
          <w:color w:val="000000"/>
          <w:sz w:val="24"/>
          <w:szCs w:val="24"/>
        </w:rPr>
        <w:t xml:space="preserve">Qué funcionó</w:t>
      </w:r>
    </w:p>
    <w:p>
      <w:pPr>
        <w:spacing w:after="120" w:line="276"/>
        <w:jc w:val="both"/>
      </w:pPr>
      <w:r>
        <w:rPr>
          <w:rFonts w:ascii="Calibri" w:cs="Calibri" w:eastAsia="Calibri" w:hAnsi="Calibri"/>
          <w:sz w:val="22"/>
          <w:szCs w:val="22"/>
        </w:rPr>
        <w:t xml:space="preserve">La decisión de la contraparte de migrar el backend a FastAPI y adoptar Firebase Authentication se absorbió sin perder la entrega, porque se aplicó antes de construir los servicios. El trabajo se integró en solicitudes pequeñas y encadenadas, cada una verificada en una vista previa. La prueba de integridad sobre todas las rutas y la prueba de aceptación en producción confirmaron la regla central del módulo, y la entrega funcional 1 se aceptó con ocho de ocho pasos aprobados.</w:t>
      </w:r>
    </w:p>
    <w:p>
      <w:pPr>
        <w:pStyle w:val="Heading2"/>
        <w:spacing w:after="80" w:before="180"/>
      </w:pPr>
      <w:r>
        <w:rPr>
          <w:rFonts w:ascii="Calibri" w:cs="Calibri" w:eastAsia="Calibri" w:hAnsi="Calibri"/>
          <w:b/>
          <w:bCs/>
          <w:color w:val="000000"/>
          <w:sz w:val="24"/>
          <w:szCs w:val="24"/>
        </w:rPr>
        <w:t xml:space="preserve">Qué no funcionó</w:t>
      </w:r>
    </w:p>
    <w:p>
      <w:pPr>
        <w:spacing w:after="120" w:line="276"/>
        <w:jc w:val="both"/>
      </w:pPr>
      <w:r>
        <w:rPr>
          <w:rFonts w:ascii="Calibri" w:cs="Calibri" w:eastAsia="Calibri" w:hAnsi="Calibri"/>
          <w:sz w:val="22"/>
          <w:szCs w:val="22"/>
        </w:rPr>
        <w:t xml:space="preserve">El trabajo se concentró en el fin de semana. Un encargo técnico se preparó con la lista de historias de la Fase 1 en lugar del Product Backlog vigente. Datos de demostración se cargaron en producción desde una rama aún no revisada. Una prueba asignada al encargado de pruebas la realizó el programador, y un agente de apoyo registró commits con una identidad local que no correspondía a ningún integrante.</w:t>
      </w:r>
    </w:p>
    <w:p>
      <w:pPr>
        <w:pStyle w:val="Heading2"/>
        <w:spacing w:after="80" w:before="180"/>
      </w:pPr>
      <w:r>
        <w:rPr>
          <w:rFonts w:ascii="Calibri" w:cs="Calibri" w:eastAsia="Calibri" w:hAnsi="Calibri"/>
          <w:b/>
          <w:bCs/>
          <w:color w:val="000000"/>
          <w:sz w:val="24"/>
          <w:szCs w:val="24"/>
        </w:rPr>
        <w:t xml:space="preserve">Ajuste acordado</w:t>
      </w:r>
    </w:p>
    <w:p>
      <w:pPr>
        <w:spacing w:after="120" w:line="276"/>
        <w:jc w:val="both"/>
      </w:pPr>
      <w:r>
        <w:rPr>
          <w:rFonts w:ascii="Calibri" w:cs="Calibri" w:eastAsia="Calibri" w:hAnsi="Calibri"/>
          <w:sz w:val="22"/>
          <w:szCs w:val="22"/>
        </w:rPr>
        <w:t xml:space="preserve">Planificar siempre con el Product Backlog vigente; registrar como historia el trabajo no planificado; cargar datos en producción solo desde la rama principal revisada y probar después de cada carga; respetar la separación entre quien programa y quien acepta; y prohibir que los agentes configuren una identidad propia en el control de versiones.</w:t>
      </w:r>
    </w:p>
    <w:p>
      <w:pPr>
        <w:pStyle w:val="Heading1"/>
        <w:spacing w:after="120" w:before="260"/>
      </w:pPr>
      <w:r>
        <w:rPr>
          <w:rFonts w:ascii="Calibri" w:cs="Calibri" w:eastAsia="Calibri" w:hAnsi="Calibri"/>
          <w:b/>
          <w:bCs/>
          <w:color w:val="000000"/>
          <w:sz w:val="28"/>
          <w:szCs w:val="28"/>
        </w:rPr>
        <w:t>5. Iteración 4 · Respuesta, resultado y percentil</w:t>
      </w:r>
    </w:p>
    <w:p>
      <w:pPr>
        <w:pStyle w:val="Heading2"/>
        <w:spacing w:after="80" w:before="180"/>
      </w:pPr>
      <w:r>
        <w:rPr>
          <w:rFonts w:ascii="Calibri" w:cs="Calibri" w:eastAsia="Calibri" w:hAnsi="Calibri"/>
          <w:b/>
          <w:bCs/>
          <w:color w:val="000000"/>
          <w:sz w:val="24"/>
          <w:szCs w:val="24"/>
        </w:rPr>
        <w:t>Objetivo</w:t>
      </w:r>
    </w:p>
    <w:p>
      <w:pPr>
        <w:spacing w:after="120" w:line="276"/>
        <w:jc w:val="both"/>
      </w:pPr>
      <w:r>
        <w:rPr>
          <w:rFonts w:ascii="Calibri" w:cs="Calibri" w:eastAsia="Calibri" w:hAnsi="Calibri"/>
          <w:sz w:val="22"/>
          <w:szCs w:val="22"/>
        </w:rPr>
        <w:t>Completar el ciclo de respuesta: el estudiante responde, conoce su resultado con su percentil y practica según su formato; cerrar los hallazgos de la entrega funcional 1 y adelantar los contenedores.</w:t>
      </w:r>
    </w:p>
    <w:p>
      <w:pPr>
        <w:pStyle w:val="Heading2"/>
        <w:spacing w:after="80" w:before="180"/>
      </w:pPr>
      <w:r>
        <w:rPr>
          <w:rFonts w:ascii="Calibri" w:cs="Calibri" w:eastAsia="Calibri" w:hAnsi="Calibri"/>
          <w:b/>
          <w:bCs/>
          <w:color w:val="000000"/>
          <w:sz w:val="24"/>
          <w:szCs w:val="24"/>
        </w:rPr>
        <w:t>Qué funcionó</w:t>
      </w:r>
    </w:p>
    <w:p>
      <w:pPr>
        <w:spacing w:after="120" w:line="276"/>
        <w:jc w:val="both"/>
      </w:pPr>
      <w:r>
        <w:rPr>
          <w:rFonts w:ascii="Calibri" w:cs="Calibri" w:eastAsia="Calibri" w:hAnsi="Calibri"/>
          <w:sz w:val="22"/>
          <w:szCs w:val="22"/>
        </w:rPr>
        <w:t>El backend se integró en cuatro solicitudes encadenadas y pequeñas, cada una con sus pruebas, y resolvió tres hallazgos de la prueba de aceptación anterior: el tiempo medido desde la entrega del servidor, la pregunta pendiente fijada de forma atómica y la prueba de integridad ampliada a la explicación. Cuando la transacción del SDK bloqueaba las solicitudes simultáneas, se reemplazó por una escritura condicionada respaldada con evidencia. La revisión cruzada de la pantalla Resultado detectó tres errores reales antes de integrarla, y la aceptación en producción aprobó nueve de once pasos.</w:t>
      </w:r>
    </w:p>
    <w:p>
      <w:pPr>
        <w:pStyle w:val="Heading2"/>
        <w:spacing w:after="80" w:before="180"/>
      </w:pPr>
      <w:r>
        <w:rPr>
          <w:rFonts w:ascii="Calibri" w:cs="Calibri" w:eastAsia="Calibri" w:hAnsi="Calibri"/>
          <w:b/>
          <w:bCs/>
          <w:color w:val="000000"/>
          <w:sz w:val="24"/>
          <w:szCs w:val="24"/>
        </w:rPr>
        <w:t>Qué no funcionó</w:t>
      </w:r>
    </w:p>
    <w:p>
      <w:pPr>
        <w:spacing w:after="120" w:line="276"/>
        <w:jc w:val="both"/>
      </w:pPr>
      <w:r>
        <w:rPr>
          <w:rFonts w:ascii="Calibri" w:cs="Calibri" w:eastAsia="Calibri" w:hAnsi="Calibri"/>
          <w:sz w:val="22"/>
          <w:szCs w:val="22"/>
        </w:rPr>
        <w:t>Se comprometieron 18 puntos y se terminaron 11: el orden del facsímil, la verificación del entorno en los tres equipos y los contenedores no se iniciaron. La conservación de la pantalla al recargar en la versión web pasó su prueba automatizada, pero falló en el navegador real. La aceptación se ejecutó después del término de la semana, porque la pantalla Resultado se integró al final. Una tarea de prueba asignada al encargado de pruebas la volvió a realizar el programador.</w:t>
      </w:r>
    </w:p>
    <w:p>
      <w:pPr>
        <w:pStyle w:val="Heading2"/>
        <w:spacing w:after="80" w:before="180"/>
      </w:pPr>
      <w:r>
        <w:rPr>
          <w:rFonts w:ascii="Calibri" w:cs="Calibri" w:eastAsia="Calibri" w:hAnsi="Calibri"/>
          <w:b/>
          <w:bCs/>
          <w:color w:val="000000"/>
          <w:sz w:val="24"/>
          <w:szCs w:val="24"/>
        </w:rPr>
        <w:t>Ajuste acordado</w:t>
      </w:r>
    </w:p>
    <w:p>
      <w:pPr>
        <w:spacing w:after="120" w:line="276"/>
        <w:jc w:val="both"/>
      </w:pPr>
      <w:r>
        <w:rPr>
          <w:rFonts w:ascii="Calibri" w:cs="Calibri" w:eastAsia="Calibri" w:hAnsi="Calibri"/>
          <w:sz w:val="22"/>
          <w:szCs w:val="22"/>
        </w:rPr>
        <w:t>Comprometer en cada iteración solo lo que el equipo puede terminar en la semana; verificar en un navegador real los comportamientos de la versión web, además de su prueba automatizada; integrar la pantalla y su servicio a mitad de semana para dejar tiempo a la aceptación; y excluir de los encargos de los programadores las tareas asignadas al encargado de pruebas.</w:t>
      </w:r>
    </w:p>
    <w:p>
      <w:pPr>
        <w:pStyle w:val="Heading1"/>
        <w:spacing w:after="120" w:before="260"/>
      </w:pPr>
      <w:r>
        <w:rPr>
          <w:rFonts w:ascii="Calibri" w:cs="Calibri" w:eastAsia="Calibri" w:hAnsi="Calibri"/>
          <w:b/>
          <w:bCs/>
          <w:color w:val="000000"/>
          <w:sz w:val="28"/>
          <w:szCs w:val="28"/>
        </w:rPr>
        <w:t>6. Iteración 5 · Explicación detallada, formato y entornos</w:t>
      </w:r>
    </w:p>
    <w:p>
      <w:pPr>
        <w:pStyle w:val="Heading2"/>
        <w:spacing w:after="80" w:before="180"/>
      </w:pPr>
      <w:r>
        <w:rPr>
          <w:rFonts w:ascii="Calibri" w:cs="Calibri" w:eastAsia="Calibri" w:hAnsi="Calibri"/>
          <w:b/>
          <w:bCs/>
          <w:color w:val="000000"/>
          <w:sz w:val="24"/>
          <w:szCs w:val="24"/>
        </w:rPr>
        <w:t>Objetivo</w:t>
      </w:r>
    </w:p>
    <w:p>
      <w:pPr>
        <w:spacing w:after="120" w:line="276"/>
        <w:jc w:val="both"/>
      </w:pPr>
      <w:r>
        <w:rPr>
          <w:rFonts w:ascii="Calibri" w:cs="Calibri" w:eastAsia="Calibri" w:hAnsi="Calibri"/>
          <w:sz w:val="22"/>
          <w:szCs w:val="22"/>
        </w:rPr>
        <w:t>Permitir que el estudiante comprenda su error con la explicación detallada, configurar el formato y la dificultad según su plan, conservar la práctica al recargar en la versión web y dejar el proyecto reproducible en los tres equipos y en contenedores.</w:t>
      </w:r>
    </w:p>
    <w:p>
      <w:pPr>
        <w:pStyle w:val="Heading2"/>
        <w:spacing w:after="80" w:before="180"/>
      </w:pPr>
      <w:r>
        <w:rPr>
          <w:rFonts w:ascii="Calibri" w:cs="Calibri" w:eastAsia="Calibri" w:hAnsi="Calibri"/>
          <w:b/>
          <w:bCs/>
          <w:color w:val="000000"/>
          <w:sz w:val="24"/>
          <w:szCs w:val="24"/>
        </w:rPr>
        <w:t>Qué funcionó</w:t>
      </w:r>
    </w:p>
    <w:p>
      <w:pPr>
        <w:spacing w:after="120" w:line="276"/>
        <w:jc w:val="both"/>
      </w:pPr>
      <w:r>
        <w:rPr>
          <w:rFonts w:ascii="Calibri" w:cs="Calibri" w:eastAsia="Calibri" w:hAnsi="Calibri"/>
          <w:sz w:val="22"/>
          <w:szCs w:val="22"/>
        </w:rPr>
        <w:t>Se terminaron las cuatro historias comprometidas, con 10 de 10 puntos, frente a los 11 de 18 de la iteración anterior, lo que confirma el ajuste de comprometer solo lo que el equipo puede terminar en la semana. El trabajo se integró en solicitudes pequeñas y revisadas. El entorno local y los contenedores se verificaron en el equipo del encargado de pruebas siguiendo solo la documentación del repositorio, y la aceptación se ejecutó en un navegador real dentro de la misma semana, incluida la recarga de cada pantalla nueva.</w:t>
      </w:r>
    </w:p>
    <w:p>
      <w:pPr>
        <w:pStyle w:val="Heading2"/>
        <w:spacing w:after="80" w:before="180"/>
      </w:pPr>
      <w:r>
        <w:rPr>
          <w:rFonts w:ascii="Calibri" w:cs="Calibri" w:eastAsia="Calibri" w:hAnsi="Calibri"/>
          <w:b/>
          <w:bCs/>
          <w:color w:val="000000"/>
          <w:sz w:val="24"/>
          <w:szCs w:val="24"/>
        </w:rPr>
        <w:t>Qué no funcionó</w:t>
      </w:r>
    </w:p>
    <w:p>
      <w:pPr>
        <w:spacing w:after="120" w:line="276"/>
        <w:jc w:val="both"/>
      </w:pPr>
      <w:r>
        <w:rPr>
          <w:rFonts w:ascii="Calibri" w:cs="Calibri" w:eastAsia="Calibri" w:hAnsi="Calibri"/>
          <w:sz w:val="22"/>
          <w:szCs w:val="22"/>
        </w:rPr>
        <w:t>El despliegue de la API se bloqueó porque el plan gratuito de la plataforma no publica cambios de personas ajenas a su equipo, y se resolvió integrando con un commit de fusión desde la cuenta del programador backend. La instalación de los contenedores exigió habilitar la virtualización de Windows en el equipo del encargado de pruebas. La aceptación debió usar la cuenta reservada para la demostración, porque la cuenta de pruebas tiene cuota ilimitada. Además, la revisión del banco de demostración encontró tres preguntas con errores de contenido, y la recarga de la pantalla Resultado, que no se había previsto en los criterios, la deja en blanco.</w:t>
      </w:r>
    </w:p>
    <w:p>
      <w:pPr>
        <w:pStyle w:val="Heading2"/>
        <w:spacing w:after="80" w:before="180"/>
      </w:pPr>
      <w:r>
        <w:rPr>
          <w:rFonts w:ascii="Calibri" w:cs="Calibri" w:eastAsia="Calibri" w:hAnsi="Calibri"/>
          <w:b/>
          <w:bCs/>
          <w:color w:val="000000"/>
          <w:sz w:val="24"/>
          <w:szCs w:val="24"/>
        </w:rPr>
        <w:t>Ajuste acordado</w:t>
      </w:r>
    </w:p>
    <w:p>
      <w:pPr>
        <w:spacing w:after="120" w:line="276"/>
        <w:jc w:val="both"/>
      </w:pPr>
      <w:r>
        <w:rPr>
          <w:rFonts w:ascii="Calibri" w:cs="Calibri" w:eastAsia="Calibri" w:hAnsi="Calibri"/>
          <w:sz w:val="22"/>
          <w:szCs w:val="22"/>
        </w:rPr>
        <w:t>Revisar antes de cada demostración todas las pantallas que verá el cliente, incluidas las que no pertenecen a la iteración; contar con una cuenta de prueba de plan gratuito distinta de la cuenta de demostración; y verificar en un navegador real cada pantalla nueva al recargar y al volver atrás.</w:t>
      </w:r>
    </w:p>
    <w:p>
      <w:pPr>
        <w:pStyle w:val="Heading1"/>
        <w:spacing w:after="120" w:before="260"/>
      </w:pPr>
      <w:r>
        <w:rPr>
          <w:rFonts w:ascii="Calibri" w:cs="Calibri" w:eastAsia="Calibri" w:hAnsi="Calibri"/>
          <w:b/>
          <w:bCs/>
          <w:color w:val="000000"/>
          <w:sz w:val="28"/>
          <w:szCs w:val="28"/>
        </w:rPr>
        <w:t>7. Iteración 6 · Habilidad evaluada</w:t>
      </w:r>
    </w:p>
    <w:p>
      <w:pPr>
        <w:pStyle w:val="Heading2"/>
        <w:spacing w:after="80" w:before="180"/>
      </w:pPr>
      <w:r>
        <w:rPr>
          <w:rFonts w:ascii="Calibri" w:cs="Calibri" w:eastAsia="Calibri" w:hAnsi="Calibri"/>
          <w:b/>
          <w:bCs/>
          <w:color w:val="000000"/>
          <w:sz w:val="24"/>
          <w:szCs w:val="24"/>
        </w:rPr>
        <w:t>Objetivo</w:t>
      </w:r>
    </w:p>
    <w:p>
      <w:pPr>
        <w:spacing w:after="120" w:line="276"/>
        <w:jc w:val="both"/>
      </w:pPr>
      <w:r>
        <w:rPr>
          <w:rFonts w:ascii="Calibri" w:cs="Calibri" w:eastAsia="Calibri" w:hAnsi="Calibri"/>
          <w:sz w:val="22"/>
          <w:szCs w:val="22"/>
        </w:rPr>
        <w:t>Permitir que el estudiante conozca la habilidad evaluada por una pregunta, su nivel de dominio, sus prerrequisitos y los recursos de estudio, y corregir los hallazgos de la aceptación de la iteración 5.</w:t>
      </w:r>
    </w:p>
    <w:p>
      <w:pPr>
        <w:pStyle w:val="Heading2"/>
        <w:spacing w:after="80" w:before="180"/>
      </w:pPr>
      <w:r>
        <w:rPr>
          <w:rFonts w:ascii="Calibri" w:cs="Calibri" w:eastAsia="Calibri" w:hAnsi="Calibri"/>
          <w:b/>
          <w:bCs/>
          <w:color w:val="000000"/>
          <w:sz w:val="24"/>
          <w:szCs w:val="24"/>
        </w:rPr>
        <w:t>Qué funcionó</w:t>
      </w:r>
    </w:p>
    <w:p>
      <w:pPr>
        <w:spacing w:after="120" w:line="276"/>
        <w:jc w:val="both"/>
      </w:pPr>
      <w:r>
        <w:rPr>
          <w:rFonts w:ascii="Calibri" w:cs="Calibri" w:eastAsia="Calibri" w:hAnsi="Calibri"/>
          <w:sz w:val="22"/>
          <w:szCs w:val="22"/>
        </w:rPr>
        <w:t>Se terminó la historia comprometida, con 5 de 5 puntos, y se corrigieron los hallazgos de la aceptación anterior. La revisión cruzada de las solicitudes de incorporación detectó, antes de llegar a producción, que la pantalla Habilidad no mostraba los prerrequisitos ni los recursos, y dos fallos de la aplicación: una respuesta tardía de una sesión anterior que exponía la solución a otro alumno y una pregunta pendiente que se descartaba al cambiar las pruebas seleccionadas. Ambos se corrigieron con regresiones que fallaban antes del arreglo y pasaban después. La aceptación se ejecutó en un navegador real con dos cuentas de prueba, lo que permitió verificar en producción el aislamiento entre sesiones, y se comprobó que el repositorio no contiene el banco real de la empresa.</w:t>
      </w:r>
    </w:p>
    <w:p>
      <w:pPr>
        <w:pStyle w:val="Heading2"/>
        <w:spacing w:after="80" w:before="180"/>
      </w:pPr>
      <w:r>
        <w:rPr>
          <w:rFonts w:ascii="Calibri" w:cs="Calibri" w:eastAsia="Calibri" w:hAnsi="Calibri"/>
          <w:b/>
          <w:bCs/>
          <w:color w:val="000000"/>
          <w:sz w:val="24"/>
          <w:szCs w:val="24"/>
        </w:rPr>
        <w:t>Qué no funcionó</w:t>
      </w:r>
    </w:p>
    <w:p>
      <w:pPr>
        <w:spacing w:after="120" w:line="276"/>
        <w:jc w:val="both"/>
      </w:pPr>
      <w:r>
        <w:rPr>
          <w:rFonts w:ascii="Calibri" w:cs="Calibri" w:eastAsia="Calibri" w:hAnsi="Calibri"/>
          <w:sz w:val="22"/>
          <w:szCs w:val="22"/>
        </w:rPr>
        <w:t>La aplicación se integró al final de la semana y la vista previa de la plataforma de despliegue se bloqueó, por lo que la aceptación se trasladó al 18/10/2026. El encargado de pruebas aprobó la solicitud de la aplicación antes de la revisión técnica del programador backend y debió dejar su aprobación en pausa cuando esa revisión encontró los fallos. Las regresiones automatizadas usan la base local en memoria y no detectaron que la recarga real del navegador pierde el resultado (H-25). Además, la cadena de solicitudes del backend se integró en una sola noche, el archivo de instrucciones del repositorio se editó directamente en la rama principal y la recarga del banco dejó en cero la cuenta de demostración de la contraparte sin aviso previo.</w:t>
      </w:r>
    </w:p>
    <w:p>
      <w:pPr>
        <w:pStyle w:val="Heading2"/>
        <w:spacing w:after="80" w:before="180"/>
      </w:pPr>
      <w:r>
        <w:rPr>
          <w:rFonts w:ascii="Calibri" w:cs="Calibri" w:eastAsia="Calibri" w:hAnsi="Calibri"/>
          <w:b/>
          <w:bCs/>
          <w:color w:val="000000"/>
          <w:sz w:val="24"/>
          <w:szCs w:val="24"/>
        </w:rPr>
        <w:t>Ajuste acordado</w:t>
      </w:r>
    </w:p>
    <w:p>
      <w:pPr>
        <w:spacing w:after="120" w:line="276"/>
        <w:jc w:val="both"/>
      </w:pPr>
      <w:r>
        <w:rPr>
          <w:rFonts w:ascii="Calibri" w:cs="Calibri" w:eastAsia="Calibri" w:hAnsi="Calibri"/>
          <w:sz w:val="22"/>
          <w:szCs w:val="22"/>
        </w:rPr>
        <w:t>Aprobar como encargado de pruebas solo después de la revisión técnica; incluir en las pruebas automatizadas la recarga real con el reinicio de la sesión; integrar la aplicación a mitad de semana y el backend en solicitudes repartidas durante la semana; no editar directamente la rama principal; y avisar a la contraparte antes de cualquier recarga de datos que afecte su cuenta.</w:t>
      </w:r>
    </w:p>
    <w:p>
      <w:pPr>
        <w:pStyle w:val="Heading1"/>
        <w:spacing w:after="120" w:before="260"/>
      </w:pPr>
      <w:r>
        <w:rPr>
          <w:rFonts w:ascii="Calibri" w:cs="Calibri" w:eastAsia="Calibri" w:hAnsi="Calibri"/>
          <w:b/>
          <w:bCs/>
          <w:color w:val="000000"/>
          <w:sz w:val="28"/>
          <w:szCs w:val="28"/>
        </w:rPr>
        <w:t>8. Iteración 7 · Cuota diaria y desbloqueo</w:t>
      </w:r>
    </w:p>
    <w:p>
      <w:pPr>
        <w:pStyle w:val="Heading2"/>
        <w:spacing w:after="80" w:before="180"/>
      </w:pPr>
      <w:r>
        <w:rPr>
          <w:rFonts w:ascii="Calibri" w:cs="Calibri" w:eastAsia="Calibri" w:hAnsi="Calibri"/>
          <w:b/>
          <w:bCs/>
          <w:color w:val="000000"/>
          <w:sz w:val="24"/>
          <w:szCs w:val="24"/>
        </w:rPr>
        <w:t>Objetivo</w:t>
      </w:r>
    </w:p>
    <w:p>
      <w:pPr>
        <w:spacing w:after="120" w:line="276"/>
        <w:jc w:val="both"/>
      </w:pPr>
      <w:r>
        <w:rPr>
          <w:rFonts w:ascii="Calibri" w:cs="Calibri" w:eastAsia="Calibri" w:hAnsi="Calibri"/>
          <w:sz w:val="22"/>
          <w:szCs w:val="22"/>
        </w:rPr>
        <w:t>Permitir que el estudiante consulte su cuota diaria y la amplíe declarando su colegio y su región, y corregir los hallazgos de la aceptación de la iteración 6.</w:t>
      </w:r>
    </w:p>
    <w:p>
      <w:pPr>
        <w:pStyle w:val="Heading2"/>
        <w:spacing w:after="80" w:before="180"/>
      </w:pPr>
      <w:r>
        <w:rPr>
          <w:rFonts w:ascii="Calibri" w:cs="Calibri" w:eastAsia="Calibri" w:hAnsi="Calibri"/>
          <w:b/>
          <w:bCs/>
          <w:color w:val="000000"/>
          <w:sz w:val="24"/>
          <w:szCs w:val="24"/>
        </w:rPr>
        <w:t>Qué funcionó</w:t>
      </w:r>
    </w:p>
    <w:p>
      <w:pPr>
        <w:spacing w:after="120" w:line="276"/>
        <w:jc w:val="both"/>
      </w:pPr>
      <w:r>
        <w:rPr>
          <w:rFonts w:ascii="Calibri" w:cs="Calibri" w:eastAsia="Calibri" w:hAnsi="Calibri"/>
          <w:sz w:val="22"/>
          <w:szCs w:val="22"/>
        </w:rPr>
        <w:t>Se terminaron las dos historias comprometidas, con 7 de 7 puntos, y las cinco tareas de los hallazgos de la iteración anterior. El backend se integró en solicitudes pequeñas y encadenadas, revisadas por el otro programador, y la aplicación se integró a mitad de semana, como se acordó en la iteración 6, lo que permitió ejecutar la aceptación dos días antes del cierre. Esa holgura permitió corregir y verificar en producción, antes de cerrar, los hallazgos de la prueba, en lugar de trasladarlos a la iteración siguiente. Se verificó además el levantamiento con Docker sobre la versión vigente para el hito 2 de la empresa, y las decisiones pendientes con la contraparte se resolvieron con mensajes breves que proponían una regla concreta.</w:t>
      </w:r>
    </w:p>
    <w:p>
      <w:pPr>
        <w:pStyle w:val="Heading2"/>
        <w:spacing w:after="80" w:before="180"/>
      </w:pPr>
      <w:r>
        <w:rPr>
          <w:rFonts w:ascii="Calibri" w:cs="Calibri" w:eastAsia="Calibri" w:hAnsi="Calibri"/>
          <w:b/>
          <w:bCs/>
          <w:color w:val="000000"/>
          <w:sz w:val="24"/>
          <w:szCs w:val="24"/>
        </w:rPr>
        <w:t>Qué no funcionó</w:t>
      </w:r>
    </w:p>
    <w:p>
      <w:pPr>
        <w:spacing w:after="120" w:line="276"/>
        <w:jc w:val="both"/>
      </w:pPr>
      <w:r>
        <w:rPr>
          <w:rFonts w:ascii="Calibri" w:cs="Calibri" w:eastAsia="Calibri" w:hAnsi="Calibri"/>
          <w:sz w:val="22"/>
          <w:szCs w:val="22"/>
        </w:rPr>
        <w:t>La falla de la aceptación se debió a que el banco de producción no se recargó después de integrar la corrección de un recurso, y la prueba no partía de confirmar esa carga. La corrección del contador de medallas (H-32) introdujo una regresión en el inicio de sesión (H-34) que las pruebas automatizadas no detectaron, porque simulaban la sesión ya sincronizada; se observó solo al probar en producción con dos cuentas. Además, un error aislado al cambiar de cuenta (H-33) no se pudo reproducir en la prueba manual y quedó para la iteración siguiente.</w:t>
      </w:r>
    </w:p>
    <w:p>
      <w:pPr>
        <w:pStyle w:val="Heading2"/>
        <w:spacing w:after="80" w:before="180"/>
      </w:pPr>
      <w:r>
        <w:rPr>
          <w:rFonts w:ascii="Calibri" w:cs="Calibri" w:eastAsia="Calibri" w:hAnsi="Calibri"/>
          <w:b/>
          <w:bCs/>
          <w:color w:val="000000"/>
          <w:sz w:val="24"/>
          <w:szCs w:val="24"/>
        </w:rPr>
        <w:t>Ajuste acordado</w:t>
      </w:r>
    </w:p>
    <w:p>
      <w:pPr>
        <w:spacing w:after="120" w:line="276"/>
        <w:jc w:val="both"/>
      </w:pPr>
      <w:r>
        <w:rPr>
          <w:rFonts w:ascii="Calibri" w:cs="Calibri" w:eastAsia="Calibri" w:hAnsi="Calibri"/>
          <w:sz w:val="22"/>
          <w:szCs w:val="22"/>
        </w:rPr>
        <w:t>Recargar el banco de demostración en producción apenas se integre un cambio de los datos, con aviso previo a la contraparte, y confirmar esa carga antes de la aceptación; probar en producción el inicio de sesión con dos cuentas cada vez que cambie la caché de la sesión o del perfil; e incluir en las pruebas automatizadas la sesión aún no sincronizada.</w:t>
      </w:r>
    </w:p>
    <w:p>
      <w:pPr>
        <w:pStyle w:val="Heading1"/>
        <w:spacing w:after="120" w:before="260"/>
      </w:pPr>
      <w:r>
        <w:rPr>
          <w:rFonts w:ascii="Calibri" w:cs="Calibri" w:eastAsia="Calibri" w:hAnsi="Calibri"/>
          <w:b/>
          <w:bCs/>
          <w:color w:val="000000"/>
          <w:sz w:val="28"/>
          <w:szCs w:val="28"/>
        </w:rPr>
        <w:t>9. Iteración 8 · Recorrección</w:t>
      </w:r>
    </w:p>
    <w:p>
      <w:pPr>
        <w:pStyle w:val="Heading2"/>
        <w:spacing w:after="80" w:before="180"/>
      </w:pPr>
      <w:r>
        <w:rPr>
          <w:rFonts w:ascii="Calibri" w:cs="Calibri" w:eastAsia="Calibri" w:hAnsi="Calibri"/>
          <w:b/>
          <w:bCs/>
          <w:color w:val="000000"/>
          <w:sz w:val="24"/>
          <w:szCs w:val="24"/>
        </w:rPr>
        <w:t>Objetivo</w:t>
      </w:r>
    </w:p>
    <w:p>
      <w:pPr>
        <w:spacing w:after="120" w:line="276"/>
        <w:jc w:val="both"/>
      </w:pPr>
      <w:r>
        <w:rPr>
          <w:rFonts w:ascii="Calibri" w:cs="Calibri" w:eastAsia="Calibri" w:hAnsi="Calibri"/>
          <w:sz w:val="22"/>
          <w:szCs w:val="22"/>
        </w:rPr>
        <w:t>Permitir que el estudiante solicite la revisión de una pregunta y consulte el estado de sus solicitudes, y separar por usuario la caché de preferencias (H-33).</w:t>
      </w:r>
    </w:p>
    <w:p>
      <w:pPr>
        <w:pStyle w:val="Heading2"/>
        <w:spacing w:after="80" w:before="180"/>
      </w:pPr>
      <w:r>
        <w:rPr>
          <w:rFonts w:ascii="Calibri" w:cs="Calibri" w:eastAsia="Calibri" w:hAnsi="Calibri"/>
          <w:b/>
          <w:bCs/>
          <w:color w:val="000000"/>
          <w:sz w:val="24"/>
          <w:szCs w:val="24"/>
        </w:rPr>
        <w:t>Qué funcionó</w:t>
      </w:r>
    </w:p>
    <w:p>
      <w:pPr>
        <w:spacing w:after="120" w:line="276"/>
        <w:jc w:val="both"/>
      </w:pPr>
      <w:r>
        <w:rPr>
          <w:rFonts w:ascii="Calibri" w:cs="Calibri" w:eastAsia="Calibri" w:hAnsi="Calibri"/>
          <w:sz w:val="22"/>
          <w:szCs w:val="22"/>
        </w:rPr>
        <w:t>Se terminaron las dos historias comprometidas, con 7 de 7 puntos, y la corrección de la caché de preferencias. Los servicios se integraron en dos solicitudes pequeñas, una por servicio, y la aplicación en otra. La revisión técnica del programador backend reprodujo con pruebas dos fallos de la aplicación, una renovación de sesión tardía que cerraba la sesión de otra cuenta y un reintento que pedía otra página, y ambos se corrigieron antes de integrar, con esas pruebas como regresión. La aceptación se ejecutó dos días antes del cierre y aprobó los diecisiete pasos sin fallas. Durante la semana se entregó además la evidencia del levantamiento con Docker para el hito 2 de la empresa, y las definiciones nuevas de la contraparte se registraron el mismo día.</w:t>
      </w:r>
    </w:p>
    <w:p>
      <w:pPr>
        <w:pStyle w:val="Heading2"/>
        <w:spacing w:after="80" w:before="180"/>
      </w:pPr>
      <w:r>
        <w:rPr>
          <w:rFonts w:ascii="Calibri" w:cs="Calibri" w:eastAsia="Calibri" w:hAnsi="Calibri"/>
          <w:b/>
          <w:bCs/>
          <w:color w:val="000000"/>
          <w:sz w:val="24"/>
          <w:szCs w:val="24"/>
        </w:rPr>
        <w:t>Qué no funcionó</w:t>
      </w:r>
    </w:p>
    <w:p>
      <w:pPr>
        <w:spacing w:after="120" w:line="276"/>
        <w:jc w:val="both"/>
      </w:pPr>
      <w:r>
        <w:rPr>
          <w:rFonts w:ascii="Calibri" w:cs="Calibri" w:eastAsia="Calibri" w:hAnsi="Calibri"/>
          <w:sz w:val="22"/>
          <w:szCs w:val="22"/>
        </w:rPr>
        <w:t>El encargado de pruebas aprobó una solicitud a partir de su descripción, antes de la revisión técnica que encontró los dos fallos, lo que repite una situación de la iteración 6. La aceptación comenzó con las dos cuentas abiertas en ventanas de incógnito que comparten la sesión, y hubo que reiniciarla con una sola ventana. Además, la cuenta ilimitada ya había respondido todas las preguntas de dificultad 1 del banco de demostración, por lo que parte de los pasos se hizo con la cuenta gratuita.</w:t>
      </w:r>
    </w:p>
    <w:p>
      <w:pPr>
        <w:pStyle w:val="Heading2"/>
        <w:spacing w:after="80" w:before="180"/>
      </w:pPr>
      <w:r>
        <w:rPr>
          <w:rFonts w:ascii="Calibri" w:cs="Calibri" w:eastAsia="Calibri" w:hAnsi="Calibri"/>
          <w:b/>
          <w:bCs/>
          <w:color w:val="000000"/>
          <w:sz w:val="24"/>
          <w:szCs w:val="24"/>
        </w:rPr>
        <w:t>Ajuste acordado</w:t>
      </w:r>
    </w:p>
    <w:p>
      <w:pPr>
        <w:spacing w:after="120" w:line="276"/>
        <w:jc w:val="both"/>
      </w:pPr>
      <w:r>
        <w:rPr>
          <w:rFonts w:ascii="Calibri" w:cs="Calibri" w:eastAsia="Calibri" w:hAnsi="Calibri"/>
          <w:sz w:val="22"/>
          <w:szCs w:val="22"/>
        </w:rPr>
        <w:t>Aprobar una solicitud solo después de la revisión técnica y con sus pruebas de reproducción en verde; en la aceptación, usar una sola ventana y cambiar de cuenta cerrando sesión; recargar el banco de demostración antes de la demostración de la iteración 9; y priorizar en ella HU-23, el orden aleatorio de las alternativas que pidió la contraparte, ajustando el alcance a la velocidad registrada.</w:t>
      </w:r>
    </w:p>
    <w:p>
      <w:pPr>
        <w:pStyle w:val="Heading1"/>
        <w:spacing w:after="120" w:before="260"/>
      </w:pPr>
      <w:r>
        <w:rPr>
          <w:rFonts w:ascii="Calibri" w:cs="Calibri" w:eastAsia="Calibri" w:hAnsi="Calibri"/>
          <w:b/>
          <w:bCs/>
          <w:color w:val="000000"/>
          <w:sz w:val="28"/>
          <w:szCs w:val="28"/>
        </w:rPr>
        <w:t xml:space="preserve">Declaración de uso de inteligencia artificial</w:t>
      </w:r>
    </w:p>
    <w:p>
      <w:pPr>
        <w:spacing w:after="120" w:line="276"/>
        <w:jc w:val="both"/>
      </w:pPr>
      <w:r>
        <w:rPr>
          <w:rFonts w:ascii="Calibri" w:cs="Calibri" w:eastAsia="Calibri" w:hAnsi="Calibri"/>
          <w:sz w:val="22"/>
          <w:szCs w:val="22"/>
        </w:rPr>
        <w:t xml:space="preserve">Se utilizó Claude (Anthropic, 2026) como apoyo en la redacción y estructuración de este documento, a partir de la información del proyecto aportada por el equipo. El contenido fue revisado y validado por los integrantes antes de su entrega.</w:t>
      </w:r>
    </w:p>
    <w:p>
      <w:pPr>
        <w:pStyle w:val="Heading1"/>
        <w:spacing w:after="120" w:before="260"/>
      </w:pPr>
      <w:r>
        <w:rPr>
          <w:rFonts w:ascii="Calibri" w:cs="Calibri" w:eastAsia="Calibri" w:hAnsi="Calibri"/>
          <w:b/>
          <w:bCs/>
          <w:color w:val="000000"/>
          <w:sz w:val="28"/>
          <w:szCs w:val="28"/>
        </w:rPr>
        <w:t xml:space="preserve">Referencias</w:t>
      </w:r>
    </w:p>
    <w:p>
      <w:pPr>
        <w:spacing w:after="120" w:line="276"/>
        <w:ind w:left="360" w:hanging="360"/>
        <w:jc w:val="both"/>
      </w:pPr>
      <w:r>
        <w:rPr>
          <w:rFonts w:ascii="Calibri" w:cs="Calibri" w:eastAsia="Calibri" w:hAnsi="Calibri"/>
          <w:b w:val="false"/>
          <w:bCs w:val="false"/>
          <w:i w:val="false"/>
          <w:iCs w:val="false"/>
          <w:sz w:val="22"/>
          <w:szCs w:val="22"/>
        </w:rPr>
        <w:t xml:space="preserve">Anthropic. (2026). </w:t>
      </w:r>
      <w:r>
        <w:rPr>
          <w:rFonts w:ascii="Calibri" w:cs="Calibri" w:eastAsia="Calibri" w:hAnsi="Calibri"/>
          <w:b w:val="false"/>
          <w:bCs w:val="false"/>
          <w:i/>
          <w:iCs/>
          <w:sz w:val="22"/>
          <w:szCs w:val="22"/>
        </w:rPr>
        <w:t xml:space="preserve">Claude</w:t>
      </w:r>
      <w:r>
        <w:rPr>
          <w:rFonts w:ascii="Calibri" w:cs="Calibri" w:eastAsia="Calibri" w:hAnsi="Calibri"/>
          <w:b w:val="false"/>
          <w:bCs w:val="false"/>
          <w:i w:val="false"/>
          <w:iCs w:val="false"/>
          <w:sz w:val="22"/>
          <w:szCs w:val="22"/>
        </w:rPr>
        <w:t xml:space="preserve"> [Modelo de lenguaje de gran escala]. Recuperado de https://claude.ai</w:t>
      </w:r>
    </w:p>
    <w:p>
      <w:pPr>
        <w:spacing w:after="120" w:line="276"/>
        <w:ind w:left="360" w:hanging="360"/>
        <w:jc w:val="both"/>
      </w:pPr>
      <w:r>
        <w:rPr>
          <w:rFonts w:ascii="Calibri" w:cs="Calibri" w:eastAsia="Calibri" w:hAnsi="Calibri"/>
          <w:b w:val="false"/>
          <w:bCs w:val="false"/>
          <w:i w:val="false"/>
          <w:iCs w:val="false"/>
          <w:sz w:val="22"/>
          <w:szCs w:val="22"/>
        </w:rPr>
        <w:t xml:space="preserve">Beck, K., y Andres, C. (2004). </w:t>
      </w:r>
      <w:r>
        <w:rPr>
          <w:rFonts w:ascii="Calibri" w:cs="Calibri" w:eastAsia="Calibri" w:hAnsi="Calibri"/>
          <w:b w:val="false"/>
          <w:bCs w:val="false"/>
          <w:i/>
          <w:iCs/>
          <w:sz w:val="22"/>
          <w:szCs w:val="22"/>
        </w:rPr>
        <w:t xml:space="preserve">Extreme programming explained: Embrace change</w:t>
      </w:r>
      <w:r>
        <w:rPr>
          <w:rFonts w:ascii="Calibri" w:cs="Calibri" w:eastAsia="Calibri" w:hAnsi="Calibri"/>
          <w:b w:val="false"/>
          <w:bCs w:val="false"/>
          <w:i w:val="false"/>
          <w:iCs w:val="false"/>
          <w:sz w:val="22"/>
          <w:szCs w:val="22"/>
        </w:rPr>
        <w:t xml:space="preserve"> (2a ed.). Boston, MA: Addison-Wesley.</w:t>
      </w:r>
    </w:p>
    <w:p>
      <w:pPr>
        <w:pStyle w:val="Heading1"/>
        <w:spacing w:after="120" w:before="260"/>
      </w:pPr>
      <w:r>
        <w:rPr>
          <w:rFonts w:ascii="Calibri" w:cs="Calibri" w:eastAsia="Calibri" w:hAnsi="Calibri"/>
          <w:b/>
          <w:bCs/>
          <w:color w:val="000000"/>
          <w:sz w:val="28"/>
          <w:szCs w:val="28"/>
        </w:rPr>
        <w:t xml:space="preserve">Control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7038"/>
      </w:tblGrid>
      <w:tr>
        <w:trPr>
          <w:tblHeader/>
        </w:trPr>
        <w:tc>
          <w:tcPr>
            <w:tcW w:type="dxa" w:w="11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Versión</w:t>
            </w:r>
          </w:p>
        </w:tc>
        <w:tc>
          <w:tcPr>
            <w:tcW w:type="dxa" w:w="1500"/>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Fecha</w:t>
            </w:r>
          </w:p>
        </w:tc>
        <w:tc>
          <w:tcPr>
            <w:tcW w:type="dxa" w:w="7038"/>
            <w:tcBorders>
              <w:top w:val="single" w:color="808080" w:sz="4"/>
              <w:left w:val="single" w:color="808080" w:sz="4"/>
              <w:bottom w:val="single" w:color="808080" w:sz="4"/>
              <w:right w:val="single" w:color="808080" w:sz="4"/>
            </w:tcBorders>
            <w:shd w:fill="000000" w:val="clear"/>
            <w:tcMar>
              <w:top w:type="dxa" w:w="60"/>
              <w:left w:type="dxa" w:w="90"/>
              <w:bottom w:type="dxa" w:w="60"/>
              <w:right w:type="dxa" w:w="90"/>
            </w:tcMar>
          </w:tcPr>
          <w:p>
            <w:pPr>
              <w:jc w:val="center"/>
            </w:pPr>
            <w:r>
              <w:rPr>
                <w:rFonts w:ascii="Calibri" w:cs="Calibri" w:eastAsia="Calibri" w:hAnsi="Calibri"/>
                <w:b/>
                <w:bCs/>
                <w:color w:val="FFFFFF"/>
                <w:sz w:val="19"/>
                <w:szCs w:val="19"/>
              </w:rPr>
              <w:t xml:space="preserve">Descripción</w:t>
            </w:r>
          </w:p>
        </w:tc>
      </w:tr>
      <w:t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30/09/2026</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 xml:space="preserve">Versión inicial.</w:t>
            </w:r>
          </w:p>
        </w:tc>
      </w:tr>
      <w:t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06/10/2026</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Se agrega la reflexión de cierre de la iteración 4.</w:t>
            </w:r>
          </w:p>
        </w:tc>
      </w:tr>
      <w:t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10/10/2026</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Se agrega la reflexión de cierre de la iteración 5.</w:t>
            </w:r>
          </w:p>
        </w:tc>
      </w:tr>
      <w:t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18/10/2026</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Se agrega la reflexión de cierre de la iteración 6.</w:t>
            </w:r>
          </w:p>
        </w:tc>
      </w:tr>
      <w:t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23/10/2026</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Se agrega la reflexión de cierre de la iteración 7.</w:t>
            </w:r>
          </w:p>
        </w:tc>
      </w:tr>
      <w:t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1.5</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center"/>
            </w:pPr>
            <w:r>
              <w:rPr>
                <w:rFonts w:ascii="Calibri" w:cs="Calibri" w:eastAsia="Calibri" w:hAnsi="Calibri"/>
                <w:b w:val="false"/>
                <w:bCs w:val="false"/>
                <w:sz w:val="19"/>
                <w:szCs w:val="19"/>
              </w:rPr>
              <w:t>29/10/2026</w:t>
            </w:r>
          </w:p>
        </w:tc>
        <w:tc>
          <w:tcPr>
            <w:tcW w:type="dxa" w:w="7038"/>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Calibri" w:cs="Calibri" w:eastAsia="Calibri" w:hAnsi="Calibri"/>
                <w:b w:val="false"/>
                <w:bCs w:val="false"/>
                <w:sz w:val="19"/>
                <w:szCs w:val="19"/>
              </w:rPr>
              <w:t>Se agrega la reflexión de cierre de la iteración 8 y se ordenan las referencias.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Reflexiones de cierre de iteración · App móvil Aprueba - Módulo de Preguntas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b381d7a45fa143e514992e06a4d06aaa118eae.jp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2026-09-30T06:58:37.157Z</dcterms:created>
  <dcterms:modified xsi:type="dcterms:W3CDTF">2026-09-30T06:58:37.158Z</dcterms:modified>
</cp:coreProperties>
</file>

<file path=docProps/custom.xml><?xml version="1.0" encoding="utf-8"?>
<Properties xmlns="http://schemas.openxmlformats.org/officeDocument/2006/custom-properties" xmlns:vt="http://schemas.openxmlformats.org/officeDocument/2006/docPropsVTypes"/>
</file>