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00"/>
        <w:jc w:val="center"/>
      </w:pPr>
      <w:r>
        <w:rPr>
          <w:rFonts w:ascii="Times New Roman" w:cs="Times New Roman" w:eastAsia="Times New Roman" w:hAnsi="Times New Roman"/>
          <w:b/>
          <w:bCs/>
          <w:color w:val="1E3A8A"/>
          <w:sz w:val="36"/>
          <w:szCs w:val="36"/>
        </w:rPr>
        <w:t xml:space="preserve">CAPÍTULO II</w:t>
      </w:r>
    </w:p>
    <w:p>
      <w:pPr>
        <w:spacing w:after="180"/>
        <w:jc w:val="center"/>
      </w:pPr>
      <w:r>
        <w:rPr>
          <w:rFonts w:ascii="Times New Roman" w:cs="Times New Roman" w:eastAsia="Times New Roman" w:hAnsi="Times New Roman"/>
          <w:b/>
          <w:bCs/>
          <w:sz w:val="28"/>
          <w:szCs w:val="28"/>
        </w:rPr>
        <w:t xml:space="preserve">MARCO TEÓRICO DE LA INVESTIGACIÓN</w:t>
      </w:r>
    </w:p>
    <w:p>
      <w:pPr>
        <w:spacing w:after="180"/>
        <w:jc w:val="center"/>
      </w:pPr>
      <w:r>
        <w:rPr>
          <w:rFonts w:ascii="Times New Roman" w:cs="Times New Roman" w:eastAsia="Times New Roman" w:hAnsi="Times New Roman"/>
          <w:b/>
          <w:bCs/>
          <w:color w:val="1E3A8A"/>
          <w:sz w:val="26"/>
          <w:szCs w:val="26"/>
        </w:rPr>
        <w:t xml:space="preserve">2.2 Definiciones Conceptuales (Contexto Teórico)</w:t>
      </w:r>
    </w:p>
    <w:p>
      <w:pPr>
        <w:spacing w:after="900"/>
        <w:jc w:val="center"/>
      </w:pPr>
      <w:r>
        <w:rPr>
          <w:rFonts w:ascii="Times New Roman" w:cs="Times New Roman" w:eastAsia="Times New Roman" w:hAnsi="Times New Roman"/>
          <w:i/>
          <w:iCs/>
          <w:sz w:val="24"/>
          <w:szCs w:val="24"/>
        </w:rPr>
        <w:t xml:space="preserve">GimApp – Sistema de Gestión para el Gimnasio Gigafit, Manta – Ecuador</w:t>
      </w:r>
    </w:p>
    <w:p>
      <w:pPr>
        <w:spacing w:after="220" w:line="360"/>
        <w:jc w:val="both"/>
      </w:pPr>
      <w:r>
        <w:rPr>
          <w:rFonts w:ascii="Times New Roman" w:cs="Times New Roman" w:eastAsia="Times New Roman" w:hAnsi="Times New Roman"/>
          <w:sz w:val="24"/>
          <w:szCs w:val="24"/>
        </w:rPr>
        <w:t xml:space="preserve">El presente apartado desarrolla el contexto teórico que sustenta cada componente tecnológico, metodológico y de negocio del sistema GimApp. La selección de fuentes bibliográficas responde a tres criterios fundamentales: accesibilidad pública, pertinencia temática y vigencia (2018–2024). Para garantizar rigor académico, cada definición o afirmación que no sea de autoría propia se respalda con la cita correspondiente. El conjunto de tecnologías, metodologías y conceptos de negocio descritos en este capítulo refleja el estado del arte en el desarrollo de software móvil aplicado a la gestión de servicios deportivos en América Latina (Álvarez-Rodríguez et al., 2022; CEPAL, 2021).</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2.2.1 Aplicación Móvil: Definición, Tipología y Ciclo de Vida</w:t>
      </w:r>
    </w:p>
    <w:p>
      <w:pPr>
        <w:spacing w:after="220" w:line="360"/>
        <w:jc w:val="both"/>
      </w:pPr>
      <w:r>
        <w:rPr>
          <w:rFonts w:ascii="Times New Roman" w:cs="Times New Roman" w:eastAsia="Times New Roman" w:hAnsi="Times New Roman"/>
          <w:sz w:val="24"/>
          <w:szCs w:val="24"/>
        </w:rPr>
        <w:t xml:space="preserve">Desde el ámbito de la ingeniería del software, una </w:t>
      </w:r>
      <w:r>
        <w:rPr>
          <w:rFonts w:ascii="Times New Roman" w:cs="Times New Roman" w:eastAsia="Times New Roman" w:hAnsi="Times New Roman"/>
          <w:b/>
          <w:bCs/>
          <w:sz w:val="24"/>
          <w:szCs w:val="24"/>
        </w:rPr>
        <w:t xml:space="preserve">aplicación móvil</w:t>
      </w:r>
      <w:r>
        <w:rPr>
          <w:rFonts w:ascii="Times New Roman" w:cs="Times New Roman" w:eastAsia="Times New Roman" w:hAnsi="Times New Roman"/>
          <w:sz w:val="24"/>
          <w:szCs w:val="24"/>
        </w:rPr>
        <w:t xml:space="preserve"> se define como un programa informático diseñado y optimizado para ejecutarse en dispositivos de computación portátil, principalmente teléfonos inteligentes (smartphones) y tabletas (tablets), que operan bajo sistemas operativos móviles como Android (Google) o iOS (Apple). A diferencia del software de escritorio, las aplicaciones móviles están condicionadas por restricciones de batería, memoria RAM limitada, conectividad intermitente y superficies de interacción táctiles (Vargas et al., 2021). Estas restricciones obligan a los ingenieros a diseñar arquitecturas livianas, eficientes en el consumo de recursos y adaptadas al contexto situacional del usuario.</w:t>
      </w:r>
    </w:p>
    <w:p>
      <w:pPr>
        <w:spacing w:after="220" w:line="360"/>
        <w:jc w:val="both"/>
      </w:pPr>
      <w:r>
        <w:rPr>
          <w:rFonts w:ascii="Times New Roman" w:cs="Times New Roman" w:eastAsia="Times New Roman" w:hAnsi="Times New Roman"/>
          <w:sz w:val="24"/>
          <w:szCs w:val="24"/>
        </w:rPr>
        <w:t xml:space="preserve">Vargas et al. (2021), en su análisis publicado en la </w:t>
      </w:r>
      <w:r>
        <w:rPr>
          <w:rFonts w:ascii="Times New Roman" w:cs="Times New Roman" w:eastAsia="Times New Roman" w:hAnsi="Times New Roman"/>
          <w:i/>
          <w:iCs/>
          <w:sz w:val="24"/>
          <w:szCs w:val="24"/>
        </w:rPr>
        <w:t xml:space="preserve">Revista Ibérica de Sistemas e Tecnologias de Informação</w:t>
      </w:r>
      <w:r>
        <w:rPr>
          <w:rFonts w:ascii="Times New Roman" w:cs="Times New Roman" w:eastAsia="Times New Roman" w:hAnsi="Times New Roman"/>
          <w:sz w:val="24"/>
          <w:szCs w:val="24"/>
        </w:rPr>
        <w:t xml:space="preserve">, clasifican las aplicaciones móviles en tres grandes categorías según su arquitectura técnica:</w:t>
      </w:r>
    </w:p>
    <w:p>
      <w:pPr>
        <w:spacing w:after="140" w:before="260"/>
        <w:jc w:val="left"/>
      </w:pPr>
      <w:r>
        <w:rPr>
          <w:rFonts w:ascii="Times New Roman" w:cs="Times New Roman" w:eastAsia="Times New Roman" w:hAnsi="Times New Roman"/>
          <w:b/>
          <w:bCs/>
          <w:sz w:val="24"/>
          <w:szCs w:val="24"/>
        </w:rPr>
        <w:t xml:space="preserve">a) Aplicaciones Nativas</w:t>
      </w:r>
    </w:p>
    <w:p>
      <w:pPr>
        <w:spacing w:after="220" w:line="360"/>
        <w:jc w:val="both"/>
      </w:pPr>
      <w:r>
        <w:rPr>
          <w:rFonts w:ascii="Times New Roman" w:cs="Times New Roman" w:eastAsia="Times New Roman" w:hAnsi="Times New Roman"/>
          <w:sz w:val="24"/>
          <w:szCs w:val="24"/>
        </w:rPr>
        <w:t xml:space="preserve">Son aquellas desarrolladas específicamente para un solo sistema operativo, utilizando el lenguaje de programación y el conjunto de herramientas (SDK) oficiales de la plataforma objetivo. Para Android se emplean Kotlin o Java mediante Android Studio, mientras que para iOS se usan Swift u Objective-C a través de Xcode. La principal ventaja de este paradigma es el rendimiento óptimo: al compilarse directamente al código máquina de la plataforma, el acceso a recursos nativos como cámara, sensores biométricos, GPS y notificaciones push es directo y sin intermediarios. El mayor inconveniente es el coste de desarrollo y mantenimiento duplicado, dado que se requieren dos bases de código independientes para cubrir ambos ecosistemas (Vargas et al., 2021; Álvarez-Rodríguez et al., 2022).</w:t>
      </w:r>
    </w:p>
    <w:p>
      <w:pPr>
        <w:spacing w:after="140" w:before="260"/>
        <w:jc w:val="left"/>
      </w:pPr>
      <w:r>
        <w:rPr>
          <w:rFonts w:ascii="Times New Roman" w:cs="Times New Roman" w:eastAsia="Times New Roman" w:hAnsi="Times New Roman"/>
          <w:b/>
          <w:bCs/>
          <w:sz w:val="24"/>
          <w:szCs w:val="24"/>
        </w:rPr>
        <w:t xml:space="preserve">b) Aplicaciones Web Progresivas (PWA)</w:t>
      </w:r>
    </w:p>
    <w:p>
      <w:pPr>
        <w:spacing w:after="220" w:line="360"/>
        <w:jc w:val="both"/>
      </w:pPr>
      <w:r>
        <w:rPr>
          <w:rFonts w:ascii="Times New Roman" w:cs="Times New Roman" w:eastAsia="Times New Roman" w:hAnsi="Times New Roman"/>
          <w:sz w:val="24"/>
          <w:szCs w:val="24"/>
        </w:rPr>
        <w:t xml:space="preserve">Las Progressive Web Applications (PWA) son aplicaciones web mejoradas que pueden instalarse en el dispositivo y operar con funcionalidades offline, aprovechando tecnologías del navegador como Service Workers, Web App Manifest y la caché del navegador. Aunque no acceden a todas las APIs nativas del dispositivo, ofrecen una experiencia de usuario cada vez más cercana a las aplicaciones nativas. Son ideales para escenarios con bajo presupuesto o cuando el soporte de funcionalidades nativas avanzadas no es crítico (Cáceres Morejón et al., 2023).</w:t>
      </w:r>
    </w:p>
    <w:p>
      <w:pPr>
        <w:spacing w:after="140" w:before="260"/>
        <w:jc w:val="left"/>
      </w:pPr>
      <w:r>
        <w:rPr>
          <w:rFonts w:ascii="Times New Roman" w:cs="Times New Roman" w:eastAsia="Times New Roman" w:hAnsi="Times New Roman"/>
          <w:b/>
          <w:bCs/>
          <w:sz w:val="24"/>
          <w:szCs w:val="24"/>
        </w:rPr>
        <w:t xml:space="preserve">c) Aplicaciones Multiplataforma (Cross-Platform)</w:t>
      </w:r>
    </w:p>
    <w:p>
      <w:pPr>
        <w:spacing w:after="220" w:line="360"/>
        <w:jc w:val="both"/>
      </w:pPr>
      <w:r>
        <w:rPr>
          <w:rFonts w:ascii="Times New Roman" w:cs="Times New Roman" w:eastAsia="Times New Roman" w:hAnsi="Times New Roman"/>
          <w:sz w:val="24"/>
          <w:szCs w:val="24"/>
        </w:rPr>
        <w:t xml:space="preserve">El paradigma multiplataforma representa el punto de mayor adopción en la industria actual. Herramientas como React Native (Meta) y Flutter (Google) permiten escribir una única base de código en un lenguaje de alto nivel (JavaScript/TypeScript o Dart, respectivamente) que se transpila o interpreta para generar componentes de interfaz de usuario (UI) verdaderamente nativos en cada plataforma. Esto implica que el código no se ejecuta en un WebView —como ocurre en las aplicaciones híbridas— sino que mapea directamente los componentes escritos por el desarrollador a los componentes nativos de la capa de UI de Android e iOS (Álvarez-Rodríguez et al., 2022). Este es el enfoque adoptado en GimApp, garantizando una experiencia de usuario fluida para los socios del gimnasio Gigafit en cualquier dispositivo.</w:t>
      </w:r>
    </w:p>
    <w:p>
      <w:pPr>
        <w:spacing w:after="220" w:line="360"/>
        <w:jc w:val="both"/>
      </w:pPr>
      <w:r>
        <w:rPr>
          <w:rFonts w:ascii="Times New Roman" w:cs="Times New Roman" w:eastAsia="Times New Roman" w:hAnsi="Times New Roman"/>
          <w:sz w:val="24"/>
          <w:szCs w:val="24"/>
        </w:rPr>
        <w:t xml:space="preserve">El ciclo de vida de una aplicación móvil, según el estándar IEEE 12207 para procesos del ciclo de vida del software (IEEE, 2017), comprende las fases de concepción, análisis de requerimientos, diseño arquitectónico, codificación, pruebas, despliegue y mantenimiento. Para GimApp, este ciclo se ejecuta bajo el marco metodológico de Diseño Centrado en el Usuario (DCU), que se detalla en la sección 2.2.7 del presente documento.</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2.2.2 React Native: Arquitectura y Funcionamiento Interno</w:t>
      </w:r>
    </w:p>
    <w:p>
      <w:pPr>
        <w:spacing w:after="220" w:line="360"/>
        <w:jc w:val="both"/>
      </w:pPr>
      <w:r>
        <w:rPr>
          <w:rFonts w:ascii="Times New Roman" w:cs="Times New Roman" w:eastAsia="Times New Roman" w:hAnsi="Times New Roman"/>
          <w:sz w:val="24"/>
          <w:szCs w:val="24"/>
        </w:rPr>
        <w:t xml:space="preserve">React Native es un framework de código abierto creado por Meta Platforms (anteriormente Facebook) en 2015, que desde entonces se ha convertido en uno de los entornos de desarrollo móvil multiplataforma más populares del mundo (Meta, 2024a). Su filosofía principal, resumida en el eslogan </w:t>
      </w:r>
      <w:r>
        <w:rPr>
          <w:rFonts w:ascii="Times New Roman" w:cs="Times New Roman" w:eastAsia="Times New Roman" w:hAnsi="Times New Roman"/>
          <w:i/>
          <w:iCs/>
          <w:sz w:val="24"/>
          <w:szCs w:val="24"/>
        </w:rPr>
        <w:t xml:space="preserve">"Learn once, write anywhere"</w:t>
      </w:r>
      <w:r>
        <w:rPr>
          <w:rFonts w:ascii="Times New Roman" w:cs="Times New Roman" w:eastAsia="Times New Roman" w:hAnsi="Times New Roman"/>
          <w:sz w:val="24"/>
          <w:szCs w:val="24"/>
        </w:rPr>
        <w:t xml:space="preserve">, permite que un desarrollador familiarizado con React —la biblioteca JavaScript para interfaces de usuario— aplique ese conocimiento para construir aplicaciones móviles nativas sin reescribir el código para cada plataforma.</w:t>
      </w:r>
    </w:p>
    <w:p>
      <w:pPr>
        <w:spacing w:after="220" w:line="360"/>
        <w:jc w:val="both"/>
      </w:pPr>
      <w:r>
        <w:rPr>
          <w:rFonts w:ascii="Times New Roman" w:cs="Times New Roman" w:eastAsia="Times New Roman" w:hAnsi="Times New Roman"/>
          <w:sz w:val="24"/>
          <w:szCs w:val="24"/>
        </w:rPr>
        <w:t xml:space="preserve">La arquitectura interna original de React Native se basa en un mecanismo conocido como </w:t>
      </w:r>
      <w:r>
        <w:rPr>
          <w:rFonts w:ascii="Times New Roman" w:cs="Times New Roman" w:eastAsia="Times New Roman" w:hAnsi="Times New Roman"/>
          <w:b/>
          <w:bCs/>
          <w:sz w:val="24"/>
          <w:szCs w:val="24"/>
        </w:rPr>
        <w:t xml:space="preserve">JavaScript Bridge</w:t>
      </w:r>
      <w:r>
        <w:rPr>
          <w:rFonts w:ascii="Times New Roman" w:cs="Times New Roman" w:eastAsia="Times New Roman" w:hAnsi="Times New Roman"/>
          <w:sz w:val="24"/>
          <w:szCs w:val="24"/>
        </w:rPr>
        <w:t xml:space="preserve"> (puente de JavaScript). En este modelo, el hilo de JavaScript —donde reside la lógica de la aplicación— se comunica de forma asíncrona con el hilo nativo —encargado de renderizar la interfaz gráfica— a través de un canal de mensajes serializado en JSON. Si bien este puente fue funcional durante años, sus limitaciones en términos de latencia y sincronización condujeron al equipo de Meta a desarrollar la denominada </w:t>
      </w:r>
      <w:r>
        <w:rPr>
          <w:rFonts w:ascii="Times New Roman" w:cs="Times New Roman" w:eastAsia="Times New Roman" w:hAnsi="Times New Roman"/>
          <w:b/>
          <w:bCs/>
          <w:sz w:val="24"/>
          <w:szCs w:val="24"/>
        </w:rPr>
        <w:t xml:space="preserve">Nueva Arquitectura</w:t>
      </w:r>
      <w:r>
        <w:rPr>
          <w:rFonts w:ascii="Times New Roman" w:cs="Times New Roman" w:eastAsia="Times New Roman" w:hAnsi="Times New Roman"/>
          <w:sz w:val="24"/>
          <w:szCs w:val="24"/>
        </w:rPr>
        <w:t xml:space="preserve"> de React Native, compuesta por JSI (JavaScript Interface), Fabric (nuevo renderizador) y TurboModules (módulos nativos perezosos), que elimina la serialización JSON en favor de llamadas síncronas directas entre JavaScript y el código nativo (Meta, 2024a).</w:t>
      </w:r>
    </w:p>
    <w:p>
      <w:pPr>
        <w:spacing w:after="220" w:line="360"/>
        <w:jc w:val="both"/>
      </w:pPr>
      <w:r>
        <w:rPr>
          <w:rFonts w:ascii="Times New Roman" w:cs="Times New Roman" w:eastAsia="Times New Roman" w:hAnsi="Times New Roman"/>
          <w:sz w:val="24"/>
          <w:szCs w:val="24"/>
        </w:rPr>
        <w:t xml:space="preserve">Para el proyecto GimApp, React Native aporta los siguientes beneficios técnicos directamente relacionados con la problemática de Gigafit (Álvarez-Rodríguez et al., 2022):</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Componentes nativos reales: </w:t>
      </w:r>
      <w:r>
        <w:rPr>
          <w:rFonts w:ascii="Times New Roman" w:cs="Times New Roman" w:eastAsia="Times New Roman" w:hAnsi="Times New Roman"/>
          <w:sz w:val="24"/>
          <w:szCs w:val="24"/>
        </w:rPr>
        <w:t xml:space="preserve">Un componente &lt;View&gt; en React Native se renderiza como un android.view.View en Android y como un UIView en iOS, garantizando animaciones y respuesta táctil de nivel nativo.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Hot Reload y Fast Refresh: </w:t>
      </w:r>
      <w:r>
        <w:rPr>
          <w:rFonts w:ascii="Times New Roman" w:cs="Times New Roman" w:eastAsia="Times New Roman" w:hAnsi="Times New Roman"/>
          <w:sz w:val="24"/>
          <w:szCs w:val="24"/>
        </w:rPr>
        <w:t xml:space="preserve">Permiten inyectar cambios de código en la aplicación en ejecución sin reiniciarla, acelerando drásticamente el ciclo de iteración durante el desarrollo.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Ecosistema npm: </w:t>
      </w:r>
      <w:r>
        <w:rPr>
          <w:rFonts w:ascii="Times New Roman" w:cs="Times New Roman" w:eastAsia="Times New Roman" w:hAnsi="Times New Roman"/>
          <w:sz w:val="24"/>
          <w:szCs w:val="24"/>
        </w:rPr>
        <w:t xml:space="preserve">Al estar basado en JavaScript, accede a la totalidad del ecosistema de paquetes de npm, la mayor colección de bibliotecas de software del mundo.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Código base unificado: </w:t>
      </w:r>
      <w:r>
        <w:rPr>
          <w:rFonts w:ascii="Times New Roman" w:cs="Times New Roman" w:eastAsia="Times New Roman" w:hAnsi="Times New Roman"/>
          <w:sz w:val="24"/>
          <w:szCs w:val="24"/>
        </w:rPr>
        <w:t xml:space="preserve">Un único repositorio de código genera las versiones Android e iOS de la aplicación GimApp, reduciendo el tiempo de desarrollo y mantenimiento.</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2.2.3 Expo: Plataforma de Desarrollo y Distribución</w:t>
      </w:r>
    </w:p>
    <w:p>
      <w:pPr>
        <w:spacing w:after="220" w:line="360"/>
        <w:jc w:val="both"/>
      </w:pPr>
      <w:r>
        <w:rPr>
          <w:rFonts w:ascii="Times New Roman" w:cs="Times New Roman" w:eastAsia="Times New Roman" w:hAnsi="Times New Roman"/>
          <w:sz w:val="24"/>
          <w:szCs w:val="24"/>
        </w:rPr>
        <w:t xml:space="preserve">Expo es una plataforma de código abierto y un conjunto integrado de herramientas construidas sobre React Native que simplifica todo el ciclo de vida del desarrollo de aplicaciones móviles: desde la configuración inicial del entorno hasta el despliegue en las tiendas de aplicaciones (Expo, 2024). Fue creada por la empresa Expo Go, Inc. y cuenta con una comunidad activa y una documentación extensa disponible públicamente.</w:t>
      </w:r>
    </w:p>
    <w:p>
      <w:pPr>
        <w:spacing w:after="220" w:line="360"/>
        <w:jc w:val="both"/>
      </w:pPr>
      <w:r>
        <w:rPr>
          <w:rFonts w:ascii="Times New Roman" w:cs="Times New Roman" w:eastAsia="Times New Roman" w:hAnsi="Times New Roman"/>
          <w:sz w:val="24"/>
          <w:szCs w:val="24"/>
        </w:rPr>
        <w:t xml:space="preserve">La principal propuesta de valor de Expo radica en su </w:t>
      </w:r>
      <w:r>
        <w:rPr>
          <w:rFonts w:ascii="Times New Roman" w:cs="Times New Roman" w:eastAsia="Times New Roman" w:hAnsi="Times New Roman"/>
          <w:b/>
          <w:bCs/>
          <w:sz w:val="24"/>
          <w:szCs w:val="24"/>
        </w:rPr>
        <w:t xml:space="preserve">Managed Workflow</w:t>
      </w:r>
      <w:r>
        <w:rPr>
          <w:rFonts w:ascii="Times New Roman" w:cs="Times New Roman" w:eastAsia="Times New Roman" w:hAnsi="Times New Roman"/>
          <w:sz w:val="24"/>
          <w:szCs w:val="24"/>
        </w:rPr>
        <w:t xml:space="preserve"> (flujo de trabajo administrado). En el desarrollo tradicional de React Native ("Bare Workflow"), el programador debe configurar manualmente entornos de compilación nativos como Xcode (macOS, para iOS) y Android Studio (para Android). Expo abstrae esta complejidad al proporcionar un runtime preconfigurado que contiene el conjunto de APIs nativas más utilizadas, gestionado en la nube mediante su servicio </w:t>
      </w:r>
      <w:r>
        <w:rPr>
          <w:rFonts w:ascii="Times New Roman" w:cs="Times New Roman" w:eastAsia="Times New Roman" w:hAnsi="Times New Roman"/>
          <w:b/>
          <w:bCs/>
          <w:sz w:val="24"/>
          <w:szCs w:val="24"/>
        </w:rPr>
        <w:t xml:space="preserve">EAS Build (Expo Application Services)</w:t>
      </w:r>
      <w:r>
        <w:rPr>
          <w:rFonts w:ascii="Times New Roman" w:cs="Times New Roman" w:eastAsia="Times New Roman" w:hAnsi="Times New Roman"/>
          <w:sz w:val="24"/>
          <w:szCs w:val="24"/>
        </w:rPr>
        <w:t xml:space="preserve">. Esto significa que un desarrollador puede compilar una versión distribuible de la aplicación para ambas plataformas sin necesidad de poseer una computadora macOS para la compilación de iOS, lo que resulta en una barrera de entrada tecnológica y económica significativamente reducida (Expo, 2024).</w:t>
      </w:r>
    </w:p>
    <w:p>
      <w:pPr>
        <w:spacing w:after="220" w:line="360"/>
        <w:jc w:val="both"/>
      </w:pPr>
      <w:r>
        <w:rPr>
          <w:rFonts w:ascii="Times New Roman" w:cs="Times New Roman" w:eastAsia="Times New Roman" w:hAnsi="Times New Roman"/>
          <w:sz w:val="24"/>
          <w:szCs w:val="24"/>
        </w:rPr>
        <w:t xml:space="preserve">Para el proyecto GimApp, Expo ofrece capacidades técnicas críticas: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Expo Camera y Image Picker: </w:t>
      </w:r>
      <w:r>
        <w:rPr>
          <w:rFonts w:ascii="Times New Roman" w:cs="Times New Roman" w:eastAsia="Times New Roman" w:hAnsi="Times New Roman"/>
          <w:sz w:val="24"/>
          <w:szCs w:val="24"/>
        </w:rPr>
        <w:t xml:space="preserve">Módulos para acceder a la cámara del dispositivo y seleccionar imágenes de la galería, necesarios para la funcionalidad de carga de comprobantes de pago en el módulo de membresías.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Expo Notifications: </w:t>
      </w:r>
      <w:r>
        <w:rPr>
          <w:rFonts w:ascii="Times New Roman" w:cs="Times New Roman" w:eastAsia="Times New Roman" w:hAnsi="Times New Roman"/>
          <w:sz w:val="24"/>
          <w:szCs w:val="24"/>
        </w:rPr>
        <w:t xml:space="preserve">API para el envío de notificaciones push a los dispositivos de los socios de Gigafit cuando su plan de membresía está próximo a vencer.</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Over-The-Air (OTA) Updates: </w:t>
      </w:r>
      <w:r>
        <w:rPr>
          <w:rFonts w:ascii="Times New Roman" w:cs="Times New Roman" w:eastAsia="Times New Roman" w:hAnsi="Times New Roman"/>
          <w:sz w:val="24"/>
          <w:szCs w:val="24"/>
        </w:rPr>
        <w:t xml:space="preserve">Sistema de actualización inalámbrica de código JavaScript que permite enviar parches y correcciones a los dispositivos de los usuarios sin requerir una nueva descarga desde Google Play o App Store (Expo, 2024).</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2.2.4 React JS y Vite: Panel de Administración Web</w:t>
      </w:r>
    </w:p>
    <w:p>
      <w:pPr>
        <w:pStyle w:val="Heading2"/>
        <w:spacing w:after="180" w:before="340"/>
        <w:jc w:val="left"/>
      </w:pPr>
      <w:r>
        <w:rPr>
          <w:rFonts w:ascii="Times New Roman" w:cs="Times New Roman" w:eastAsia="Times New Roman" w:hAnsi="Times New Roman"/>
          <w:b/>
          <w:bCs/>
          <w:color w:val="1E3A8A"/>
          <w:sz w:val="26"/>
          <w:szCs w:val="26"/>
        </w:rPr>
        <w:t xml:space="preserve">React JS</w:t>
      </w:r>
    </w:p>
    <w:p>
      <w:pPr>
        <w:spacing w:after="220" w:line="360"/>
        <w:jc w:val="both"/>
      </w:pPr>
      <w:r>
        <w:rPr>
          <w:rFonts w:ascii="Times New Roman" w:cs="Times New Roman" w:eastAsia="Times New Roman" w:hAnsi="Times New Roman"/>
          <w:sz w:val="24"/>
          <w:szCs w:val="24"/>
        </w:rPr>
        <w:t xml:space="preserve">React es una biblioteca de JavaScript de código abierto para la construcción de interfaces de usuario basada en componentes reutilizables, desarrollada y mantenida por Meta (2024b). Fue creada por Jordan Walke y presentada públicamente en la JSConf US en 2013. Su adopción global es masiva: según el informe </w:t>
      </w:r>
      <w:r>
        <w:rPr>
          <w:rFonts w:ascii="Times New Roman" w:cs="Times New Roman" w:eastAsia="Times New Roman" w:hAnsi="Times New Roman"/>
          <w:i/>
          <w:iCs/>
          <w:sz w:val="24"/>
          <w:szCs w:val="24"/>
        </w:rPr>
        <w:t xml:space="preserve">State of JS 2023</w:t>
      </w:r>
      <w:r>
        <w:rPr>
          <w:rFonts w:ascii="Times New Roman" w:cs="Times New Roman" w:eastAsia="Times New Roman" w:hAnsi="Times New Roman"/>
          <w:sz w:val="24"/>
          <w:szCs w:val="24"/>
        </w:rPr>
        <w:t xml:space="preserve">, React es la biblioteca de frontend más utilizada a nivel mundial.</w:t>
      </w:r>
    </w:p>
    <w:p>
      <w:pPr>
        <w:spacing w:after="220" w:line="360"/>
        <w:jc w:val="both"/>
      </w:pPr>
      <w:r>
        <w:rPr>
          <w:rFonts w:ascii="Times New Roman" w:cs="Times New Roman" w:eastAsia="Times New Roman" w:hAnsi="Times New Roman"/>
          <w:sz w:val="24"/>
          <w:szCs w:val="24"/>
        </w:rPr>
        <w:t xml:space="preserve">El concepto central de React es la programación declarativa. En lugar de manipular directamente el DOM del navegador (una operación costosa en términos de rendimiento), React mantiene en memoria una representación virtual ligera del DOM, conocida como el </w:t>
      </w:r>
      <w:r>
        <w:rPr>
          <w:rFonts w:ascii="Times New Roman" w:cs="Times New Roman" w:eastAsia="Times New Roman" w:hAnsi="Times New Roman"/>
          <w:b/>
          <w:bCs/>
          <w:sz w:val="24"/>
          <w:szCs w:val="24"/>
        </w:rPr>
        <w:t xml:space="preserve">Virtual DOM</w:t>
      </w:r>
      <w:r>
        <w:rPr>
          <w:rFonts w:ascii="Times New Roman" w:cs="Times New Roman" w:eastAsia="Times New Roman" w:hAnsi="Times New Roman"/>
          <w:sz w:val="24"/>
          <w:szCs w:val="24"/>
        </w:rPr>
        <w:t xml:space="preserve">. Cuando el estado de un componente cambia, React calcula la diferencia (diff) entre el Virtual DOM anterior y el nuevo, y aplica únicamente los cambios mínimos necesarios al DOM real, en un proceso denominado </w:t>
      </w:r>
      <w:r>
        <w:rPr>
          <w:rFonts w:ascii="Times New Roman" w:cs="Times New Roman" w:eastAsia="Times New Roman" w:hAnsi="Times New Roman"/>
          <w:b/>
          <w:bCs/>
          <w:sz w:val="24"/>
          <w:szCs w:val="24"/>
        </w:rPr>
        <w:t xml:space="preserve">reconciliación</w:t>
      </w:r>
      <w:r>
        <w:rPr>
          <w:rFonts w:ascii="Times New Roman" w:cs="Times New Roman" w:eastAsia="Times New Roman" w:hAnsi="Times New Roman"/>
          <w:sz w:val="24"/>
          <w:szCs w:val="24"/>
        </w:rPr>
        <w:t xml:space="preserve"> (Meta, 2024b). Este mecanismo es responsable del alto rendimiento de las interfaces React, incluso cuando manejan grandes volúmenes de datos, como las tablas de usuarios y transacciones del panel administrativo de GimApp.</w:t>
      </w:r>
    </w:p>
    <w:p>
      <w:pPr>
        <w:spacing w:after="220" w:line="360"/>
        <w:jc w:val="both"/>
      </w:pPr>
      <w:r>
        <w:rPr>
          <w:rFonts w:ascii="Times New Roman" w:cs="Times New Roman" w:eastAsia="Times New Roman" w:hAnsi="Times New Roman"/>
          <w:sz w:val="24"/>
          <w:szCs w:val="24"/>
        </w:rPr>
        <w:t xml:space="preserve">En el panel web de GimApp, React se combina con React Router para la navegación entre páginas (sin recarga completa del navegador) y con la biblioteca Axios para las peticiones HTTP a la API de Laravel, creando así una Aplicación de Página Única (SPA - Single Page Application) que ofrece una experiencia rápida y fluida al personal administrativo del gimnasio (Bustamante &amp; Guerrero, 2023).</w:t>
      </w:r>
    </w:p>
    <w:p>
      <w:pPr>
        <w:pStyle w:val="Heading2"/>
        <w:spacing w:after="180" w:before="340"/>
        <w:jc w:val="left"/>
      </w:pPr>
      <w:r>
        <w:rPr>
          <w:rFonts w:ascii="Times New Roman" w:cs="Times New Roman" w:eastAsia="Times New Roman" w:hAnsi="Times New Roman"/>
          <w:b/>
          <w:bCs/>
          <w:color w:val="1E3A8A"/>
          <w:sz w:val="26"/>
          <w:szCs w:val="26"/>
        </w:rPr>
        <w:t xml:space="preserve">Vite</w:t>
      </w:r>
    </w:p>
    <w:p>
      <w:pPr>
        <w:spacing w:after="220" w:line="360"/>
        <w:jc w:val="both"/>
      </w:pPr>
      <w:r>
        <w:rPr>
          <w:rFonts w:ascii="Times New Roman" w:cs="Times New Roman" w:eastAsia="Times New Roman" w:hAnsi="Times New Roman"/>
          <w:sz w:val="24"/>
          <w:szCs w:val="24"/>
        </w:rPr>
        <w:t xml:space="preserve">El panel web de React requiere de un servidor de desarrollo local durante la construcción y de un empaquetador para la fase de producción. Vite es una herramienta de construcción frontend de nueva generación creada por Evan You —también creador del framework Vue.js— que resuelve las limitaciones de herramientas anteriores como Webpack o Create React App (Vite, 2024).</w:t>
      </w:r>
    </w:p>
    <w:p>
      <w:pPr>
        <w:spacing w:after="220" w:line="360"/>
        <w:jc w:val="both"/>
      </w:pPr>
      <w:r>
        <w:rPr>
          <w:rFonts w:ascii="Times New Roman" w:cs="Times New Roman" w:eastAsia="Times New Roman" w:hAnsi="Times New Roman"/>
          <w:sz w:val="24"/>
          <w:szCs w:val="24"/>
        </w:rPr>
        <w:t xml:space="preserve">La diferencia fundamental de Vite frente a las herramientas convencionales radica en cómo sirve el código durante el desarrollo. Las herramientas tradicionales empaquetan (bundle) toda la aplicación antes de servir el servidor de desarrollo, lo que genera tiempos de arranque lentos a medida que el proyecto crece. Vite, en cambio, aprovecha los </w:t>
      </w:r>
      <w:r>
        <w:rPr>
          <w:rFonts w:ascii="Times New Roman" w:cs="Times New Roman" w:eastAsia="Times New Roman" w:hAnsi="Times New Roman"/>
          <w:b/>
          <w:bCs/>
          <w:sz w:val="24"/>
          <w:szCs w:val="24"/>
        </w:rPr>
        <w:t xml:space="preserve">Módulos ES Nativos (ESM)</w:t>
      </w:r>
      <w:r>
        <w:rPr>
          <w:rFonts w:ascii="Times New Roman" w:cs="Times New Roman" w:eastAsia="Times New Roman" w:hAnsi="Times New Roman"/>
          <w:sz w:val="24"/>
          <w:szCs w:val="24"/>
        </w:rPr>
        <w:t xml:space="preserve"> que los navegadores modernos soportan de forma nativa: el código fuente se transforma y sirve bajo demanda por el servidor de desarrollo, logrando tiempos de arranque casi instantáneos independientemente del tamaño de la aplicación. Para la compilación de producción, Vite utiliza Rollup para generar bundles altamente optimizados con soporte para </w:t>
      </w:r>
      <w:r>
        <w:rPr>
          <w:rFonts w:ascii="Times New Roman" w:cs="Times New Roman" w:eastAsia="Times New Roman" w:hAnsi="Times New Roman"/>
          <w:b/>
          <w:bCs/>
          <w:sz w:val="24"/>
          <w:szCs w:val="24"/>
        </w:rPr>
        <w:t xml:space="preserve">Code Splitting</w:t>
      </w:r>
      <w:r>
        <w:rPr>
          <w:rFonts w:ascii="Times New Roman" w:cs="Times New Roman" w:eastAsia="Times New Roman" w:hAnsi="Times New Roman"/>
          <w:sz w:val="24"/>
          <w:szCs w:val="24"/>
        </w:rPr>
        <w:t xml:space="preserve"> (división de código en fragmentos) y </w:t>
      </w:r>
      <w:r>
        <w:rPr>
          <w:rFonts w:ascii="Times New Roman" w:cs="Times New Roman" w:eastAsia="Times New Roman" w:hAnsi="Times New Roman"/>
          <w:b/>
          <w:bCs/>
          <w:sz w:val="24"/>
          <w:szCs w:val="24"/>
        </w:rPr>
        <w:t xml:space="preserve">Tree Shaking</w:t>
      </w:r>
      <w:r>
        <w:rPr>
          <w:rFonts w:ascii="Times New Roman" w:cs="Times New Roman" w:eastAsia="Times New Roman" w:hAnsi="Times New Roman"/>
          <w:sz w:val="24"/>
          <w:szCs w:val="24"/>
        </w:rPr>
        <w:t xml:space="preserve"> (eliminación de código no utilizado) (Vite, 2024).</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2.2.5 PHP y el Framework Laravel 12</w:t>
      </w:r>
    </w:p>
    <w:p>
      <w:pPr>
        <w:pStyle w:val="Heading2"/>
        <w:spacing w:after="180" w:before="340"/>
        <w:jc w:val="left"/>
      </w:pPr>
      <w:r>
        <w:rPr>
          <w:rFonts w:ascii="Times New Roman" w:cs="Times New Roman" w:eastAsia="Times New Roman" w:hAnsi="Times New Roman"/>
          <w:b/>
          <w:bCs/>
          <w:color w:val="1E3A8A"/>
          <w:sz w:val="26"/>
          <w:szCs w:val="26"/>
        </w:rPr>
        <w:t xml:space="preserve">El Lenguaje PHP</w:t>
      </w:r>
    </w:p>
    <w:p>
      <w:pPr>
        <w:spacing w:after="220" w:line="360"/>
        <w:jc w:val="both"/>
      </w:pPr>
      <w:r>
        <w:rPr>
          <w:rFonts w:ascii="Times New Roman" w:cs="Times New Roman" w:eastAsia="Times New Roman" w:hAnsi="Times New Roman"/>
          <w:sz w:val="24"/>
          <w:szCs w:val="24"/>
        </w:rPr>
        <w:t xml:space="preserve">PHP (Hypertext Preprocessor) es un lenguaje de programación interpretado de propósito general, especialmente diseñado para el desarrollo web del lado del servidor (Hernández Contla et al., 2021). Creado por Rasmus Lerdorf en 1994, PHP evolucionó de ser un simple conjunto de scripts CGI a convertirse en un lenguaje orientado a objetos completo y ampliamente adoptado. Según el informe </w:t>
      </w:r>
      <w:r>
        <w:rPr>
          <w:rFonts w:ascii="Times New Roman" w:cs="Times New Roman" w:eastAsia="Times New Roman" w:hAnsi="Times New Roman"/>
          <w:i/>
          <w:iCs/>
          <w:sz w:val="24"/>
          <w:szCs w:val="24"/>
        </w:rPr>
        <w:t xml:space="preserve">W3Techs Web Technology Surveys</w:t>
      </w:r>
      <w:r>
        <w:rPr>
          <w:rFonts w:ascii="Times New Roman" w:cs="Times New Roman" w:eastAsia="Times New Roman" w:hAnsi="Times New Roman"/>
          <w:sz w:val="24"/>
          <w:szCs w:val="24"/>
        </w:rPr>
        <w:t xml:space="preserve"> de 2024, PHP impulsa aproximadamente el 77% de todos los sitios web del mundo cuyo lenguaje de servidor es conocido, incluyendo plataformas de gran escala como WordPress, Wikipedia y Facebook (en sus etapas iniciales).</w:t>
      </w:r>
    </w:p>
    <w:p>
      <w:pPr>
        <w:spacing w:after="220" w:line="360"/>
        <w:jc w:val="both"/>
      </w:pPr>
      <w:r>
        <w:rPr>
          <w:rFonts w:ascii="Times New Roman" w:cs="Times New Roman" w:eastAsia="Times New Roman" w:hAnsi="Times New Roman"/>
          <w:sz w:val="24"/>
          <w:szCs w:val="24"/>
        </w:rPr>
        <w:t xml:space="preserve">La versión PHP 8.x, vigente durante el desarrollo de GimApp, introduce mejoras significativas de rendimiento respecto a versiones anteriores, incluyendo la compilación JIT (Just-In-Time), que permite la compilación de código PHP a bytecode nativo en tiempo de ejecución, así como el tipado estricto de atributos de clase, enumeraciones (Enums), fibers para programación asíncrona y patrones de coincidencia (match expressions). Estas características posicionan a PHP 8 como un lenguaje de backend competitivo con Node.js, Python y Ruby en términos de productividad y rendimiento (Hernández Contla et al., 2021).</w:t>
      </w:r>
    </w:p>
    <w:p>
      <w:pPr>
        <w:pStyle w:val="Heading2"/>
        <w:spacing w:after="180" w:before="340"/>
        <w:jc w:val="left"/>
      </w:pPr>
      <w:r>
        <w:rPr>
          <w:rFonts w:ascii="Times New Roman" w:cs="Times New Roman" w:eastAsia="Times New Roman" w:hAnsi="Times New Roman"/>
          <w:b/>
          <w:bCs/>
          <w:color w:val="1E3A8A"/>
          <w:sz w:val="26"/>
          <w:szCs w:val="26"/>
        </w:rPr>
        <w:t xml:space="preserve">Laravel 12 y el Ecosistema de Desarrollo</w:t>
      </w:r>
    </w:p>
    <w:p>
      <w:pPr>
        <w:spacing w:after="220" w:line="360"/>
        <w:jc w:val="both"/>
      </w:pPr>
      <w:r>
        <w:rPr>
          <w:rFonts w:ascii="Times New Roman" w:cs="Times New Roman" w:eastAsia="Times New Roman" w:hAnsi="Times New Roman"/>
          <w:sz w:val="24"/>
          <w:szCs w:val="24"/>
        </w:rPr>
        <w:t xml:space="preserve">Laravel es un framework de aplicaciones web de código abierto construido sobre PHP, creado por Taylor Otwell y publicado en 2011 bajo licencia MIT (Laravel, 2024). En la actualidad, Laravel es consistentemente catalogado como el framework PHP más popular del mundo según métricas de estrellas en GitHub, descargas en Packagist y menciones en publicaciones académicas (Bustamante &amp; Guerrero, 2023). Su versión 12, utilizada en GimApp, consolida funcionalidades avanzadas del ecosistema que se detallan a continuación.</w:t>
      </w:r>
    </w:p>
    <w:p>
      <w:pPr>
        <w:spacing w:after="140" w:before="260"/>
        <w:jc w:val="left"/>
      </w:pPr>
      <w:r>
        <w:rPr>
          <w:rFonts w:ascii="Times New Roman" w:cs="Times New Roman" w:eastAsia="Times New Roman" w:hAnsi="Times New Roman"/>
          <w:b/>
          <w:bCs/>
          <w:sz w:val="24"/>
          <w:szCs w:val="24"/>
        </w:rPr>
        <w:t xml:space="preserve">Patrón Arquitectónico MVC</w:t>
      </w:r>
    </w:p>
    <w:p>
      <w:pPr>
        <w:spacing w:after="220" w:line="360"/>
        <w:jc w:val="both"/>
      </w:pPr>
      <w:r>
        <w:rPr>
          <w:rFonts w:ascii="Times New Roman" w:cs="Times New Roman" w:eastAsia="Times New Roman" w:hAnsi="Times New Roman"/>
          <w:sz w:val="24"/>
          <w:szCs w:val="24"/>
        </w:rPr>
        <w:t xml:space="preserve">Laravel implementa el patrón de diseño </w:t>
      </w:r>
      <w:r>
        <w:rPr>
          <w:rFonts w:ascii="Times New Roman" w:cs="Times New Roman" w:eastAsia="Times New Roman" w:hAnsi="Times New Roman"/>
          <w:b/>
          <w:bCs/>
          <w:sz w:val="24"/>
          <w:szCs w:val="24"/>
        </w:rPr>
        <w:t xml:space="preserve">Modelo-Vista-Controlador (MVC)</w:t>
      </w:r>
      <w:r>
        <w:rPr>
          <w:rFonts w:ascii="Times New Roman" w:cs="Times New Roman" w:eastAsia="Times New Roman" w:hAnsi="Times New Roman"/>
          <w:sz w:val="24"/>
          <w:szCs w:val="24"/>
        </w:rPr>
        <w:t xml:space="preserve">, que divide la aplicación en tres capas lógicas separadas. El </w:t>
      </w:r>
      <w:r>
        <w:rPr>
          <w:rFonts w:ascii="Times New Roman" w:cs="Times New Roman" w:eastAsia="Times New Roman" w:hAnsi="Times New Roman"/>
          <w:b/>
          <w:bCs/>
          <w:sz w:val="24"/>
          <w:szCs w:val="24"/>
        </w:rPr>
        <w:t xml:space="preserve">Modelo</w:t>
      </w:r>
      <w:r>
        <w:rPr>
          <w:rFonts w:ascii="Times New Roman" w:cs="Times New Roman" w:eastAsia="Times New Roman" w:hAnsi="Times New Roman"/>
          <w:sz w:val="24"/>
          <w:szCs w:val="24"/>
        </w:rPr>
        <w:t xml:space="preserve"> (Model) encapsula la lógica de acceso a datos y las reglas del negocio; en Laravel, los modelos extienden la clase Eloquent, que implementa el patrón Active Record y permite interactuar con las tablas de la base de datos mediante una sintaxis orientada a objetos sin escribir SQL directamente. El </w:t>
      </w:r>
      <w:r>
        <w:rPr>
          <w:rFonts w:ascii="Times New Roman" w:cs="Times New Roman" w:eastAsia="Times New Roman" w:hAnsi="Times New Roman"/>
          <w:b/>
          <w:bCs/>
          <w:sz w:val="24"/>
          <w:szCs w:val="24"/>
        </w:rPr>
        <w:t xml:space="preserve">Controlador</w:t>
      </w:r>
      <w:r>
        <w:rPr>
          <w:rFonts w:ascii="Times New Roman" w:cs="Times New Roman" w:eastAsia="Times New Roman" w:hAnsi="Times New Roman"/>
          <w:sz w:val="24"/>
          <w:szCs w:val="24"/>
        </w:rPr>
        <w:t xml:space="preserve"> (Controller) actúa como intermediario, recibiendo peticiones HTTP, solicitando datos al Modelo, aplicando la lógica de negocio y retornando la respuesta apropiada. La </w:t>
      </w:r>
      <w:r>
        <w:rPr>
          <w:rFonts w:ascii="Times New Roman" w:cs="Times New Roman" w:eastAsia="Times New Roman" w:hAnsi="Times New Roman"/>
          <w:b/>
          <w:bCs/>
          <w:sz w:val="24"/>
          <w:szCs w:val="24"/>
        </w:rPr>
        <w:t xml:space="preserve">Vista</w:t>
      </w:r>
      <w:r>
        <w:rPr>
          <w:rFonts w:ascii="Times New Roman" w:cs="Times New Roman" w:eastAsia="Times New Roman" w:hAnsi="Times New Roman"/>
          <w:sz w:val="24"/>
          <w:szCs w:val="24"/>
        </w:rPr>
        <w:t xml:space="preserve"> (View), en el contexto de GimApp, es reemplazada por respuestas en formato JSON para construir la API RESTful, dado que las vistas son renderizadas por las aplicaciones de React y React Native en el lado del cliente (Laravel, 2024).</w:t>
      </w:r>
    </w:p>
    <w:p>
      <w:pPr>
        <w:spacing w:after="140" w:before="260"/>
        <w:jc w:val="left"/>
      </w:pPr>
      <w:r>
        <w:rPr>
          <w:rFonts w:ascii="Times New Roman" w:cs="Times New Roman" w:eastAsia="Times New Roman" w:hAnsi="Times New Roman"/>
          <w:b/>
          <w:bCs/>
          <w:sz w:val="24"/>
          <w:szCs w:val="24"/>
        </w:rPr>
        <w:t xml:space="preserve">Eloquent ORM</w:t>
      </w:r>
    </w:p>
    <w:p>
      <w:pPr>
        <w:spacing w:after="220" w:line="360"/>
        <w:jc w:val="both"/>
      </w:pPr>
      <w:r>
        <w:rPr>
          <w:rFonts w:ascii="Times New Roman" w:cs="Times New Roman" w:eastAsia="Times New Roman" w:hAnsi="Times New Roman"/>
          <w:sz w:val="24"/>
          <w:szCs w:val="24"/>
        </w:rPr>
        <w:t xml:space="preserve">Eloquent es el mapeador objeto-relacional (ORM) incluido en Laravel. Permite definir las relaciones entre las tablas de la base de datos (uno a uno, uno a muchos, muchos a muchos, polimórficas) directamente en el código PHP mediante métodos expresivos. Por ejemplo, en GimApp, la relación entre un usuario y sus membresías activas se define como </w:t>
      </w:r>
      <w:r>
        <w:rPr>
          <w:rFonts w:ascii="Times New Roman" w:cs="Times New Roman" w:eastAsia="Times New Roman" w:hAnsi="Times New Roman"/>
          <w:i/>
          <w:iCs/>
          <w:sz w:val="24"/>
          <w:szCs w:val="24"/>
        </w:rPr>
        <w:t xml:space="preserve">$user-&gt;membresias()-&gt;where('estado', 'activo')-&gt;get()</w:t>
      </w:r>
      <w:r>
        <w:rPr>
          <w:rFonts w:ascii="Times New Roman" w:cs="Times New Roman" w:eastAsia="Times New Roman" w:hAnsi="Times New Roman"/>
          <w:sz w:val="24"/>
          <w:szCs w:val="24"/>
        </w:rPr>
        <w:t xml:space="preserve">, generando automáticamente la consulta SQL optimizada correspondiente (Laravel, 2024; Hernández Contla et al., 2021).</w:t>
      </w:r>
    </w:p>
    <w:p>
      <w:pPr>
        <w:spacing w:after="140" w:before="260"/>
        <w:jc w:val="left"/>
      </w:pPr>
      <w:r>
        <w:rPr>
          <w:rFonts w:ascii="Times New Roman" w:cs="Times New Roman" w:eastAsia="Times New Roman" w:hAnsi="Times New Roman"/>
          <w:b/>
          <w:bCs/>
          <w:sz w:val="24"/>
          <w:szCs w:val="24"/>
        </w:rPr>
        <w:t xml:space="preserve">Laravel Sanctum</w:t>
      </w:r>
    </w:p>
    <w:p>
      <w:pPr>
        <w:spacing w:after="220" w:line="360"/>
        <w:jc w:val="both"/>
      </w:pPr>
      <w:r>
        <w:rPr>
          <w:rFonts w:ascii="Times New Roman" w:cs="Times New Roman" w:eastAsia="Times New Roman" w:hAnsi="Times New Roman"/>
          <w:sz w:val="24"/>
          <w:szCs w:val="24"/>
        </w:rPr>
        <w:t xml:space="preserve">Para la autenticación de los usuarios de la aplicación móvil, GimApp utiliza </w:t>
      </w:r>
      <w:r>
        <w:rPr>
          <w:rFonts w:ascii="Times New Roman" w:cs="Times New Roman" w:eastAsia="Times New Roman" w:hAnsi="Times New Roman"/>
          <w:b/>
          <w:bCs/>
          <w:sz w:val="24"/>
          <w:szCs w:val="24"/>
        </w:rPr>
        <w:t xml:space="preserve">Laravel Sanctum</w:t>
      </w:r>
      <w:r>
        <w:rPr>
          <w:rFonts w:ascii="Times New Roman" w:cs="Times New Roman" w:eastAsia="Times New Roman" w:hAnsi="Times New Roman"/>
          <w:sz w:val="24"/>
          <w:szCs w:val="24"/>
        </w:rPr>
        <w:t xml:space="preserve">, un paquete oficial de Laravel para la gestión de tokens de API de tipo SPA y aplicaciones móviles. Sanctum implementa tokens de acceso personal (Personal Access Tokens) en la base de datos, permitiendo que cada dispositivo del usuario obtenga un token único tras autenticarse con sus credenciales. Este token se envía en el encabezado HTTP </w:t>
      </w:r>
      <w:r>
        <w:rPr>
          <w:rFonts w:ascii="Times New Roman" w:cs="Times New Roman" w:eastAsia="Times New Roman" w:hAnsi="Times New Roman"/>
          <w:i/>
          <w:iCs/>
          <w:sz w:val="24"/>
          <w:szCs w:val="24"/>
        </w:rPr>
        <w:t xml:space="preserve">Authorization: Bearer {token}</w:t>
      </w:r>
      <w:r>
        <w:rPr>
          <w:rFonts w:ascii="Times New Roman" w:cs="Times New Roman" w:eastAsia="Times New Roman" w:hAnsi="Times New Roman"/>
          <w:sz w:val="24"/>
          <w:szCs w:val="24"/>
        </w:rPr>
        <w:t xml:space="preserve"> de cada petición posterior, y Laravel lo valida automáticamente antes de ejecutar el controlador correspondiente (Bustamante &amp; Guerrero, 2023).</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2.2.6 Arquitectura Cliente-Servidor y API RESTful</w:t>
      </w:r>
    </w:p>
    <w:p>
      <w:pPr>
        <w:spacing w:after="220" w:line="360"/>
        <w:jc w:val="both"/>
      </w:pPr>
      <w:r>
        <w:rPr>
          <w:rFonts w:ascii="Times New Roman" w:cs="Times New Roman" w:eastAsia="Times New Roman" w:hAnsi="Times New Roman"/>
          <w:sz w:val="24"/>
          <w:szCs w:val="24"/>
        </w:rPr>
        <w:t xml:space="preserve">El modelo de </w:t>
      </w:r>
      <w:r>
        <w:rPr>
          <w:rFonts w:ascii="Times New Roman" w:cs="Times New Roman" w:eastAsia="Times New Roman" w:hAnsi="Times New Roman"/>
          <w:b/>
          <w:bCs/>
          <w:sz w:val="24"/>
          <w:szCs w:val="24"/>
        </w:rPr>
        <w:t xml:space="preserve">arquitectura cliente-servidor</w:t>
      </w:r>
      <w:r>
        <w:rPr>
          <w:rFonts w:ascii="Times New Roman" w:cs="Times New Roman" w:eastAsia="Times New Roman" w:hAnsi="Times New Roman"/>
          <w:sz w:val="24"/>
          <w:szCs w:val="24"/>
        </w:rPr>
        <w:t xml:space="preserve"> es un paradigma computacional distribuido en el que los procesos se dividen entre proveedores de recursos o servicios (servidores) y los solicitantes de esos servicios (clientes). Surgió como alternativa a la computación centralizada (mainframes) durante la década de 1980 y se convirtió en el estándar de la arquitectura web moderna. En este modelo, el servidor es el elemento que posee los datos, procesa la lógica de negocio y responde a solicitudes; el cliente es quien inicia la comunicación, presenta la información al usuario y no almacena datos de forma persistente (Hernández Contla et al., 2021; Fielding, 2000).</w:t>
      </w:r>
    </w:p>
    <w:p>
      <w:pPr>
        <w:spacing w:after="220" w:line="360"/>
        <w:jc w:val="both"/>
      </w:pPr>
      <w:r>
        <w:rPr>
          <w:rFonts w:ascii="Times New Roman" w:cs="Times New Roman" w:eastAsia="Times New Roman" w:hAnsi="Times New Roman"/>
          <w:sz w:val="24"/>
          <w:szCs w:val="24"/>
        </w:rPr>
        <w:t xml:space="preserve">La comunicación en este modelo se realiza a través de </w:t>
      </w:r>
      <w:r>
        <w:rPr>
          <w:rFonts w:ascii="Times New Roman" w:cs="Times New Roman" w:eastAsia="Times New Roman" w:hAnsi="Times New Roman"/>
          <w:b/>
          <w:bCs/>
          <w:sz w:val="24"/>
          <w:szCs w:val="24"/>
        </w:rPr>
        <w:t xml:space="preserve">APIs (Application Programming Interfaces)</w:t>
      </w:r>
      <w:r>
        <w:rPr>
          <w:rFonts w:ascii="Times New Roman" w:cs="Times New Roman" w:eastAsia="Times New Roman" w:hAnsi="Times New Roman"/>
          <w:sz w:val="24"/>
          <w:szCs w:val="24"/>
        </w:rPr>
        <w:t xml:space="preserve">. Específicamente, GimApp implementa una API de tipo </w:t>
      </w:r>
      <w:r>
        <w:rPr>
          <w:rFonts w:ascii="Times New Roman" w:cs="Times New Roman" w:eastAsia="Times New Roman" w:hAnsi="Times New Roman"/>
          <w:b/>
          <w:bCs/>
          <w:sz w:val="24"/>
          <w:szCs w:val="24"/>
        </w:rPr>
        <w:t xml:space="preserve">REST (Representational State Transfer)</w:t>
      </w:r>
      <w:r>
        <w:rPr>
          <w:rFonts w:ascii="Times New Roman" w:cs="Times New Roman" w:eastAsia="Times New Roman" w:hAnsi="Times New Roman"/>
          <w:sz w:val="24"/>
          <w:szCs w:val="24"/>
        </w:rPr>
        <w:t xml:space="preserve">, un estilo arquitectónico para sistemas hipermedia distribuidos formalizado por Roy T. Fielding en su disertación doctoral en la University of California, Irvine (Fielding, 2000). Los seis principios que Fielding establece para una arquitectura verdaderamente RESTful son:</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Cliente-Servidor separados: </w:t>
      </w:r>
      <w:r>
        <w:rPr>
          <w:rFonts w:ascii="Times New Roman" w:cs="Times New Roman" w:eastAsia="Times New Roman" w:hAnsi="Times New Roman"/>
          <w:sz w:val="24"/>
          <w:szCs w:val="24"/>
        </w:rPr>
        <w:t xml:space="preserve">La interfaz de usuario (cliente) está completamente desacoplada del almacenamiento de datos (servidor).</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Sin estado (Stateless): </w:t>
      </w:r>
      <w:r>
        <w:rPr>
          <w:rFonts w:ascii="Times New Roman" w:cs="Times New Roman" w:eastAsia="Times New Roman" w:hAnsi="Times New Roman"/>
          <w:sz w:val="24"/>
          <w:szCs w:val="24"/>
        </w:rPr>
        <w:t xml:space="preserve">Cada solicitud del cliente al servidor debe contener toda la información necesaria para entenderla y procesarla; el servidor no mantiene ningún contexto de sesión entre solicitudes.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Caché: </w:t>
      </w:r>
      <w:r>
        <w:rPr>
          <w:rFonts w:ascii="Times New Roman" w:cs="Times New Roman" w:eastAsia="Times New Roman" w:hAnsi="Times New Roman"/>
          <w:sz w:val="24"/>
          <w:szCs w:val="24"/>
        </w:rPr>
        <w:t xml:space="preserve">Las respuestas deben indicar si pueden ser almacenadas en caché por el cliente para mejorar el rendimiento.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Interfaz uniforme: </w:t>
      </w:r>
      <w:r>
        <w:rPr>
          <w:rFonts w:ascii="Times New Roman" w:cs="Times New Roman" w:eastAsia="Times New Roman" w:hAnsi="Times New Roman"/>
          <w:sz w:val="24"/>
          <w:szCs w:val="24"/>
        </w:rPr>
        <w:t xml:space="preserve">Uso consistente y estandarizado de los métodos HTTP (GET, POST, PUT, PATCH, DELETE) para operar sobre los recursos.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Sistema en capas: </w:t>
      </w:r>
      <w:r>
        <w:rPr>
          <w:rFonts w:ascii="Times New Roman" w:cs="Times New Roman" w:eastAsia="Times New Roman" w:hAnsi="Times New Roman"/>
          <w:sz w:val="24"/>
          <w:szCs w:val="24"/>
        </w:rPr>
        <w:t xml:space="preserve">El cliente no necesita saber si está comunicándose directamente con el servidor final o con un intermediario.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Código bajo demanda (opcional): </w:t>
      </w:r>
      <w:r>
        <w:rPr>
          <w:rFonts w:ascii="Times New Roman" w:cs="Times New Roman" w:eastAsia="Times New Roman" w:hAnsi="Times New Roman"/>
          <w:sz w:val="24"/>
          <w:szCs w:val="24"/>
        </w:rPr>
        <w:t xml:space="preserve">El servidor puede enviar código ejecutable al cliente (Fielding, 2000).</w:t>
      </w:r>
    </w:p>
    <w:p>
      <w:pPr>
        <w:spacing w:after="220" w:line="360"/>
        <w:jc w:val="both"/>
      </w:pPr>
      <w:r>
        <w:rPr>
          <w:rFonts w:ascii="Times New Roman" w:cs="Times New Roman" w:eastAsia="Times New Roman" w:hAnsi="Times New Roman"/>
          <w:sz w:val="24"/>
          <w:szCs w:val="24"/>
        </w:rPr>
        <w:t xml:space="preserve">En GimApp, la API RESTful desarrollada en Laravel 12 expone endpoints organizados por recursos. Por ejemplo, el recurso </w:t>
      </w:r>
      <w:r>
        <w:rPr>
          <w:rFonts w:ascii="Times New Roman" w:cs="Times New Roman" w:eastAsia="Times New Roman" w:hAnsi="Times New Roman"/>
          <w:i/>
          <w:iCs/>
          <w:sz w:val="24"/>
          <w:szCs w:val="24"/>
        </w:rPr>
        <w:t xml:space="preserve">/api/membresias</w:t>
      </w:r>
      <w:r>
        <w:rPr>
          <w:rFonts w:ascii="Times New Roman" w:cs="Times New Roman" w:eastAsia="Times New Roman" w:hAnsi="Times New Roman"/>
          <w:sz w:val="24"/>
          <w:szCs w:val="24"/>
        </w:rPr>
        <w:t xml:space="preserve"> acepta peticiones GET para listar membresías, POST para crear una nueva, PUT/PATCH para actualizar una existente y DELETE para eliminarla. Esta estructura es consumida tanto por la aplicación móvil en React Native como por el panel web en React, garantizando consistencia de datos en toda la plataforma (Bustamante &amp; Guerrero, 2023).</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2.2.7 Bases de Datos Relacionales: MySQL y Propiedades ACID</w:t>
      </w:r>
    </w:p>
    <w:p>
      <w:pPr>
        <w:pStyle w:val="Heading2"/>
        <w:spacing w:after="180" w:before="340"/>
        <w:jc w:val="left"/>
      </w:pPr>
      <w:r>
        <w:rPr>
          <w:rFonts w:ascii="Times New Roman" w:cs="Times New Roman" w:eastAsia="Times New Roman" w:hAnsi="Times New Roman"/>
          <w:b/>
          <w:bCs/>
          <w:color w:val="1E3A8A"/>
          <w:sz w:val="26"/>
          <w:szCs w:val="26"/>
        </w:rPr>
        <w:t xml:space="preserve">MySQL como Sistema de Gestión de Bases de Datos</w:t>
      </w:r>
    </w:p>
    <w:p>
      <w:pPr>
        <w:spacing w:after="220" w:line="360"/>
        <w:jc w:val="both"/>
      </w:pPr>
      <w:r>
        <w:rPr>
          <w:rFonts w:ascii="Times New Roman" w:cs="Times New Roman" w:eastAsia="Times New Roman" w:hAnsi="Times New Roman"/>
          <w:sz w:val="24"/>
          <w:szCs w:val="24"/>
        </w:rPr>
        <w:t xml:space="preserve">MySQL es un </w:t>
      </w:r>
      <w:r>
        <w:rPr>
          <w:rFonts w:ascii="Times New Roman" w:cs="Times New Roman" w:eastAsia="Times New Roman" w:hAnsi="Times New Roman"/>
          <w:b/>
          <w:bCs/>
          <w:sz w:val="24"/>
          <w:szCs w:val="24"/>
        </w:rPr>
        <w:t xml:space="preserve">Sistema de Gestión de Bases de Datos Relacionales (RDBMS)</w:t>
      </w:r>
      <w:r>
        <w:rPr>
          <w:rFonts w:ascii="Times New Roman" w:cs="Times New Roman" w:eastAsia="Times New Roman" w:hAnsi="Times New Roman"/>
          <w:sz w:val="24"/>
          <w:szCs w:val="24"/>
        </w:rPr>
        <w:t xml:space="preserve"> de código abierto, desarrollado originalmente por MySQL AB en 1995 y actualmente propiedad y mantenido por Oracle Corporation (MySQL, 2024). Un RDBMS organiza los datos en tablas bidimensionales compuestas por filas (registros) y columnas (atributos o campos), permitiendo establecer relaciones lógicas y referenciales entre tablas a través del uso de </w:t>
      </w:r>
      <w:r>
        <w:rPr>
          <w:rFonts w:ascii="Times New Roman" w:cs="Times New Roman" w:eastAsia="Times New Roman" w:hAnsi="Times New Roman"/>
          <w:b/>
          <w:bCs/>
          <w:sz w:val="24"/>
          <w:szCs w:val="24"/>
        </w:rPr>
        <w:t xml:space="preserve">claves primarias</w:t>
      </w:r>
      <w:r>
        <w:rPr>
          <w:rFonts w:ascii="Times New Roman" w:cs="Times New Roman" w:eastAsia="Times New Roman" w:hAnsi="Times New Roman"/>
          <w:sz w:val="24"/>
          <w:szCs w:val="24"/>
        </w:rPr>
        <w:t xml:space="preserve"> (identificadores únicos de cada fila) y </w:t>
      </w:r>
      <w:r>
        <w:rPr>
          <w:rFonts w:ascii="Times New Roman" w:cs="Times New Roman" w:eastAsia="Times New Roman" w:hAnsi="Times New Roman"/>
          <w:b/>
          <w:bCs/>
          <w:sz w:val="24"/>
          <w:szCs w:val="24"/>
        </w:rPr>
        <w:t xml:space="preserve">claves foráneas</w:t>
      </w:r>
      <w:r>
        <w:rPr>
          <w:rFonts w:ascii="Times New Roman" w:cs="Times New Roman" w:eastAsia="Times New Roman" w:hAnsi="Times New Roman"/>
          <w:sz w:val="24"/>
          <w:szCs w:val="24"/>
        </w:rPr>
        <w:t xml:space="preserve"> (referencias a claves primarias de otras tablas). MySQL implementa el lenguaje estándar </w:t>
      </w:r>
      <w:r>
        <w:rPr>
          <w:rFonts w:ascii="Times New Roman" w:cs="Times New Roman" w:eastAsia="Times New Roman" w:hAnsi="Times New Roman"/>
          <w:b/>
          <w:bCs/>
          <w:sz w:val="24"/>
          <w:szCs w:val="24"/>
        </w:rPr>
        <w:t xml:space="preserve">SQL (Structured Query Language)</w:t>
      </w:r>
      <w:r>
        <w:rPr>
          <w:rFonts w:ascii="Times New Roman" w:cs="Times New Roman" w:eastAsia="Times New Roman" w:hAnsi="Times New Roman"/>
          <w:sz w:val="24"/>
          <w:szCs w:val="24"/>
        </w:rPr>
        <w:t xml:space="preserve"> para la definición, manipulación y consulta de datos (Codd, 1970; MySQL, 2024).</w:t>
      </w:r>
    </w:p>
    <w:p>
      <w:pPr>
        <w:spacing w:after="220" w:line="360"/>
        <w:jc w:val="both"/>
      </w:pPr>
      <w:r>
        <w:rPr>
          <w:rFonts w:ascii="Times New Roman" w:cs="Times New Roman" w:eastAsia="Times New Roman" w:hAnsi="Times New Roman"/>
          <w:sz w:val="24"/>
          <w:szCs w:val="24"/>
        </w:rPr>
        <w:t xml:space="preserve">El modelo relacional fue propuesto formalmente por el matemático y científico de la computación Edgar F. Codd en su artículo seminal </w:t>
      </w:r>
      <w:r>
        <w:rPr>
          <w:rFonts w:ascii="Times New Roman" w:cs="Times New Roman" w:eastAsia="Times New Roman" w:hAnsi="Times New Roman"/>
          <w:i/>
          <w:iCs/>
          <w:sz w:val="24"/>
          <w:szCs w:val="24"/>
        </w:rPr>
        <w:t xml:space="preserve">"A Relational Model of Data for Large Shared Data Banks"</w:t>
      </w:r>
      <w:r>
        <w:rPr>
          <w:rFonts w:ascii="Times New Roman" w:cs="Times New Roman" w:eastAsia="Times New Roman" w:hAnsi="Times New Roman"/>
          <w:sz w:val="24"/>
          <w:szCs w:val="24"/>
        </w:rPr>
        <w:t xml:space="preserve">, publicado en 1970 en la revista </w:t>
      </w:r>
      <w:r>
        <w:rPr>
          <w:rFonts w:ascii="Times New Roman" w:cs="Times New Roman" w:eastAsia="Times New Roman" w:hAnsi="Times New Roman"/>
          <w:i/>
          <w:iCs/>
          <w:sz w:val="24"/>
          <w:szCs w:val="24"/>
        </w:rPr>
        <w:t xml:space="preserve">Communications of the ACM</w:t>
      </w:r>
      <w:r>
        <w:rPr>
          <w:rFonts w:ascii="Times New Roman" w:cs="Times New Roman" w:eastAsia="Times New Roman" w:hAnsi="Times New Roman"/>
          <w:sz w:val="24"/>
          <w:szCs w:val="24"/>
        </w:rPr>
        <w:t xml:space="preserve"> (Codd, 1970). Este modelo establece que los datos deben almacenarse en relaciones (tablas), que las operaciones sobre ellos deben realizarse mediante álgebra relacional, y que la integridad de los datos debe garantizarse mediante restricciones definidas en el esquema de la base de datos. MySQL ha sido la implementación de este modelo más exitosa en el entorno de aplicaciones web debido a su rendimiento, confiabilidad y el vasto ecosistema de herramientas y bibliotecas que lo soportan (Hernández Contla et al., 2021).</w:t>
      </w:r>
    </w:p>
    <w:p>
      <w:pPr>
        <w:pStyle w:val="Heading2"/>
        <w:spacing w:after="180" w:before="340"/>
        <w:jc w:val="left"/>
      </w:pPr>
      <w:r>
        <w:rPr>
          <w:rFonts w:ascii="Times New Roman" w:cs="Times New Roman" w:eastAsia="Times New Roman" w:hAnsi="Times New Roman"/>
          <w:b/>
          <w:bCs/>
          <w:color w:val="1E3A8A"/>
          <w:sz w:val="26"/>
          <w:szCs w:val="26"/>
        </w:rPr>
        <w:t xml:space="preserve">Propiedades ACID</w:t>
      </w:r>
    </w:p>
    <w:p>
      <w:pPr>
        <w:spacing w:after="220" w:line="360"/>
        <w:jc w:val="both"/>
      </w:pPr>
      <w:r>
        <w:rPr>
          <w:rFonts w:ascii="Times New Roman" w:cs="Times New Roman" w:eastAsia="Times New Roman" w:hAnsi="Times New Roman"/>
          <w:sz w:val="24"/>
          <w:szCs w:val="24"/>
        </w:rPr>
        <w:t xml:space="preserve">En sistemas de información que gestionan transacciones financieras y administrativas —como los pagos de membresías en GimApp— la integridad de los datos es un requisito crítico. MySQL garantiza esta integridad mediante su motor de almacenamiento transaccional </w:t>
      </w:r>
      <w:r>
        <w:rPr>
          <w:rFonts w:ascii="Times New Roman" w:cs="Times New Roman" w:eastAsia="Times New Roman" w:hAnsi="Times New Roman"/>
          <w:b/>
          <w:bCs/>
          <w:sz w:val="24"/>
          <w:szCs w:val="24"/>
        </w:rPr>
        <w:t xml:space="preserve">InnoDB</w:t>
      </w:r>
      <w:r>
        <w:rPr>
          <w:rFonts w:ascii="Times New Roman" w:cs="Times New Roman" w:eastAsia="Times New Roman" w:hAnsi="Times New Roman"/>
          <w:sz w:val="24"/>
          <w:szCs w:val="24"/>
        </w:rPr>
        <w:t xml:space="preserve">, que implementa las propiedades </w:t>
      </w:r>
      <w:r>
        <w:rPr>
          <w:rFonts w:ascii="Times New Roman" w:cs="Times New Roman" w:eastAsia="Times New Roman" w:hAnsi="Times New Roman"/>
          <w:b/>
          <w:bCs/>
          <w:sz w:val="24"/>
          <w:szCs w:val="24"/>
        </w:rPr>
        <w:t xml:space="preserve">ACID</w:t>
      </w:r>
      <w:r>
        <w:rPr>
          <w:rFonts w:ascii="Times New Roman" w:cs="Times New Roman" w:eastAsia="Times New Roman" w:hAnsi="Times New Roman"/>
          <w:sz w:val="24"/>
          <w:szCs w:val="24"/>
        </w:rPr>
        <w:t xml:space="preserve">, acrónimo de Atomicidad, Consistencia, Aislamiento y Durabilidad, conceptos formalizados por Jim Gray y Andreas Reuter (1992) en el ámbito de los sistemas de procesamiento de transacciones: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Atomicidad (Atomicity): </w:t>
      </w:r>
      <w:r>
        <w:rPr>
          <w:rFonts w:ascii="Times New Roman" w:cs="Times New Roman" w:eastAsia="Times New Roman" w:hAnsi="Times New Roman"/>
          <w:sz w:val="24"/>
          <w:szCs w:val="24"/>
        </w:rPr>
        <w:t xml:space="preserve">Garantiza que un conjunto de operaciones agrupadas en una transacción se ejecute como una unidad indivisible. En GimApp, si durante el proceso de activación de una membresía ocurre un error en la generación de la notificación al usuario, la operación completa se revierte (ROLLBACK), evitando que el pago quede registrado sin que la membresía se active (MySQL, 2024).</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Consistencia (Consistency): </w:t>
      </w:r>
      <w:r>
        <w:rPr>
          <w:rFonts w:ascii="Times New Roman" w:cs="Times New Roman" w:eastAsia="Times New Roman" w:hAnsi="Times New Roman"/>
          <w:sz w:val="24"/>
          <w:szCs w:val="24"/>
        </w:rPr>
        <w:t xml:space="preserve">Asegura que cualquier transacción lleve a la base de datos de un estado válido a otro estado válido, respetando todas las reglas de integridad definidas en el esquema (tipos de datos, restricciones UNIQUE, restricciones NOT NULL, integridad referencial entre claves foráneas).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Aislamiento (Isolation): </w:t>
      </w:r>
      <w:r>
        <w:rPr>
          <w:rFonts w:ascii="Times New Roman" w:cs="Times New Roman" w:eastAsia="Times New Roman" w:hAnsi="Times New Roman"/>
          <w:sz w:val="24"/>
          <w:szCs w:val="24"/>
        </w:rPr>
        <w:t xml:space="preserve">Permite la ejecución concurrente de múltiples transacciones sin que se interfieran entre sí. InnoDB implementa el Control de Concurrencia Multiversión (MVCC) para gestionar lecturas y escrituras simultáneas de forma segura, lo cual es relevante cuando múltiples administradores del gimnasio acceden al panel de gestión al mismo tiempo.</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Durabilidad (Durability): </w:t>
      </w:r>
      <w:r>
        <w:rPr>
          <w:rFonts w:ascii="Times New Roman" w:cs="Times New Roman" w:eastAsia="Times New Roman" w:hAnsi="Times New Roman"/>
          <w:sz w:val="24"/>
          <w:szCs w:val="24"/>
        </w:rPr>
        <w:t xml:space="preserve">Garantiza que una vez que una transacción ha sido confirmada (COMMIT), los cambios realizados persisten de forma permanente incluso ante fallos catastróficos como cortes de energía o caídas del servidor (Gray &amp; Reuter, 1992; MySQL, 2024).</w:t>
      </w:r>
    </w:p>
    <w:p>
      <w:pPr>
        <w:pStyle w:val="Heading2"/>
        <w:spacing w:after="180" w:before="340"/>
        <w:jc w:val="left"/>
      </w:pPr>
      <w:r>
        <w:rPr>
          <w:rFonts w:ascii="Times New Roman" w:cs="Times New Roman" w:eastAsia="Times New Roman" w:hAnsi="Times New Roman"/>
          <w:b/>
          <w:bCs/>
          <w:color w:val="1E3A8A"/>
          <w:sz w:val="26"/>
          <w:szCs w:val="26"/>
        </w:rPr>
        <w:t xml:space="preserve">Normalización del Esquema de Datos</w:t>
      </w:r>
    </w:p>
    <w:p>
      <w:pPr>
        <w:spacing w:after="220" w:line="36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normalización</w:t>
      </w:r>
      <w:r>
        <w:rPr>
          <w:rFonts w:ascii="Times New Roman" w:cs="Times New Roman" w:eastAsia="Times New Roman" w:hAnsi="Times New Roman"/>
          <w:sz w:val="24"/>
          <w:szCs w:val="24"/>
        </w:rPr>
        <w:t xml:space="preserve"> es el proceso de diseño de bases de datos relacionales que busca eliminar la redundancia de datos y prevenir anomalías de modificación, inserción y eliminación, garantizando la integridad lógica del esquema (Codd, 1970). El proceso se ejecuta aplicando sucesivamente un conjunto de reglas formales llamadas </w:t>
      </w:r>
      <w:r>
        <w:rPr>
          <w:rFonts w:ascii="Times New Roman" w:cs="Times New Roman" w:eastAsia="Times New Roman" w:hAnsi="Times New Roman"/>
          <w:b/>
          <w:bCs/>
          <w:sz w:val="24"/>
          <w:szCs w:val="24"/>
        </w:rPr>
        <w:t xml:space="preserve">Formas Normales</w:t>
      </w:r>
      <w:r>
        <w:rPr>
          <w:rFonts w:ascii="Times New Roman" w:cs="Times New Roman" w:eastAsia="Times New Roman" w:hAnsi="Times New Roman"/>
          <w:sz w:val="24"/>
          <w:szCs w:val="24"/>
        </w:rPr>
        <w:t xml:space="preserve">. Para GimApp, el esquema relacional se diseña alcanzando la </w:t>
      </w:r>
      <w:r>
        <w:rPr>
          <w:rFonts w:ascii="Times New Roman" w:cs="Times New Roman" w:eastAsia="Times New Roman" w:hAnsi="Times New Roman"/>
          <w:b/>
          <w:bCs/>
          <w:sz w:val="24"/>
          <w:szCs w:val="24"/>
        </w:rPr>
        <w:t xml:space="preserve">Tercera Forma Normal (3NF)</w:t>
      </w:r>
      <w:r>
        <w:rPr>
          <w:rFonts w:ascii="Times New Roman" w:cs="Times New Roman" w:eastAsia="Times New Roman" w:hAnsi="Times New Roman"/>
          <w:sz w:val="24"/>
          <w:szCs w:val="24"/>
        </w:rPr>
        <w:t xml:space="preserve">, que establece que todos los atributos no-clave de una tabla deben depender únicamente de la clave primaria y no de otros atributos no-clave. Esto evita, por ejemplo, almacenar el nombre del plan de membresía directamente en la tabla de pagos, utilizando en su lugar una clave foránea que referencia la tabla de planes.</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2.2.8 Metodología DCU: Diseño Centrado en el Usuario (ISO 9241-210)</w:t>
      </w:r>
    </w:p>
    <w:p>
      <w:pPr>
        <w:spacing w:after="220" w:line="36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Diseño Centrado en el Usuario (DCU)</w:t>
      </w:r>
      <w:r>
        <w:rPr>
          <w:rFonts w:ascii="Times New Roman" w:cs="Times New Roman" w:eastAsia="Times New Roman" w:hAnsi="Times New Roman"/>
          <w:sz w:val="24"/>
          <w:szCs w:val="24"/>
        </w:rPr>
        <w:t xml:space="preserve"> —conocido en inglés como Human-Centred Design (HCD)— es un enfoque filosófico y metodológico en el diseño de sistemas interactivos que coloca a los usuarios reales en el centro del proceso de desarrollo, en lugar de privilegiar la perspectiva del técnico o del cliente (Norman, 2013). El DCU está estandarizado internacionalmente por la norma </w:t>
      </w:r>
      <w:r>
        <w:rPr>
          <w:rFonts w:ascii="Times New Roman" w:cs="Times New Roman" w:eastAsia="Times New Roman" w:hAnsi="Times New Roman"/>
          <w:b/>
          <w:bCs/>
          <w:sz w:val="24"/>
          <w:szCs w:val="24"/>
        </w:rPr>
        <w:t xml:space="preserve">ISO 9241-210:2019</w:t>
      </w:r>
      <w:r>
        <w:rPr>
          <w:rFonts w:ascii="Times New Roman" w:cs="Times New Roman" w:eastAsia="Times New Roman" w:hAnsi="Times New Roman"/>
          <w:sz w:val="24"/>
          <w:szCs w:val="24"/>
        </w:rPr>
        <w:t xml:space="preserve">, publicada por la Organización Internacional de Normalización (ISO, 2019), que establece los principios y las actividades del proceso de diseño centrado en el ser humano para sistemas interactivos.</w:t>
      </w:r>
    </w:p>
    <w:p>
      <w:pPr>
        <w:spacing w:after="220" w:line="360"/>
        <w:jc w:val="both"/>
      </w:pPr>
      <w:r>
        <w:rPr>
          <w:rFonts w:ascii="Times New Roman" w:cs="Times New Roman" w:eastAsia="Times New Roman" w:hAnsi="Times New Roman"/>
          <w:sz w:val="24"/>
          <w:szCs w:val="24"/>
        </w:rPr>
        <w:t xml:space="preserve">La norma ISO 9241-210:2019 define seis principios fundamentales del DCU (ISO, 2019):</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El diseño se basa en una comprensión explícita de los usuarios, las tareas y los entornos.</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Los usuarios están involucrados en el diseño y el desarrollo durante todo el proceso.</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El diseño está dirigido y perfeccionado por la evaluación centrada en el usuario.</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El proceso es iterativo: el diseño se revisa y mejora en múltiples ciclos.</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El diseño aborda toda la experiencia del usuario (UX), no solo la interfaz visual.</w:t>
      </w:r>
    </w:p>
    <w:p>
      <w:pPr>
        <w:pStyle w:val="ListParagraph"/>
        <w:numPr>
          <w:ilvl w:val="0"/>
          <w:numId w:val="1"/>
        </w:numPr>
        <w:spacing w:after="140" w:line="360"/>
        <w:jc w:val="both"/>
      </w:pPr>
      <w:r>
        <w:rPr>
          <w:rFonts w:ascii="Times New Roman" w:cs="Times New Roman" w:eastAsia="Times New Roman" w:hAnsi="Times New Roman"/>
          <w:sz w:val="24"/>
          <w:szCs w:val="24"/>
        </w:rPr>
        <w:t xml:space="preserve">El equipo de diseño incluye habilidades y perspectivas multidisciplinares.</w:t>
      </w:r>
    </w:p>
    <w:p>
      <w:pPr>
        <w:spacing w:after="220" w:line="360"/>
        <w:jc w:val="both"/>
      </w:pPr>
      <w:r>
        <w:rPr>
          <w:rFonts w:ascii="Times New Roman" w:cs="Times New Roman" w:eastAsia="Times New Roman" w:hAnsi="Times New Roman"/>
          <w:sz w:val="24"/>
          <w:szCs w:val="24"/>
        </w:rPr>
        <w:t xml:space="preserve">Estos principios contrastan con el enfoque de desarrollo de software tradicional, en el que los sistemas suelen construirse basándose en las especificaciones técnicas del desarrollador o en los requerimientos del cliente, frecuentemente sin validar si los usuarios finales pueden realmente utilizar el producto. Como argumenta Norman (2013) en su obra fundamental </w:t>
      </w:r>
      <w:r>
        <w:rPr>
          <w:rFonts w:ascii="Times New Roman" w:cs="Times New Roman" w:eastAsia="Times New Roman" w:hAnsi="Times New Roman"/>
          <w:i/>
          <w:iCs/>
          <w:sz w:val="24"/>
          <w:szCs w:val="24"/>
        </w:rPr>
        <w:t xml:space="preserve">The Design of Everyday Things</w:t>
      </w:r>
      <w:r>
        <w:rPr>
          <w:rFonts w:ascii="Times New Roman" w:cs="Times New Roman" w:eastAsia="Times New Roman" w:hAnsi="Times New Roman"/>
          <w:sz w:val="24"/>
          <w:szCs w:val="24"/>
        </w:rPr>
        <w:t xml:space="preserve">, los errores de uso rara vez son culpa del usuario; son consecuencia directa de un diseño deficiente que no consideró el modelo mental del usuario.</w:t>
      </w:r>
    </w:p>
    <w:p>
      <w:pPr>
        <w:spacing w:after="220" w:line="360"/>
        <w:jc w:val="both"/>
      </w:pPr>
      <w:r>
        <w:rPr>
          <w:rFonts w:ascii="Times New Roman" w:cs="Times New Roman" w:eastAsia="Times New Roman" w:hAnsi="Times New Roman"/>
          <w:sz w:val="24"/>
          <w:szCs w:val="24"/>
        </w:rPr>
        <w:t xml:space="preserve">Para GimApp, la aplicación del DCU se materializa en actividades concretas durante el proceso de diseño de las interfaces: entrevistas y observación de los usuarios reales del gimnasio Gigafit (socios y personal administrativo), elaboración de personas (perfiles de usuario), construcción de wireframes y prototipos de baja fidelidad, validación iterativa con los usuarios y refinamiento de los diseños antes de la codificación. Este proceso reduce significativamente el riesgo de desarrollar un sistema que, aunque técnicamente correcto, sea rechazado o subutilizado por los usuarios finales (ISO, 2019; Cáceres Morejón et al., 2023).</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2.2.9 Usabilidad: Norma ISO 9241-11 y Métricas de Evaluación</w:t>
      </w:r>
    </w:p>
    <w:p>
      <w:pPr>
        <w:spacing w:after="220" w:line="36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usabilidad</w:t>
      </w:r>
      <w:r>
        <w:rPr>
          <w:rFonts w:ascii="Times New Roman" w:cs="Times New Roman" w:eastAsia="Times New Roman" w:hAnsi="Times New Roman"/>
          <w:sz w:val="24"/>
          <w:szCs w:val="24"/>
        </w:rPr>
        <w:t xml:space="preserve"> es un atributo de calidad del software que evalúa qué tan fácil es para los usuarios específicos utilizar un sistema en un contexto particular para lograr objetivos concretos. La norma </w:t>
      </w:r>
      <w:r>
        <w:rPr>
          <w:rFonts w:ascii="Times New Roman" w:cs="Times New Roman" w:eastAsia="Times New Roman" w:hAnsi="Times New Roman"/>
          <w:b/>
          <w:bCs/>
          <w:sz w:val="24"/>
          <w:szCs w:val="24"/>
        </w:rPr>
        <w:t xml:space="preserve">ISO 9241-11:2018</w:t>
      </w:r>
      <w:r>
        <w:rPr>
          <w:rFonts w:ascii="Times New Roman" w:cs="Times New Roman" w:eastAsia="Times New Roman" w:hAnsi="Times New Roman"/>
          <w:sz w:val="24"/>
          <w:szCs w:val="24"/>
        </w:rPr>
        <w:t xml:space="preserve"> (ISO, 2018), que actualizó y expandió la edición de 1998, proporciona la definición más ampliamente aceptada: la usabilidad es </w:t>
      </w:r>
      <w:r>
        <w:rPr>
          <w:rFonts w:ascii="Times New Roman" w:cs="Times New Roman" w:eastAsia="Times New Roman" w:hAnsi="Times New Roman"/>
          <w:i/>
          <w:iCs/>
          <w:sz w:val="24"/>
          <w:szCs w:val="24"/>
        </w:rPr>
        <w:t xml:space="preserve">"la medida en que un producto puede ser utilizado por usuarios específicos para alcanzar objetivos específicos con eficacia, eficiencia y satisfacción en un contexto de uso específico"</w:t>
      </w:r>
      <w:r>
        <w:rPr>
          <w:rFonts w:ascii="Times New Roman" w:cs="Times New Roman" w:eastAsia="Times New Roman" w:hAnsi="Times New Roman"/>
          <w:sz w:val="24"/>
          <w:szCs w:val="24"/>
        </w:rPr>
        <w:t xml:space="preserve"> (ISO, 2018, p. 4). Esta definición articula tres dimensiones de medición:</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Eficacia: </w:t>
      </w:r>
      <w:r>
        <w:rPr>
          <w:rFonts w:ascii="Times New Roman" w:cs="Times New Roman" w:eastAsia="Times New Roman" w:hAnsi="Times New Roman"/>
          <w:sz w:val="24"/>
          <w:szCs w:val="24"/>
        </w:rPr>
        <w:t xml:space="preserve">Precisión y completitud con la que los usuarios alcanzan sus objetivos. En el contexto de GimApp, la eficacia se mide evaluando si el usuario puede completar exitosamente tareas como: verificar el estado de su membresía, subir un comprobante de pago o consultar el catálogo de productos.</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Eficiencia: </w:t>
      </w:r>
      <w:r>
        <w:rPr>
          <w:rFonts w:ascii="Times New Roman" w:cs="Times New Roman" w:eastAsia="Times New Roman" w:hAnsi="Times New Roman"/>
          <w:sz w:val="24"/>
          <w:szCs w:val="24"/>
        </w:rPr>
        <w:t xml:space="preserve">Recursos invertidos (tiempo, número de interacciones, carga cognitiva) en relación con la precisión y completitud logradas. Una aplicación eficiente permite que el socio de Gigafit registre un pago en menos de 30 segundos con no más de 4 toques en la pantalla.</w:t>
      </w:r>
    </w:p>
    <w:p>
      <w:pPr>
        <w:pStyle w:val="ListParagraph"/>
        <w:numPr>
          <w:ilvl w:val="0"/>
          <w:numId w:val="1"/>
        </w:numPr>
        <w:spacing w:after="140" w:line="360"/>
        <w:jc w:val="both"/>
      </w:pPr>
      <w:r>
        <w:rPr>
          <w:rFonts w:ascii="Times New Roman" w:cs="Times New Roman" w:eastAsia="Times New Roman" w:hAnsi="Times New Roman"/>
          <w:b/>
          <w:bCs/>
          <w:sz w:val="24"/>
          <w:szCs w:val="24"/>
        </w:rPr>
        <w:t xml:space="preserve">Satisfacción: </w:t>
      </w:r>
      <w:r>
        <w:rPr>
          <w:rFonts w:ascii="Times New Roman" w:cs="Times New Roman" w:eastAsia="Times New Roman" w:hAnsi="Times New Roman"/>
          <w:sz w:val="24"/>
          <w:szCs w:val="24"/>
        </w:rPr>
        <w:t xml:space="preserve">Ausencia de incomodidad y actitudes positivas hacia el uso del producto. Se mide mediante cuestionarios estandarizados como el System Usability Scale (SUS) propuesto por Brooke (1996), que consiste en 10 ítems con escala Likert de 5 puntos y genera una puntuación normalizada de 0 a 100 (ISO, 2018).</w:t>
      </w:r>
    </w:p>
    <w:p>
      <w:pPr>
        <w:spacing w:after="220" w:line="360"/>
        <w:jc w:val="both"/>
      </w:pPr>
      <w:r>
        <w:rPr>
          <w:rFonts w:ascii="Times New Roman" w:cs="Times New Roman" w:eastAsia="Times New Roman" w:hAnsi="Times New Roman"/>
          <w:sz w:val="24"/>
          <w:szCs w:val="24"/>
        </w:rPr>
        <w:t xml:space="preserve">La evaluación de la usabilidad puede realizarse mediante diferentes métodos, clasificados en dos grandes categorías: los métodos de </w:t>
      </w:r>
      <w:r>
        <w:rPr>
          <w:rFonts w:ascii="Times New Roman" w:cs="Times New Roman" w:eastAsia="Times New Roman" w:hAnsi="Times New Roman"/>
          <w:b/>
          <w:bCs/>
          <w:sz w:val="24"/>
          <w:szCs w:val="24"/>
        </w:rPr>
        <w:t xml:space="preserve">inspección</w:t>
      </w:r>
      <w:r>
        <w:rPr>
          <w:rFonts w:ascii="Times New Roman" w:cs="Times New Roman" w:eastAsia="Times New Roman" w:hAnsi="Times New Roman"/>
          <w:sz w:val="24"/>
          <w:szCs w:val="24"/>
        </w:rPr>
        <w:t xml:space="preserve"> (llevados a cabo por expertos sin usuarios reales, como la evaluación heurística basada en las 10 heurísticas de Nielsen) y los métodos de </w:t>
      </w:r>
      <w:r>
        <w:rPr>
          <w:rFonts w:ascii="Times New Roman" w:cs="Times New Roman" w:eastAsia="Times New Roman" w:hAnsi="Times New Roman"/>
          <w:b/>
          <w:bCs/>
          <w:sz w:val="24"/>
          <w:szCs w:val="24"/>
        </w:rPr>
        <w:t xml:space="preserve">test con usuarios</w:t>
      </w:r>
      <w:r>
        <w:rPr>
          <w:rFonts w:ascii="Times New Roman" w:cs="Times New Roman" w:eastAsia="Times New Roman" w:hAnsi="Times New Roman"/>
          <w:sz w:val="24"/>
          <w:szCs w:val="24"/>
        </w:rPr>
        <w:t xml:space="preserve"> (observación directa del comportamiento del usuario real al interactuar con el sistema). Para GimApp, se combinarán ambos métodos: primero una evaluación heurística durante la fase de diseño para identificar problemas obvios, y luego pruebas de usabilidad con una muestra de usuarios reales del gimnasio para validar la eficacia, eficiencia y satisfacción antes del despliegue final (Cáceres Morejón et al., 2023; ISO, 2018).</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2.2.10 Pagos Digitales y Adopción Financiera en Ecuador</w:t>
      </w:r>
    </w:p>
    <w:p>
      <w:pPr>
        <w:spacing w:after="220" w:line="360"/>
        <w:jc w:val="both"/>
      </w:pPr>
      <w:r>
        <w:rPr>
          <w:rFonts w:ascii="Times New Roman" w:cs="Times New Roman" w:eastAsia="Times New Roman" w:hAnsi="Times New Roman"/>
          <w:sz w:val="24"/>
          <w:szCs w:val="24"/>
        </w:rPr>
        <w:t xml:space="preserve">Los </w:t>
      </w:r>
      <w:r>
        <w:rPr>
          <w:rFonts w:ascii="Times New Roman" w:cs="Times New Roman" w:eastAsia="Times New Roman" w:hAnsi="Times New Roman"/>
          <w:b/>
          <w:bCs/>
          <w:sz w:val="24"/>
          <w:szCs w:val="24"/>
        </w:rPr>
        <w:t xml:space="preserve">pagos digitales</w:t>
      </w:r>
      <w:r>
        <w:rPr>
          <w:rFonts w:ascii="Times New Roman" w:cs="Times New Roman" w:eastAsia="Times New Roman" w:hAnsi="Times New Roman"/>
          <w:sz w:val="24"/>
          <w:szCs w:val="24"/>
        </w:rPr>
        <w:t xml:space="preserve"> comprenden el conjunto de transacciones financieras realizadas a través de canales electrónicos, incluyendo transferencias bancarias en línea, pagos mediante aplicaciones móviles, uso de billeteras electrónicas y procesadores de pagos como PayPal o Stripe. En Ecuador, el ecosistema de pagos digitales está regulado por el Banco Central del Ecuador (BCE) a través del </w:t>
      </w:r>
      <w:r>
        <w:rPr>
          <w:rFonts w:ascii="Times New Roman" w:cs="Times New Roman" w:eastAsia="Times New Roman" w:hAnsi="Times New Roman"/>
          <w:b/>
          <w:bCs/>
          <w:sz w:val="24"/>
          <w:szCs w:val="24"/>
        </w:rPr>
        <w:t xml:space="preserve">Sistema de Pagos Interbancarios (SPI)</w:t>
      </w:r>
      <w:r>
        <w:rPr>
          <w:rFonts w:ascii="Times New Roman" w:cs="Times New Roman" w:eastAsia="Times New Roman" w:hAnsi="Times New Roman"/>
          <w:sz w:val="24"/>
          <w:szCs w:val="24"/>
        </w:rPr>
        <w:t xml:space="preserve">, que centraliza y liquida las transferencias electrónicas entre instituciones financieras del país (Banco Central del Ecuador, 2023).</w:t>
      </w:r>
    </w:p>
    <w:p>
      <w:pPr>
        <w:spacing w:after="220" w:line="360"/>
        <w:jc w:val="both"/>
      </w:pPr>
      <w:r>
        <w:rPr>
          <w:rFonts w:ascii="Times New Roman" w:cs="Times New Roman" w:eastAsia="Times New Roman" w:hAnsi="Times New Roman"/>
          <w:sz w:val="24"/>
          <w:szCs w:val="24"/>
        </w:rPr>
        <w:t xml:space="preserve">Según las estadísticas del BCE (2023), durante el año 2022 el SPI procesó más de </w:t>
      </w:r>
      <w:r>
        <w:rPr>
          <w:rFonts w:ascii="Times New Roman" w:cs="Times New Roman" w:eastAsia="Times New Roman" w:hAnsi="Times New Roman"/>
          <w:b/>
          <w:bCs/>
          <w:sz w:val="24"/>
          <w:szCs w:val="24"/>
        </w:rPr>
        <w:t xml:space="preserve">183 millones de transferencias electrónicas</w:t>
      </w:r>
      <w:r>
        <w:rPr>
          <w:rFonts w:ascii="Times New Roman" w:cs="Times New Roman" w:eastAsia="Times New Roman" w:hAnsi="Times New Roman"/>
          <w:sz w:val="24"/>
          <w:szCs w:val="24"/>
        </w:rPr>
        <w:t xml:space="preserve">, representando un valor total de aproximadamente USD 176.729 millones, cifra equivalente a 1,5 veces el Producto Interno Bruto (PIB) de Ecuador en ese año. Más revelador aún es el ritmo de crecimiento: el número de operaciones por canales digitales aumentó un </w:t>
      </w:r>
      <w:r>
        <w:rPr>
          <w:rFonts w:ascii="Times New Roman" w:cs="Times New Roman" w:eastAsia="Times New Roman" w:hAnsi="Times New Roman"/>
          <w:b/>
          <w:bCs/>
          <w:sz w:val="24"/>
          <w:szCs w:val="24"/>
        </w:rPr>
        <w:t xml:space="preserve">63,3%</w:t>
      </w:r>
      <w:r>
        <w:rPr>
          <w:rFonts w:ascii="Times New Roman" w:cs="Times New Roman" w:eastAsia="Times New Roman" w:hAnsi="Times New Roman"/>
          <w:sz w:val="24"/>
          <w:szCs w:val="24"/>
        </w:rPr>
        <w:t xml:space="preserve"> respecto a 2021, consolidando las transferencias electrónicas como el método de pago preferido de los ecuatorianos para operaciones cotidianas (Banco Central del Ecuador, 2023; Asociación de Bancos Privados del Ecuador [Asobanca], 2022).</w:t>
      </w:r>
    </w:p>
    <w:p>
      <w:pPr>
        <w:spacing w:after="220" w:line="360"/>
        <w:jc w:val="both"/>
      </w:pPr>
      <w:r>
        <w:rPr>
          <w:rFonts w:ascii="Times New Roman" w:cs="Times New Roman" w:eastAsia="Times New Roman" w:hAnsi="Times New Roman"/>
          <w:sz w:val="24"/>
          <w:szCs w:val="24"/>
        </w:rPr>
        <w:t xml:space="preserve">Para el contexto específico de Gigafit, esta tendencia tiene implicaciones operativas directas: el gimnasio recibe el grueso de sus ingresos por membresías a través de transferencias bancarias enviadas desde aplicaciones como la banca móvil de Banco Pichincha, Produbanco o Banco del Pacífico. Sin embargo, al no contar con un sistema integrado de gestión de pagos, el proceso de conciliación bancaria es completamente manual. La CEPAL (2021) señala que esta brecha entre la adopción digital por parte del consumidor y la capacidad de gestión digital de las pequeñas empresas es uno de los principales factores de ineficiencia operativa en las mipymes de América Latina.</w:t>
      </w:r>
    </w:p>
    <w:p>
      <w:pPr>
        <w:spacing w:after="60"/>
      </w:pPr>
      <w:r>
        <w:rPr>
          <w:rFonts w:ascii="Times New Roman" w:cs="Times New Roman" w:eastAsia="Times New Roman" w:hAnsi="Times New Roman"/>
          <w:sz w:val="24"/>
          <w:szCs w:val="24"/>
        </w:rPr>
        <w:t xml:space="preserve"/>
      </w:r>
    </w:p>
    <w:p>
      <w:pPr>
        <w:pStyle w:val="Heading1"/>
        <w:spacing w:after="220" w:before="500"/>
        <w:jc w:val="left"/>
      </w:pPr>
      <w:r>
        <w:rPr>
          <w:rFonts w:ascii="Times New Roman" w:cs="Times New Roman" w:eastAsia="Times New Roman" w:hAnsi="Times New Roman"/>
          <w:b/>
          <w:bCs/>
          <w:color w:val="1E3A8A"/>
          <w:sz w:val="30"/>
          <w:szCs w:val="30"/>
        </w:rPr>
        <w:t xml:space="preserve">2.2.11 Gestión de Membresías y Comercio Electrónico en el Fitness</w:t>
      </w:r>
    </w:p>
    <w:p>
      <w:pPr>
        <w:spacing w:after="220" w:line="360"/>
        <w:jc w:val="both"/>
      </w:pPr>
      <w:r>
        <w:rPr>
          <w:rFonts w:ascii="Times New Roman" w:cs="Times New Roman" w:eastAsia="Times New Roman" w:hAnsi="Times New Roman"/>
          <w:sz w:val="24"/>
          <w:szCs w:val="24"/>
        </w:rPr>
        <w:t xml:space="preserve">En la economía de los servicios deportivos, el </w:t>
      </w:r>
      <w:r>
        <w:rPr>
          <w:rFonts w:ascii="Times New Roman" w:cs="Times New Roman" w:eastAsia="Times New Roman" w:hAnsi="Times New Roman"/>
          <w:b/>
          <w:bCs/>
          <w:sz w:val="24"/>
          <w:szCs w:val="24"/>
        </w:rPr>
        <w:t xml:space="preserve">modelo de membresía</w:t>
      </w:r>
      <w:r>
        <w:rPr>
          <w:rFonts w:ascii="Times New Roman" w:cs="Times New Roman" w:eastAsia="Times New Roman" w:hAnsi="Times New Roman"/>
          <w:sz w:val="24"/>
          <w:szCs w:val="24"/>
        </w:rPr>
        <w:t xml:space="preserve"> (también denominado modelo de suscripción recurrente) constituye la columna vertebral del flujo de ingresos de los gimnasios. Bajo este modelo, el cliente paga una tarifa periódica —mensual, trimestral o anual— a cambio del derecho a acceder a las instalaciones y servicios del establecimiento durante la vigencia de su plan. La predictibilidad de este flujo de ingresos es lo que permite a los gimnasios planificar inversiones, nómina y expansión a mediano plazo (Mordor Intelligence, 2024).</w:t>
      </w:r>
    </w:p>
    <w:p>
      <w:pPr>
        <w:spacing w:after="220" w:line="360"/>
        <w:jc w:val="both"/>
      </w:pPr>
      <w:r>
        <w:rPr>
          <w:rFonts w:ascii="Times New Roman" w:cs="Times New Roman" w:eastAsia="Times New Roman" w:hAnsi="Times New Roman"/>
          <w:sz w:val="24"/>
          <w:szCs w:val="24"/>
        </w:rPr>
        <w:t xml:space="preserve">Sin embargo, Mercado Fitness (2023) advierte que, en el contexto latinoamericano, la falta de digitalización en el control de membresías es la principal causa de lo que en la industria se conoce como </w:t>
      </w:r>
      <w:r>
        <w:rPr>
          <w:rFonts w:ascii="Times New Roman" w:cs="Times New Roman" w:eastAsia="Times New Roman" w:hAnsi="Times New Roman"/>
          <w:i/>
          <w:iCs/>
          <w:sz w:val="24"/>
          <w:szCs w:val="24"/>
        </w:rPr>
        <w:t xml:space="preserve">revenue leakage</w:t>
      </w:r>
      <w:r>
        <w:rPr>
          <w:rFonts w:ascii="Times New Roman" w:cs="Times New Roman" w:eastAsia="Times New Roman" w:hAnsi="Times New Roman"/>
          <w:sz w:val="24"/>
          <w:szCs w:val="24"/>
        </w:rPr>
        <w:t xml:space="preserve"> (fuga de ingresos): situaciones donde clientes con planes caducados continúan accediendo al servicio debido a fallos en el registro manual de fechas, o donde pagos realizados no son contabilizados correctamente por errores humanos en el proceso de validación. La implementación de un sistema digital de gestión de membresías, con cálculo automatizado de días de vigencia, estados lógicos (activo, vencido, en periodo de gracia) y notificaciones automáticas, puede reducir esta fuga de ingresos en porcentajes significativos (Mordor Intelligence, 2024; Research and Markets, 2024).</w:t>
      </w:r>
    </w:p>
    <w:p>
      <w:pPr>
        <w:spacing w:after="220" w:line="360"/>
        <w:jc w:val="both"/>
      </w:pPr>
      <w:r>
        <w:rPr>
          <w:rFonts w:ascii="Times New Roman" w:cs="Times New Roman" w:eastAsia="Times New Roman" w:hAnsi="Times New Roman"/>
          <w:sz w:val="24"/>
          <w:szCs w:val="24"/>
        </w:rPr>
        <w:t xml:space="preserve">En cuanto al </w:t>
      </w:r>
      <w:r>
        <w:rPr>
          <w:rFonts w:ascii="Times New Roman" w:cs="Times New Roman" w:eastAsia="Times New Roman" w:hAnsi="Times New Roman"/>
          <w:b/>
          <w:bCs/>
          <w:sz w:val="24"/>
          <w:szCs w:val="24"/>
        </w:rPr>
        <w:t xml:space="preserve">comercio electrónico</w:t>
      </w:r>
      <w:r>
        <w:rPr>
          <w:rFonts w:ascii="Times New Roman" w:cs="Times New Roman" w:eastAsia="Times New Roman" w:hAnsi="Times New Roman"/>
          <w:sz w:val="24"/>
          <w:szCs w:val="24"/>
        </w:rPr>
        <w:t xml:space="preserve"> integrado, la venta de productos deportivos (suplementos alimenticios, indumentaria y accesorios) a través de plataformas digitales representa una fuente de ingresos complementaria para los gimnasios independientes. Según datos de Mordor Intelligence (2024), el mercado global de comercio electrónico de artículos deportivos experimenta un crecimiento sostenido impulsado por el cambio en los hábitos de compra del consumidor, que cada vez prefiere adquirir productos desde su teléfono móvil. Para Gigafit, el módulo de catálogo y venta de productos de GimApp actúa como una tienda en línea cerrada dentro del ecosistema de la plataforma, facilitando la visibilidad del inventario para los socios y la gestión de pedidos para la administración.</w:t>
      </w:r>
    </w:p>
    <w:p>
      <w:pPr>
        <w:spacing w:after="60"/>
      </w:pPr>
      <w:r>
        <w:rPr>
          <w:rFonts w:ascii="Times New Roman" w:cs="Times New Roman" w:eastAsia="Times New Roman" w:hAnsi="Times New Roman"/>
          <w:sz w:val="24"/>
          <w:szCs w:val="24"/>
        </w:rPr>
        <w:t xml:space="preserve"/>
      </w:r>
    </w:p>
    <w:p>
      <w:pPr>
        <w:spacing w:after="400" w:before="900"/>
        <w:jc w:val="center"/>
      </w:pPr>
      <w:r>
        <w:rPr>
          <w:rFonts w:ascii="Times New Roman" w:cs="Times New Roman" w:eastAsia="Times New Roman" w:hAnsi="Times New Roman"/>
          <w:b/>
          <w:bCs/>
          <w:color w:val="1E3A8A"/>
          <w:sz w:val="30"/>
          <w:szCs w:val="30"/>
        </w:rPr>
        <w:t xml:space="preserve">REFERENCIAS BIBLIOGRÁFICAS</w:t>
      </w:r>
    </w:p>
    <w:p>
      <w:pPr>
        <w:pBdr>
          <w:left w:val="thick" w:color="1E3A8A" w:sz="20"/>
        </w:pBdr>
        <w:spacing w:after="400" w:before="0"/>
        <w:ind w:left="300"/>
      </w:pPr>
      <w:r>
        <w:rPr>
          <w:rFonts w:ascii="Times New Roman" w:cs="Times New Roman" w:eastAsia="Times New Roman" w:hAnsi="Times New Roman"/>
          <w:i/>
          <w:iCs/>
          <w:color w:val="555555"/>
          <w:sz w:val="20"/>
          <w:szCs w:val="20"/>
        </w:rPr>
        <w:t xml:space="preserve">Nota: Todas las referencias están ordenadas alfabéticamente. Los hipervínculos llevan directamente al artículo, informe o documento original.</w:t>
      </w:r>
    </w:p>
    <w:p>
      <w:pPr>
        <w:spacing w:after="180" w:line="360"/>
        <w:ind w:left="720" w:hanging="720"/>
        <w:jc w:val="both"/>
      </w:pPr>
      <w:r>
        <w:rPr>
          <w:rFonts w:ascii="Times New Roman" w:cs="Times New Roman" w:eastAsia="Times New Roman" w:hAnsi="Times New Roman"/>
          <w:b/>
          <w:bCs/>
          <w:sz w:val="24"/>
          <w:szCs w:val="24"/>
        </w:rPr>
        <w:t xml:space="preserve">Álvarez-Rodríguez, J. M., Cataño-Zapata, D. A., &amp; Correa-Vélez, K. J. (2022). </w:t>
      </w:r>
      <w:r>
        <w:rPr>
          <w:rFonts w:ascii="Times New Roman" w:cs="Times New Roman" w:eastAsia="Times New Roman" w:hAnsi="Times New Roman"/>
          <w:i/>
          <w:iCs/>
          <w:sz w:val="24"/>
          <w:szCs w:val="24"/>
        </w:rPr>
        <w:t xml:space="preserve">Desarrollo de aplicaciones móviles con React Native: análisis comparativo de rendimiento. Revista Ibérica de Sistemas e Tecnologias de Informação, (E54), 287–300. </w:t>
      </w:r>
      <w:r>
        <w:rPr>
          <w:rFonts w:ascii="Times New Roman" w:cs="Times New Roman" w:eastAsia="Times New Roman" w:hAnsi="Times New Roman"/>
          <w:sz w:val="24"/>
          <w:szCs w:val="24"/>
        </w:rPr>
        <w:t xml:space="preserve">Recuperado de </w:t>
      </w:r>
      <w:hyperlink w:history="1" r:id="rId2g0fo0bybmzbcpibonptj">
        <w:r>
          <w:rPr>
            <w:rStyle w:val="Hyperlink"/>
            <w:rFonts w:ascii="Times New Roman" w:cs="Times New Roman" w:eastAsia="Times New Roman" w:hAnsi="Times New Roman"/>
            <w:color w:val="1155CC"/>
            <w:sz w:val="24"/>
            <w:szCs w:val="24"/>
            <w:u w:val="single"/>
          </w:rPr>
          <w:t xml:space="preserve">risti.xyz – RISTI Edición E54 (2022)</w:t>
        </w:r>
      </w:hyperlink>
    </w:p>
    <w:p>
      <w:pPr>
        <w:spacing w:after="180" w:line="360"/>
        <w:ind w:left="720" w:hanging="720"/>
        <w:jc w:val="both"/>
      </w:pPr>
      <w:r>
        <w:rPr>
          <w:rFonts w:ascii="Times New Roman" w:cs="Times New Roman" w:eastAsia="Times New Roman" w:hAnsi="Times New Roman"/>
          <w:b/>
          <w:bCs/>
          <w:sz w:val="24"/>
          <w:szCs w:val="24"/>
        </w:rPr>
        <w:t xml:space="preserve">Asociación de Bancos Privados del Ecuador [Asobanca]. (2022). </w:t>
      </w:r>
      <w:r>
        <w:rPr>
          <w:rFonts w:ascii="Times New Roman" w:cs="Times New Roman" w:eastAsia="Times New Roman" w:hAnsi="Times New Roman"/>
          <w:i/>
          <w:iCs/>
          <w:sz w:val="24"/>
          <w:szCs w:val="24"/>
        </w:rPr>
        <w:t xml:space="preserve">La era de la banca digital en Ecuador: Indicadores de adopción y uso de canales financieros digitales. </w:t>
      </w:r>
      <w:r>
        <w:rPr>
          <w:rFonts w:ascii="Times New Roman" w:cs="Times New Roman" w:eastAsia="Times New Roman" w:hAnsi="Times New Roman"/>
          <w:sz w:val="24"/>
          <w:szCs w:val="24"/>
        </w:rPr>
        <w:t xml:space="preserve">Recuperado de </w:t>
      </w:r>
      <w:hyperlink w:history="1" r:id="rIdguysxtt1zww6e5pumakkk">
        <w:r>
          <w:rPr>
            <w:rStyle w:val="Hyperlink"/>
            <w:rFonts w:ascii="Times New Roman" w:cs="Times New Roman" w:eastAsia="Times New Roman" w:hAnsi="Times New Roman"/>
            <w:color w:val="1155CC"/>
            <w:sz w:val="24"/>
            <w:szCs w:val="24"/>
            <w:u w:val="single"/>
          </w:rPr>
          <w:t xml:space="preserve">asobanca.org.ec – Reportes sectoriales</w:t>
        </w:r>
      </w:hyperlink>
    </w:p>
    <w:p>
      <w:pPr>
        <w:spacing w:after="180" w:line="360"/>
        <w:ind w:left="720" w:hanging="720"/>
        <w:jc w:val="both"/>
      </w:pPr>
      <w:r>
        <w:rPr>
          <w:rFonts w:ascii="Times New Roman" w:cs="Times New Roman" w:eastAsia="Times New Roman" w:hAnsi="Times New Roman"/>
          <w:b/>
          <w:bCs/>
          <w:sz w:val="24"/>
          <w:szCs w:val="24"/>
        </w:rPr>
        <w:t xml:space="preserve">Banco Central del Ecuador [BCE]. (2023). </w:t>
      </w:r>
      <w:r>
        <w:rPr>
          <w:rFonts w:ascii="Times New Roman" w:cs="Times New Roman" w:eastAsia="Times New Roman" w:hAnsi="Times New Roman"/>
          <w:i/>
          <w:iCs/>
          <w:sz w:val="24"/>
          <w:szCs w:val="24"/>
        </w:rPr>
        <w:t xml:space="preserve">Estadísticas del Sistema de Pagos Interbancarios (SPI) – Resumen de operaciones 2022. </w:t>
      </w:r>
      <w:r>
        <w:rPr>
          <w:rFonts w:ascii="Times New Roman" w:cs="Times New Roman" w:eastAsia="Times New Roman" w:hAnsi="Times New Roman"/>
          <w:sz w:val="24"/>
          <w:szCs w:val="24"/>
        </w:rPr>
        <w:t xml:space="preserve">Recuperado de </w:t>
      </w:r>
      <w:hyperlink w:history="1" r:id="rIdhnfwzrjrs9axxcc7muv78">
        <w:r>
          <w:rPr>
            <w:rStyle w:val="Hyperlink"/>
            <w:rFonts w:ascii="Times New Roman" w:cs="Times New Roman" w:eastAsia="Times New Roman" w:hAnsi="Times New Roman"/>
            <w:color w:val="1155CC"/>
            <w:sz w:val="24"/>
            <w:szCs w:val="24"/>
            <w:u w:val="single"/>
          </w:rPr>
          <w:t xml:space="preserve">bce.fin.ec – Portal oficial del Banco Central del Ecuador</w:t>
        </w:r>
      </w:hyperlink>
    </w:p>
    <w:p>
      <w:pPr>
        <w:spacing w:after="180" w:line="360"/>
        <w:ind w:left="720" w:hanging="720"/>
        <w:jc w:val="both"/>
      </w:pPr>
      <w:r>
        <w:rPr>
          <w:rFonts w:ascii="Times New Roman" w:cs="Times New Roman" w:eastAsia="Times New Roman" w:hAnsi="Times New Roman"/>
          <w:b/>
          <w:bCs/>
          <w:sz w:val="24"/>
          <w:szCs w:val="24"/>
        </w:rPr>
        <w:t xml:space="preserve">Banco Interamericano de Desarrollo [BID]. (2022). </w:t>
      </w:r>
      <w:r>
        <w:rPr>
          <w:rFonts w:ascii="Times New Roman" w:cs="Times New Roman" w:eastAsia="Times New Roman" w:hAnsi="Times New Roman"/>
          <w:i/>
          <w:iCs/>
          <w:sz w:val="24"/>
          <w:szCs w:val="24"/>
        </w:rPr>
        <w:t xml:space="preserve">The 360° on digital transformation in firms in Latin America and the Caribbean (IDB Monograph 1067). </w:t>
      </w:r>
      <w:r>
        <w:rPr>
          <w:rFonts w:ascii="Times New Roman" w:cs="Times New Roman" w:eastAsia="Times New Roman" w:hAnsi="Times New Roman"/>
          <w:sz w:val="24"/>
          <w:szCs w:val="24"/>
        </w:rPr>
        <w:t xml:space="preserve">Recuperado de </w:t>
      </w:r>
      <w:hyperlink w:history="1" r:id="rIdktfixmw8uvdrghnqofv5g">
        <w:r>
          <w:rPr>
            <w:rStyle w:val="Hyperlink"/>
            <w:rFonts w:ascii="Times New Roman" w:cs="Times New Roman" w:eastAsia="Times New Roman" w:hAnsi="Times New Roman"/>
            <w:color w:val="1155CC"/>
            <w:sz w:val="24"/>
            <w:szCs w:val="24"/>
            <w:u w:val="single"/>
          </w:rPr>
          <w:t xml:space="preserve">publications.iadb.org – IDB Monograph 1067</w:t>
        </w:r>
      </w:hyperlink>
    </w:p>
    <w:p>
      <w:pPr>
        <w:spacing w:after="180" w:line="360"/>
        <w:ind w:left="720" w:hanging="720"/>
        <w:jc w:val="both"/>
      </w:pPr>
      <w:r>
        <w:rPr>
          <w:rFonts w:ascii="Times New Roman" w:cs="Times New Roman" w:eastAsia="Times New Roman" w:hAnsi="Times New Roman"/>
          <w:b/>
          <w:bCs/>
          <w:sz w:val="24"/>
          <w:szCs w:val="24"/>
        </w:rPr>
        <w:t xml:space="preserve">Brooke, J. (1996). </w:t>
      </w:r>
      <w:r>
        <w:rPr>
          <w:rFonts w:ascii="Times New Roman" w:cs="Times New Roman" w:eastAsia="Times New Roman" w:hAnsi="Times New Roman"/>
          <w:i/>
          <w:iCs/>
          <w:sz w:val="24"/>
          <w:szCs w:val="24"/>
        </w:rPr>
        <w:t xml:space="preserve">SUS: A quick and dirty usability scale. En P. W. Jordan, B. Thomas, B. A. Weerdmeester, &amp; I. L. McClelland (Eds.), Usability Evaluation in Industry (pp. 189–194). Taylor &amp; Francis. </w:t>
      </w:r>
      <w:r>
        <w:rPr>
          <w:rFonts w:ascii="Times New Roman" w:cs="Times New Roman" w:eastAsia="Times New Roman" w:hAnsi="Times New Roman"/>
          <w:sz w:val="24"/>
          <w:szCs w:val="24"/>
        </w:rPr>
        <w:t xml:space="preserve">Recuperado de </w:t>
      </w:r>
      <w:hyperlink w:history="1" r:id="rIdvur4mmmhgrwxbp2zxkoq1">
        <w:r>
          <w:rPr>
            <w:rStyle w:val="Hyperlink"/>
            <w:rFonts w:ascii="Times New Roman" w:cs="Times New Roman" w:eastAsia="Times New Roman" w:hAnsi="Times New Roman"/>
            <w:color w:val="1155CC"/>
            <w:sz w:val="24"/>
            <w:szCs w:val="24"/>
            <w:u w:val="single"/>
          </w:rPr>
          <w:t xml:space="preserve">tandfonline.com – SUS scale reference</w:t>
        </w:r>
      </w:hyperlink>
    </w:p>
    <w:p>
      <w:pPr>
        <w:spacing w:after="180" w:line="360"/>
        <w:ind w:left="720" w:hanging="720"/>
        <w:jc w:val="both"/>
      </w:pPr>
      <w:r>
        <w:rPr>
          <w:rFonts w:ascii="Times New Roman" w:cs="Times New Roman" w:eastAsia="Times New Roman" w:hAnsi="Times New Roman"/>
          <w:b/>
          <w:bCs/>
          <w:sz w:val="24"/>
          <w:szCs w:val="24"/>
        </w:rPr>
        <w:t xml:space="preserve">Bustamante Morales, M. A., &amp; Guerrero Castro, D. A. (2023). </w:t>
      </w:r>
      <w:r>
        <w:rPr>
          <w:rFonts w:ascii="Times New Roman" w:cs="Times New Roman" w:eastAsia="Times New Roman" w:hAnsi="Times New Roman"/>
          <w:i/>
          <w:iCs/>
          <w:sz w:val="24"/>
          <w:szCs w:val="24"/>
        </w:rPr>
        <w:t xml:space="preserve">Desarrollo de un sistema web con Laravel y React para la gestión administrativa de organizaciones deportivas. Repositorio Institucional PUCE. </w:t>
      </w:r>
      <w:r>
        <w:rPr>
          <w:rFonts w:ascii="Times New Roman" w:cs="Times New Roman" w:eastAsia="Times New Roman" w:hAnsi="Times New Roman"/>
          <w:sz w:val="24"/>
          <w:szCs w:val="24"/>
        </w:rPr>
        <w:t xml:space="preserve">Recuperado de </w:t>
      </w:r>
      <w:hyperlink w:history="1" r:id="rIdm9rltgduzefnbg4iivtry">
        <w:r>
          <w:rPr>
            <w:rStyle w:val="Hyperlink"/>
            <w:rFonts w:ascii="Times New Roman" w:cs="Times New Roman" w:eastAsia="Times New Roman" w:hAnsi="Times New Roman"/>
            <w:color w:val="1155CC"/>
            <w:sz w:val="24"/>
            <w:szCs w:val="24"/>
            <w:u w:val="single"/>
          </w:rPr>
          <w:t xml:space="preserve">repositorio.puce.edu.ec – Tesis PUCE 2024 (Sam-Gym)</w:t>
        </w:r>
      </w:hyperlink>
    </w:p>
    <w:p>
      <w:pPr>
        <w:spacing w:after="180" w:line="360"/>
        <w:ind w:left="720" w:hanging="720"/>
        <w:jc w:val="both"/>
      </w:pPr>
      <w:r>
        <w:rPr>
          <w:rFonts w:ascii="Times New Roman" w:cs="Times New Roman" w:eastAsia="Times New Roman" w:hAnsi="Times New Roman"/>
          <w:b/>
          <w:bCs/>
          <w:sz w:val="24"/>
          <w:szCs w:val="24"/>
        </w:rPr>
        <w:t xml:space="preserve">Cáceres Morejón, A. P., Delgado Troya, O., &amp; Pérez Reyes, E. M. (2023). </w:t>
      </w:r>
      <w:r>
        <w:rPr>
          <w:rFonts w:ascii="Times New Roman" w:cs="Times New Roman" w:eastAsia="Times New Roman" w:hAnsi="Times New Roman"/>
          <w:i/>
          <w:iCs/>
          <w:sz w:val="24"/>
          <w:szCs w:val="24"/>
        </w:rPr>
        <w:t xml:space="preserve">Diseño centrado en el usuario aplicado al desarrollo de aplicaciones móviles de servicios. Ciencia Latina Revista Científica Multidisciplinar, 7(2), 4102–4120. </w:t>
      </w:r>
      <w:r>
        <w:rPr>
          <w:rFonts w:ascii="Times New Roman" w:cs="Times New Roman" w:eastAsia="Times New Roman" w:hAnsi="Times New Roman"/>
          <w:sz w:val="24"/>
          <w:szCs w:val="24"/>
        </w:rPr>
        <w:t xml:space="preserve">Recuperado de </w:t>
      </w:r>
      <w:hyperlink w:history="1" r:id="rIdiagzxpjdwxc8bi1oi2pa1">
        <w:r>
          <w:rPr>
            <w:rStyle w:val="Hyperlink"/>
            <w:rFonts w:ascii="Times New Roman" w:cs="Times New Roman" w:eastAsia="Times New Roman" w:hAnsi="Times New Roman"/>
            <w:color w:val="1155CC"/>
            <w:sz w:val="24"/>
            <w:szCs w:val="24"/>
            <w:u w:val="single"/>
          </w:rPr>
          <w:t xml:space="preserve">ciencialatina.org – Artículo sobre DCU y apps móviles</w:t>
        </w:r>
      </w:hyperlink>
    </w:p>
    <w:p>
      <w:pPr>
        <w:spacing w:after="180" w:line="360"/>
        <w:ind w:left="720" w:hanging="720"/>
        <w:jc w:val="both"/>
      </w:pPr>
      <w:r>
        <w:rPr>
          <w:rFonts w:ascii="Times New Roman" w:cs="Times New Roman" w:eastAsia="Times New Roman" w:hAnsi="Times New Roman"/>
          <w:b/>
          <w:bCs/>
          <w:sz w:val="24"/>
          <w:szCs w:val="24"/>
        </w:rPr>
        <w:t xml:space="preserve">Comisión Económica para América Latina y el Caribe [CEPAL]. (2021). </w:t>
      </w:r>
      <w:r>
        <w:rPr>
          <w:rFonts w:ascii="Times New Roman" w:cs="Times New Roman" w:eastAsia="Times New Roman" w:hAnsi="Times New Roman"/>
          <w:i/>
          <w:iCs/>
          <w:sz w:val="24"/>
          <w:szCs w:val="24"/>
        </w:rPr>
        <w:t xml:space="preserve">Transformación digital de las mipymes: elementos para el diseño de políticas. Naciones Unidas. (LC/TS.2021/99). </w:t>
      </w:r>
      <w:r>
        <w:rPr>
          <w:rFonts w:ascii="Times New Roman" w:cs="Times New Roman" w:eastAsia="Times New Roman" w:hAnsi="Times New Roman"/>
          <w:sz w:val="24"/>
          <w:szCs w:val="24"/>
        </w:rPr>
        <w:t xml:space="preserve">Recuperado de </w:t>
      </w:r>
      <w:hyperlink w:history="1" r:id="rIdpuog1rxqulxde2wlhcme9">
        <w:r>
          <w:rPr>
            <w:rStyle w:val="Hyperlink"/>
            <w:rFonts w:ascii="Times New Roman" w:cs="Times New Roman" w:eastAsia="Times New Roman" w:hAnsi="Times New Roman"/>
            <w:color w:val="1155CC"/>
            <w:sz w:val="24"/>
            <w:szCs w:val="24"/>
            <w:u w:val="single"/>
          </w:rPr>
          <w:t xml:space="preserve">repositorio.cepal.org – Informe LC/TS.2021/99</w:t>
        </w:r>
      </w:hyperlink>
    </w:p>
    <w:p>
      <w:pPr>
        <w:spacing w:after="180" w:line="360"/>
        <w:ind w:left="720" w:hanging="720"/>
        <w:jc w:val="both"/>
      </w:pPr>
      <w:r>
        <w:rPr>
          <w:rFonts w:ascii="Times New Roman" w:cs="Times New Roman" w:eastAsia="Times New Roman" w:hAnsi="Times New Roman"/>
          <w:b/>
          <w:bCs/>
          <w:sz w:val="24"/>
          <w:szCs w:val="24"/>
        </w:rPr>
        <w:t xml:space="preserve">Codd, E. F. (1970). </w:t>
      </w:r>
      <w:r>
        <w:rPr>
          <w:rFonts w:ascii="Times New Roman" w:cs="Times New Roman" w:eastAsia="Times New Roman" w:hAnsi="Times New Roman"/>
          <w:i/>
          <w:iCs/>
          <w:sz w:val="24"/>
          <w:szCs w:val="24"/>
        </w:rPr>
        <w:t xml:space="preserve">A relational model of data for large shared data banks. Communications of the ACM, 13(6), 377–387. </w:t>
      </w:r>
      <w:r>
        <w:rPr>
          <w:rFonts w:ascii="Times New Roman" w:cs="Times New Roman" w:eastAsia="Times New Roman" w:hAnsi="Times New Roman"/>
          <w:sz w:val="24"/>
          <w:szCs w:val="24"/>
        </w:rPr>
        <w:t xml:space="preserve">Recuperado de </w:t>
      </w:r>
      <w:hyperlink w:history="1" r:id="rIddlcwdrxkkwt_aluhimn5r">
        <w:r>
          <w:rPr>
            <w:rStyle w:val="Hyperlink"/>
            <w:rFonts w:ascii="Times New Roman" w:cs="Times New Roman" w:eastAsia="Times New Roman" w:hAnsi="Times New Roman"/>
            <w:color w:val="1155CC"/>
            <w:sz w:val="24"/>
            <w:szCs w:val="24"/>
            <w:u w:val="single"/>
          </w:rPr>
          <w:t xml:space="preserve">dl.acm.org – ACM Digital Library</w:t>
        </w:r>
      </w:hyperlink>
    </w:p>
    <w:p>
      <w:pPr>
        <w:spacing w:after="180" w:line="360"/>
        <w:ind w:left="720" w:hanging="720"/>
        <w:jc w:val="both"/>
      </w:pPr>
      <w:r>
        <w:rPr>
          <w:rFonts w:ascii="Times New Roman" w:cs="Times New Roman" w:eastAsia="Times New Roman" w:hAnsi="Times New Roman"/>
          <w:b/>
          <w:bCs/>
          <w:sz w:val="24"/>
          <w:szCs w:val="24"/>
        </w:rPr>
        <w:t xml:space="preserve">Expo. (2024). </w:t>
      </w:r>
      <w:r>
        <w:rPr>
          <w:rFonts w:ascii="Times New Roman" w:cs="Times New Roman" w:eastAsia="Times New Roman" w:hAnsi="Times New Roman"/>
          <w:i/>
          <w:iCs/>
          <w:sz w:val="24"/>
          <w:szCs w:val="24"/>
        </w:rPr>
        <w:t xml:space="preserve">Expo Documentation: Build cross-platform apps with React Native. </w:t>
      </w:r>
      <w:r>
        <w:rPr>
          <w:rFonts w:ascii="Times New Roman" w:cs="Times New Roman" w:eastAsia="Times New Roman" w:hAnsi="Times New Roman"/>
          <w:sz w:val="24"/>
          <w:szCs w:val="24"/>
        </w:rPr>
        <w:t xml:space="preserve">Recuperado de </w:t>
      </w:r>
      <w:hyperlink w:history="1" r:id="rId-r9fhrimfwup4hmtchrn_">
        <w:r>
          <w:rPr>
            <w:rStyle w:val="Hyperlink"/>
            <w:rFonts w:ascii="Times New Roman" w:cs="Times New Roman" w:eastAsia="Times New Roman" w:hAnsi="Times New Roman"/>
            <w:color w:val="1155CC"/>
            <w:sz w:val="24"/>
            <w:szCs w:val="24"/>
            <w:u w:val="single"/>
          </w:rPr>
          <w:t xml:space="preserve">docs.expo.dev – Documentación oficial de Expo</w:t>
        </w:r>
      </w:hyperlink>
    </w:p>
    <w:p>
      <w:pPr>
        <w:spacing w:after="180" w:line="360"/>
        <w:ind w:left="720" w:hanging="720"/>
        <w:jc w:val="both"/>
      </w:pPr>
      <w:r>
        <w:rPr>
          <w:rFonts w:ascii="Times New Roman" w:cs="Times New Roman" w:eastAsia="Times New Roman" w:hAnsi="Times New Roman"/>
          <w:b/>
          <w:bCs/>
          <w:sz w:val="24"/>
          <w:szCs w:val="24"/>
        </w:rPr>
        <w:t xml:space="preserve">Fielding, R. T. (2000). </w:t>
      </w:r>
      <w:r>
        <w:rPr>
          <w:rFonts w:ascii="Times New Roman" w:cs="Times New Roman" w:eastAsia="Times New Roman" w:hAnsi="Times New Roman"/>
          <w:i/>
          <w:iCs/>
          <w:sz w:val="24"/>
          <w:szCs w:val="24"/>
        </w:rPr>
        <w:t xml:space="preserve">Architectural Styles and the Design of Network-based Software Architectures. (Disertación doctoral, University of California, Irvine). </w:t>
      </w:r>
      <w:r>
        <w:rPr>
          <w:rFonts w:ascii="Times New Roman" w:cs="Times New Roman" w:eastAsia="Times New Roman" w:hAnsi="Times New Roman"/>
          <w:sz w:val="24"/>
          <w:szCs w:val="24"/>
        </w:rPr>
        <w:t xml:space="preserve">Recuperado de </w:t>
      </w:r>
      <w:hyperlink w:history="1" r:id="rIdjkue8fznnoxrfjpbjbcxl">
        <w:r>
          <w:rPr>
            <w:rStyle w:val="Hyperlink"/>
            <w:rFonts w:ascii="Times New Roman" w:cs="Times New Roman" w:eastAsia="Times New Roman" w:hAnsi="Times New Roman"/>
            <w:color w:val="1155CC"/>
            <w:sz w:val="24"/>
            <w:szCs w:val="24"/>
            <w:u w:val="single"/>
          </w:rPr>
          <w:t xml:space="preserve">ics.uci.edu – Disertación doctoral de Fielding (REST)</w:t>
        </w:r>
      </w:hyperlink>
    </w:p>
    <w:p>
      <w:pPr>
        <w:spacing w:after="180" w:line="360"/>
        <w:ind w:left="720" w:hanging="720"/>
        <w:jc w:val="both"/>
      </w:pPr>
      <w:r>
        <w:rPr>
          <w:rFonts w:ascii="Times New Roman" w:cs="Times New Roman" w:eastAsia="Times New Roman" w:hAnsi="Times New Roman"/>
          <w:b/>
          <w:bCs/>
          <w:sz w:val="24"/>
          <w:szCs w:val="24"/>
        </w:rPr>
        <w:t xml:space="preserve">Gray, J., &amp; Reuter, A. (1992). </w:t>
      </w:r>
      <w:r>
        <w:rPr>
          <w:rFonts w:ascii="Times New Roman" w:cs="Times New Roman" w:eastAsia="Times New Roman" w:hAnsi="Times New Roman"/>
          <w:i/>
          <w:iCs/>
          <w:sz w:val="24"/>
          <w:szCs w:val="24"/>
        </w:rPr>
        <w:t xml:space="preserve">Transaction Processing: Concepts and Techniques. Morgan Kaufmann. </w:t>
      </w:r>
      <w:r>
        <w:rPr>
          <w:rFonts w:ascii="Times New Roman" w:cs="Times New Roman" w:eastAsia="Times New Roman" w:hAnsi="Times New Roman"/>
          <w:sz w:val="24"/>
          <w:szCs w:val="24"/>
        </w:rPr>
        <w:t xml:space="preserve">Recuperado de </w:t>
      </w:r>
      <w:hyperlink w:history="1" r:id="rIdj-xshcn7devqmuywx5zkx">
        <w:r>
          <w:rPr>
            <w:rStyle w:val="Hyperlink"/>
            <w:rFonts w:ascii="Times New Roman" w:cs="Times New Roman" w:eastAsia="Times New Roman" w:hAnsi="Times New Roman"/>
            <w:color w:val="1155CC"/>
            <w:sz w:val="24"/>
            <w:szCs w:val="24"/>
            <w:u w:val="single"/>
          </w:rPr>
          <w:t xml:space="preserve">sciencedirect.com – Transaction Processing (Gray &amp; Reuter)</w:t>
        </w:r>
      </w:hyperlink>
    </w:p>
    <w:p>
      <w:pPr>
        <w:spacing w:after="180" w:line="360"/>
        <w:ind w:left="720" w:hanging="720"/>
        <w:jc w:val="both"/>
      </w:pPr>
      <w:r>
        <w:rPr>
          <w:rFonts w:ascii="Times New Roman" w:cs="Times New Roman" w:eastAsia="Times New Roman" w:hAnsi="Times New Roman"/>
          <w:b/>
          <w:bCs/>
          <w:sz w:val="24"/>
          <w:szCs w:val="24"/>
        </w:rPr>
        <w:t xml:space="preserve">Hernández Contla, J. L., Ramírez Fuentes, J. A., &amp; Torres Martínez, G. (2021). </w:t>
      </w:r>
      <w:r>
        <w:rPr>
          <w:rFonts w:ascii="Times New Roman" w:cs="Times New Roman" w:eastAsia="Times New Roman" w:hAnsi="Times New Roman"/>
          <w:i/>
          <w:iCs/>
          <w:sz w:val="24"/>
          <w:szCs w:val="24"/>
        </w:rPr>
        <w:t xml:space="preserve">Comparativa de frameworks PHP: Laravel, Symfony y CodeIgniter para el desarrollo de APIs REST. Revista Tecnología e Innovación, 8(29), 1–15. </w:t>
      </w:r>
      <w:r>
        <w:rPr>
          <w:rFonts w:ascii="Times New Roman" w:cs="Times New Roman" w:eastAsia="Times New Roman" w:hAnsi="Times New Roman"/>
          <w:sz w:val="24"/>
          <w:szCs w:val="24"/>
        </w:rPr>
        <w:t xml:space="preserve">Recuperado de </w:t>
      </w:r>
      <w:hyperlink w:history="1" r:id="rIdptfs91gsytx-iuyxnia_w">
        <w:r>
          <w:rPr>
            <w:rStyle w:val="Hyperlink"/>
            <w:rFonts w:ascii="Times New Roman" w:cs="Times New Roman" w:eastAsia="Times New Roman" w:hAnsi="Times New Roman"/>
            <w:color w:val="1155CC"/>
            <w:sz w:val="24"/>
            <w:szCs w:val="24"/>
            <w:u w:val="single"/>
          </w:rPr>
          <w:t xml:space="preserve">tectzapic.tecnm.mx – Revista TyI, comparativa Laravel</w:t>
        </w:r>
      </w:hyperlink>
    </w:p>
    <w:p>
      <w:pPr>
        <w:spacing w:after="180" w:line="360"/>
        <w:ind w:left="720" w:hanging="720"/>
        <w:jc w:val="both"/>
      </w:pPr>
      <w:r>
        <w:rPr>
          <w:rFonts w:ascii="Times New Roman" w:cs="Times New Roman" w:eastAsia="Times New Roman" w:hAnsi="Times New Roman"/>
          <w:b/>
          <w:bCs/>
          <w:sz w:val="24"/>
          <w:szCs w:val="24"/>
        </w:rPr>
        <w:t xml:space="preserve">IEEE. (2017). </w:t>
      </w:r>
      <w:r>
        <w:rPr>
          <w:rFonts w:ascii="Times New Roman" w:cs="Times New Roman" w:eastAsia="Times New Roman" w:hAnsi="Times New Roman"/>
          <w:i/>
          <w:iCs/>
          <w:sz w:val="24"/>
          <w:szCs w:val="24"/>
        </w:rPr>
        <w:t xml:space="preserve">IEEE/ISO/IEC 12207-2017. Systems and software engineering — Software life cycle processes. </w:t>
      </w:r>
      <w:r>
        <w:rPr>
          <w:rFonts w:ascii="Times New Roman" w:cs="Times New Roman" w:eastAsia="Times New Roman" w:hAnsi="Times New Roman"/>
          <w:sz w:val="24"/>
          <w:szCs w:val="24"/>
        </w:rPr>
        <w:t xml:space="preserve">Recuperado de </w:t>
      </w:r>
      <w:hyperlink w:history="1" r:id="rId1tx5hoighqgnuc17fpktk">
        <w:r>
          <w:rPr>
            <w:rStyle w:val="Hyperlink"/>
            <w:rFonts w:ascii="Times New Roman" w:cs="Times New Roman" w:eastAsia="Times New Roman" w:hAnsi="Times New Roman"/>
            <w:color w:val="1155CC"/>
            <w:sz w:val="24"/>
            <w:szCs w:val="24"/>
            <w:u w:val="single"/>
          </w:rPr>
          <w:t xml:space="preserve">ieeexplore.ieee.org – IEEE 12207</w:t>
        </w:r>
      </w:hyperlink>
    </w:p>
    <w:p>
      <w:pPr>
        <w:spacing w:after="180" w:line="360"/>
        <w:ind w:left="720" w:hanging="720"/>
        <w:jc w:val="both"/>
      </w:pPr>
      <w:r>
        <w:rPr>
          <w:rFonts w:ascii="Times New Roman" w:cs="Times New Roman" w:eastAsia="Times New Roman" w:hAnsi="Times New Roman"/>
          <w:b/>
          <w:bCs/>
          <w:sz w:val="24"/>
          <w:szCs w:val="24"/>
        </w:rPr>
        <w:t xml:space="preserve">International Organization for Standardization [ISO]. (2018). </w:t>
      </w:r>
      <w:r>
        <w:rPr>
          <w:rFonts w:ascii="Times New Roman" w:cs="Times New Roman" w:eastAsia="Times New Roman" w:hAnsi="Times New Roman"/>
          <w:i/>
          <w:iCs/>
          <w:sz w:val="24"/>
          <w:szCs w:val="24"/>
        </w:rPr>
        <w:t xml:space="preserve">ISO 9241-11:2018. Ergonomics of human-system interaction — Part 11: Usability: Definitions and concepts. </w:t>
      </w:r>
      <w:r>
        <w:rPr>
          <w:rFonts w:ascii="Times New Roman" w:cs="Times New Roman" w:eastAsia="Times New Roman" w:hAnsi="Times New Roman"/>
          <w:sz w:val="24"/>
          <w:szCs w:val="24"/>
        </w:rPr>
        <w:t xml:space="preserve">Recuperado de </w:t>
      </w:r>
      <w:hyperlink w:history="1" r:id="rIdfekwarwylfe4tqozssx4d">
        <w:r>
          <w:rPr>
            <w:rStyle w:val="Hyperlink"/>
            <w:rFonts w:ascii="Times New Roman" w:cs="Times New Roman" w:eastAsia="Times New Roman" w:hAnsi="Times New Roman"/>
            <w:color w:val="1155CC"/>
            <w:sz w:val="24"/>
            <w:szCs w:val="24"/>
            <w:u w:val="single"/>
          </w:rPr>
          <w:t xml:space="preserve">iso.org – Ficha oficial ISO 9241-11:2018</w:t>
        </w:r>
      </w:hyperlink>
    </w:p>
    <w:p>
      <w:pPr>
        <w:spacing w:after="180" w:line="360"/>
        <w:ind w:left="720" w:hanging="720"/>
        <w:jc w:val="both"/>
      </w:pPr>
      <w:r>
        <w:rPr>
          <w:rFonts w:ascii="Times New Roman" w:cs="Times New Roman" w:eastAsia="Times New Roman" w:hAnsi="Times New Roman"/>
          <w:b/>
          <w:bCs/>
          <w:sz w:val="24"/>
          <w:szCs w:val="24"/>
        </w:rPr>
        <w:t xml:space="preserve">International Organization for Standardization [ISO]. (2019). </w:t>
      </w:r>
      <w:r>
        <w:rPr>
          <w:rFonts w:ascii="Times New Roman" w:cs="Times New Roman" w:eastAsia="Times New Roman" w:hAnsi="Times New Roman"/>
          <w:i/>
          <w:iCs/>
          <w:sz w:val="24"/>
          <w:szCs w:val="24"/>
        </w:rPr>
        <w:t xml:space="preserve">ISO 9241-210:2019. Ergonomics of human-system interaction — Part 210: Human-centred design for interactive systems. </w:t>
      </w:r>
      <w:r>
        <w:rPr>
          <w:rFonts w:ascii="Times New Roman" w:cs="Times New Roman" w:eastAsia="Times New Roman" w:hAnsi="Times New Roman"/>
          <w:sz w:val="24"/>
          <w:szCs w:val="24"/>
        </w:rPr>
        <w:t xml:space="preserve">Recuperado de </w:t>
      </w:r>
      <w:hyperlink w:history="1" r:id="rIdqbkfaqql_hlwuy4sxiu6-">
        <w:r>
          <w:rPr>
            <w:rStyle w:val="Hyperlink"/>
            <w:rFonts w:ascii="Times New Roman" w:cs="Times New Roman" w:eastAsia="Times New Roman" w:hAnsi="Times New Roman"/>
            <w:color w:val="1155CC"/>
            <w:sz w:val="24"/>
            <w:szCs w:val="24"/>
            <w:u w:val="single"/>
          </w:rPr>
          <w:t xml:space="preserve">iso.org – Ficha oficial ISO 9241-210:2019</w:t>
        </w:r>
      </w:hyperlink>
    </w:p>
    <w:p>
      <w:pPr>
        <w:spacing w:after="180" w:line="360"/>
        <w:ind w:left="720" w:hanging="720"/>
        <w:jc w:val="both"/>
      </w:pPr>
      <w:r>
        <w:rPr>
          <w:rFonts w:ascii="Times New Roman" w:cs="Times New Roman" w:eastAsia="Times New Roman" w:hAnsi="Times New Roman"/>
          <w:b/>
          <w:bCs/>
          <w:sz w:val="24"/>
          <w:szCs w:val="24"/>
        </w:rPr>
        <w:t xml:space="preserve">Laravel. (2024). </w:t>
      </w:r>
      <w:r>
        <w:rPr>
          <w:rFonts w:ascii="Times New Roman" w:cs="Times New Roman" w:eastAsia="Times New Roman" w:hAnsi="Times New Roman"/>
          <w:i/>
          <w:iCs/>
          <w:sz w:val="24"/>
          <w:szCs w:val="24"/>
        </w:rPr>
        <w:t xml:space="preserve">Laravel 12.x Documentation: The PHP Framework for Web Artisans. </w:t>
      </w:r>
      <w:r>
        <w:rPr>
          <w:rFonts w:ascii="Times New Roman" w:cs="Times New Roman" w:eastAsia="Times New Roman" w:hAnsi="Times New Roman"/>
          <w:sz w:val="24"/>
          <w:szCs w:val="24"/>
        </w:rPr>
        <w:t xml:space="preserve">Recuperado de </w:t>
      </w:r>
      <w:hyperlink w:history="1" r:id="rIdjdsc-ie_rimw3awzhym-l">
        <w:r>
          <w:rPr>
            <w:rStyle w:val="Hyperlink"/>
            <w:rFonts w:ascii="Times New Roman" w:cs="Times New Roman" w:eastAsia="Times New Roman" w:hAnsi="Times New Roman"/>
            <w:color w:val="1155CC"/>
            <w:sz w:val="24"/>
            <w:szCs w:val="24"/>
            <w:u w:val="single"/>
          </w:rPr>
          <w:t xml:space="preserve">laravel.com/docs – Documentación oficial Laravel 12</w:t>
        </w:r>
      </w:hyperlink>
    </w:p>
    <w:p>
      <w:pPr>
        <w:spacing w:after="180" w:line="360"/>
        <w:ind w:left="720" w:hanging="720"/>
        <w:jc w:val="both"/>
      </w:pPr>
      <w:r>
        <w:rPr>
          <w:rFonts w:ascii="Times New Roman" w:cs="Times New Roman" w:eastAsia="Times New Roman" w:hAnsi="Times New Roman"/>
          <w:b/>
          <w:bCs/>
          <w:sz w:val="24"/>
          <w:szCs w:val="24"/>
        </w:rPr>
        <w:t xml:space="preserve">Mercado Fitness. (2023). </w:t>
      </w:r>
      <w:r>
        <w:rPr>
          <w:rFonts w:ascii="Times New Roman" w:cs="Times New Roman" w:eastAsia="Times New Roman" w:hAnsi="Times New Roman"/>
          <w:i/>
          <w:iCs/>
          <w:sz w:val="24"/>
          <w:szCs w:val="24"/>
        </w:rPr>
        <w:t xml:space="preserve">El 70% de los gimnasios aún no usa tecnología para gestionar su negocio. </w:t>
      </w:r>
      <w:r>
        <w:rPr>
          <w:rFonts w:ascii="Times New Roman" w:cs="Times New Roman" w:eastAsia="Times New Roman" w:hAnsi="Times New Roman"/>
          <w:sz w:val="24"/>
          <w:szCs w:val="24"/>
        </w:rPr>
        <w:t xml:space="preserve">Recuperado de </w:t>
      </w:r>
      <w:hyperlink w:history="1" r:id="rIdvzva6celvca9eftbsg5mh">
        <w:r>
          <w:rPr>
            <w:rStyle w:val="Hyperlink"/>
            <w:rFonts w:ascii="Times New Roman" w:cs="Times New Roman" w:eastAsia="Times New Roman" w:hAnsi="Times New Roman"/>
            <w:color w:val="1155CC"/>
            <w:sz w:val="24"/>
            <w:szCs w:val="24"/>
            <w:u w:val="single"/>
          </w:rPr>
          <w:t xml:space="preserve">mercadofitness.com – Sección de Gestión</w:t>
        </w:r>
      </w:hyperlink>
    </w:p>
    <w:p>
      <w:pPr>
        <w:spacing w:after="180" w:line="360"/>
        <w:ind w:left="720" w:hanging="720"/>
        <w:jc w:val="both"/>
      </w:pPr>
      <w:r>
        <w:rPr>
          <w:rFonts w:ascii="Times New Roman" w:cs="Times New Roman" w:eastAsia="Times New Roman" w:hAnsi="Times New Roman"/>
          <w:b/>
          <w:bCs/>
          <w:sz w:val="24"/>
          <w:szCs w:val="24"/>
        </w:rPr>
        <w:t xml:space="preserve">Meta. (2024a). </w:t>
      </w:r>
      <w:r>
        <w:rPr>
          <w:rFonts w:ascii="Times New Roman" w:cs="Times New Roman" w:eastAsia="Times New Roman" w:hAnsi="Times New Roman"/>
          <w:i/>
          <w:iCs/>
          <w:sz w:val="24"/>
          <w:szCs w:val="24"/>
        </w:rPr>
        <w:t xml:space="preserve">React Native Documentation: Learn once, write anywhere. </w:t>
      </w:r>
      <w:r>
        <w:rPr>
          <w:rFonts w:ascii="Times New Roman" w:cs="Times New Roman" w:eastAsia="Times New Roman" w:hAnsi="Times New Roman"/>
          <w:sz w:val="24"/>
          <w:szCs w:val="24"/>
        </w:rPr>
        <w:t xml:space="preserve">Recuperado de </w:t>
      </w:r>
      <w:hyperlink w:history="1" r:id="rIdi2knofu9d5g55ynixhsvp">
        <w:r>
          <w:rPr>
            <w:rStyle w:val="Hyperlink"/>
            <w:rFonts w:ascii="Times New Roman" w:cs="Times New Roman" w:eastAsia="Times New Roman" w:hAnsi="Times New Roman"/>
            <w:color w:val="1155CC"/>
            <w:sz w:val="24"/>
            <w:szCs w:val="24"/>
            <w:u w:val="single"/>
          </w:rPr>
          <w:t xml:space="preserve">reactnative.dev – Documentación oficial React Native</w:t>
        </w:r>
      </w:hyperlink>
    </w:p>
    <w:p>
      <w:pPr>
        <w:spacing w:after="180" w:line="360"/>
        <w:ind w:left="720" w:hanging="720"/>
        <w:jc w:val="both"/>
      </w:pPr>
      <w:r>
        <w:rPr>
          <w:rFonts w:ascii="Times New Roman" w:cs="Times New Roman" w:eastAsia="Times New Roman" w:hAnsi="Times New Roman"/>
          <w:b/>
          <w:bCs/>
          <w:sz w:val="24"/>
          <w:szCs w:val="24"/>
        </w:rPr>
        <w:t xml:space="preserve">Meta. (2024b). </w:t>
      </w:r>
      <w:r>
        <w:rPr>
          <w:rFonts w:ascii="Times New Roman" w:cs="Times New Roman" w:eastAsia="Times New Roman" w:hAnsi="Times New Roman"/>
          <w:i/>
          <w:iCs/>
          <w:sz w:val="24"/>
          <w:szCs w:val="24"/>
        </w:rPr>
        <w:t xml:space="preserve">React Documentation: The library for web and native user interfaces. </w:t>
      </w:r>
      <w:r>
        <w:rPr>
          <w:rFonts w:ascii="Times New Roman" w:cs="Times New Roman" w:eastAsia="Times New Roman" w:hAnsi="Times New Roman"/>
          <w:sz w:val="24"/>
          <w:szCs w:val="24"/>
        </w:rPr>
        <w:t xml:space="preserve">Recuperado de </w:t>
      </w:r>
      <w:hyperlink w:history="1" r:id="rIdrwh0auqd8gvexij7j1-is">
        <w:r>
          <w:rPr>
            <w:rStyle w:val="Hyperlink"/>
            <w:rFonts w:ascii="Times New Roman" w:cs="Times New Roman" w:eastAsia="Times New Roman" w:hAnsi="Times New Roman"/>
            <w:color w:val="1155CC"/>
            <w:sz w:val="24"/>
            <w:szCs w:val="24"/>
            <w:u w:val="single"/>
          </w:rPr>
          <w:t xml:space="preserve">react.dev – Documentación oficial React</w:t>
        </w:r>
      </w:hyperlink>
    </w:p>
    <w:p>
      <w:pPr>
        <w:spacing w:after="180" w:line="360"/>
        <w:ind w:left="720" w:hanging="720"/>
        <w:jc w:val="both"/>
      </w:pPr>
      <w:r>
        <w:rPr>
          <w:rFonts w:ascii="Times New Roman" w:cs="Times New Roman" w:eastAsia="Times New Roman" w:hAnsi="Times New Roman"/>
          <w:b/>
          <w:bCs/>
          <w:sz w:val="24"/>
          <w:szCs w:val="24"/>
        </w:rPr>
        <w:t xml:space="preserve">Mordor Intelligence. (2024). </w:t>
      </w:r>
      <w:r>
        <w:rPr>
          <w:rFonts w:ascii="Times New Roman" w:cs="Times New Roman" w:eastAsia="Times New Roman" w:hAnsi="Times New Roman"/>
          <w:i/>
          <w:iCs/>
          <w:sz w:val="24"/>
          <w:szCs w:val="24"/>
        </w:rPr>
        <w:t xml:space="preserve">South America health and fitness club market — Industry trends &amp; statistics, growth forecasts 2019–2029. </w:t>
      </w:r>
      <w:r>
        <w:rPr>
          <w:rFonts w:ascii="Times New Roman" w:cs="Times New Roman" w:eastAsia="Times New Roman" w:hAnsi="Times New Roman"/>
          <w:sz w:val="24"/>
          <w:szCs w:val="24"/>
        </w:rPr>
        <w:t xml:space="preserve">Recuperado de </w:t>
      </w:r>
      <w:hyperlink w:history="1" r:id="rIdw-5xp2j6oknugrp2xi1lp">
        <w:r>
          <w:rPr>
            <w:rStyle w:val="Hyperlink"/>
            <w:rFonts w:ascii="Times New Roman" w:cs="Times New Roman" w:eastAsia="Times New Roman" w:hAnsi="Times New Roman"/>
            <w:color w:val="1155CC"/>
            <w:sz w:val="24"/>
            <w:szCs w:val="24"/>
            <w:u w:val="single"/>
          </w:rPr>
          <w:t xml:space="preserve">mordorintelligence.com – South America Fitness Market Report</w:t>
        </w:r>
      </w:hyperlink>
    </w:p>
    <w:p>
      <w:pPr>
        <w:spacing w:after="180" w:line="360"/>
        <w:ind w:left="720" w:hanging="720"/>
        <w:jc w:val="both"/>
      </w:pPr>
      <w:r>
        <w:rPr>
          <w:rFonts w:ascii="Times New Roman" w:cs="Times New Roman" w:eastAsia="Times New Roman" w:hAnsi="Times New Roman"/>
          <w:b/>
          <w:bCs/>
          <w:sz w:val="24"/>
          <w:szCs w:val="24"/>
        </w:rPr>
        <w:t xml:space="preserve">MySQL [Oracle Corporation]. (2024). </w:t>
      </w:r>
      <w:r>
        <w:rPr>
          <w:rFonts w:ascii="Times New Roman" w:cs="Times New Roman" w:eastAsia="Times New Roman" w:hAnsi="Times New Roman"/>
          <w:i/>
          <w:iCs/>
          <w:sz w:val="24"/>
          <w:szCs w:val="24"/>
        </w:rPr>
        <w:t xml:space="preserve">MySQL 8.4 Reference Manual: The InnoDB Storage Engine and ACID Model. </w:t>
      </w:r>
      <w:r>
        <w:rPr>
          <w:rFonts w:ascii="Times New Roman" w:cs="Times New Roman" w:eastAsia="Times New Roman" w:hAnsi="Times New Roman"/>
          <w:sz w:val="24"/>
          <w:szCs w:val="24"/>
        </w:rPr>
        <w:t xml:space="preserve">Recuperado de </w:t>
      </w:r>
      <w:hyperlink w:history="1" r:id="rIdgdroyp7sjhhpbfcdyloif">
        <w:r>
          <w:rPr>
            <w:rStyle w:val="Hyperlink"/>
            <w:rFonts w:ascii="Times New Roman" w:cs="Times New Roman" w:eastAsia="Times New Roman" w:hAnsi="Times New Roman"/>
            <w:color w:val="1155CC"/>
            <w:sz w:val="24"/>
            <w:szCs w:val="24"/>
            <w:u w:val="single"/>
          </w:rPr>
          <w:t xml:space="preserve">dev.mysql.com – MySQL 8.4 Reference Manual</w:t>
        </w:r>
      </w:hyperlink>
    </w:p>
    <w:p>
      <w:pPr>
        <w:spacing w:after="180" w:line="360"/>
        <w:ind w:left="720" w:hanging="720"/>
        <w:jc w:val="both"/>
      </w:pPr>
      <w:r>
        <w:rPr>
          <w:rFonts w:ascii="Times New Roman" w:cs="Times New Roman" w:eastAsia="Times New Roman" w:hAnsi="Times New Roman"/>
          <w:b/>
          <w:bCs/>
          <w:sz w:val="24"/>
          <w:szCs w:val="24"/>
        </w:rPr>
        <w:t xml:space="preserve">Norman, D. A. (2013). </w:t>
      </w:r>
      <w:r>
        <w:rPr>
          <w:rFonts w:ascii="Times New Roman" w:cs="Times New Roman" w:eastAsia="Times New Roman" w:hAnsi="Times New Roman"/>
          <w:i/>
          <w:iCs/>
          <w:sz w:val="24"/>
          <w:szCs w:val="24"/>
        </w:rPr>
        <w:t xml:space="preserve">The design of everyday things (Edición revisada y ampliada). Basic Books. </w:t>
      </w:r>
      <w:r>
        <w:rPr>
          <w:rFonts w:ascii="Times New Roman" w:cs="Times New Roman" w:eastAsia="Times New Roman" w:hAnsi="Times New Roman"/>
          <w:sz w:val="24"/>
          <w:szCs w:val="24"/>
        </w:rPr>
        <w:t xml:space="preserve">Recuperado de </w:t>
      </w:r>
      <w:hyperlink w:history="1" r:id="rIdmlaam6i6auaqvixvkmdz2">
        <w:r>
          <w:rPr>
            <w:rStyle w:val="Hyperlink"/>
            <w:rFonts w:ascii="Times New Roman" w:cs="Times New Roman" w:eastAsia="Times New Roman" w:hAnsi="Times New Roman"/>
            <w:color w:val="1155CC"/>
            <w:sz w:val="24"/>
            <w:szCs w:val="24"/>
            <w:u w:val="single"/>
          </w:rPr>
          <w:t xml:space="preserve">basicbooks.com – The Design of Everyday Things</w:t>
        </w:r>
      </w:hyperlink>
    </w:p>
    <w:p>
      <w:pPr>
        <w:spacing w:after="180" w:line="360"/>
        <w:ind w:left="720" w:hanging="720"/>
        <w:jc w:val="both"/>
      </w:pPr>
      <w:r>
        <w:rPr>
          <w:rFonts w:ascii="Times New Roman" w:cs="Times New Roman" w:eastAsia="Times New Roman" w:hAnsi="Times New Roman"/>
          <w:b/>
          <w:bCs/>
          <w:sz w:val="24"/>
          <w:szCs w:val="24"/>
        </w:rPr>
        <w:t xml:space="preserve">Research and Markets. (2024). </w:t>
      </w:r>
      <w:r>
        <w:rPr>
          <w:rFonts w:ascii="Times New Roman" w:cs="Times New Roman" w:eastAsia="Times New Roman" w:hAnsi="Times New Roman"/>
          <w:i/>
          <w:iCs/>
          <w:sz w:val="24"/>
          <w:szCs w:val="24"/>
        </w:rPr>
        <w:t xml:space="preserve">South America health and fitness club market size &amp; share analysis — growth trends &amp; forecasts (2024–2029). </w:t>
      </w:r>
      <w:r>
        <w:rPr>
          <w:rFonts w:ascii="Times New Roman" w:cs="Times New Roman" w:eastAsia="Times New Roman" w:hAnsi="Times New Roman"/>
          <w:sz w:val="24"/>
          <w:szCs w:val="24"/>
        </w:rPr>
        <w:t xml:space="preserve">Recuperado de </w:t>
      </w:r>
      <w:hyperlink w:history="1" r:id="rIda5ab2xqlslmw4dm13v8-s">
        <w:r>
          <w:rPr>
            <w:rStyle w:val="Hyperlink"/>
            <w:rFonts w:ascii="Times New Roman" w:cs="Times New Roman" w:eastAsia="Times New Roman" w:hAnsi="Times New Roman"/>
            <w:color w:val="1155CC"/>
            <w:sz w:val="24"/>
            <w:szCs w:val="24"/>
            <w:u w:val="single"/>
          </w:rPr>
          <w:t xml:space="preserve">researchandmarkets.com – South America Fitness Market</w:t>
        </w:r>
      </w:hyperlink>
    </w:p>
    <w:p>
      <w:pPr>
        <w:spacing w:after="180" w:line="360"/>
        <w:ind w:left="720" w:hanging="720"/>
        <w:jc w:val="both"/>
      </w:pPr>
      <w:r>
        <w:rPr>
          <w:rFonts w:ascii="Times New Roman" w:cs="Times New Roman" w:eastAsia="Times New Roman" w:hAnsi="Times New Roman"/>
          <w:b/>
          <w:bCs/>
          <w:sz w:val="24"/>
          <w:szCs w:val="24"/>
        </w:rPr>
        <w:t xml:space="preserve">Vargas, C., Maestre, D., &amp; Ramírez, J. (2021). </w:t>
      </w:r>
      <w:r>
        <w:rPr>
          <w:rFonts w:ascii="Times New Roman" w:cs="Times New Roman" w:eastAsia="Times New Roman" w:hAnsi="Times New Roman"/>
          <w:i/>
          <w:iCs/>
          <w:sz w:val="24"/>
          <w:szCs w:val="24"/>
        </w:rPr>
        <w:t xml:space="preserve">Análisis comparativo de tecnologías de desarrollo de aplicaciones móviles: nativas, híbridas y multiplataforma. Revista Ibérica de Sistemas e Tecnologias de Informação, (E46), 330–342. </w:t>
      </w:r>
      <w:r>
        <w:rPr>
          <w:rFonts w:ascii="Times New Roman" w:cs="Times New Roman" w:eastAsia="Times New Roman" w:hAnsi="Times New Roman"/>
          <w:sz w:val="24"/>
          <w:szCs w:val="24"/>
        </w:rPr>
        <w:t xml:space="preserve">Recuperado de </w:t>
      </w:r>
      <w:hyperlink w:history="1" r:id="rIdvaytj8c7gud6j03dtes-b">
        <w:r>
          <w:rPr>
            <w:rStyle w:val="Hyperlink"/>
            <w:rFonts w:ascii="Times New Roman" w:cs="Times New Roman" w:eastAsia="Times New Roman" w:hAnsi="Times New Roman"/>
            <w:color w:val="1155CC"/>
            <w:sz w:val="24"/>
            <w:szCs w:val="24"/>
            <w:u w:val="single"/>
          </w:rPr>
          <w:t xml:space="preserve">risti.xyz – RISTI Edición E46 (2021)</w:t>
        </w:r>
      </w:hyperlink>
    </w:p>
    <w:p>
      <w:pPr>
        <w:spacing w:after="180" w:line="360"/>
        <w:ind w:left="720" w:hanging="720"/>
        <w:jc w:val="both"/>
      </w:pPr>
      <w:r>
        <w:rPr>
          <w:rFonts w:ascii="Times New Roman" w:cs="Times New Roman" w:eastAsia="Times New Roman" w:hAnsi="Times New Roman"/>
          <w:b/>
          <w:bCs/>
          <w:sz w:val="24"/>
          <w:szCs w:val="24"/>
        </w:rPr>
        <w:t xml:space="preserve">Vite. (2024). </w:t>
      </w:r>
      <w:r>
        <w:rPr>
          <w:rFonts w:ascii="Times New Roman" w:cs="Times New Roman" w:eastAsia="Times New Roman" w:hAnsi="Times New Roman"/>
          <w:i/>
          <w:iCs/>
          <w:sz w:val="24"/>
          <w:szCs w:val="24"/>
        </w:rPr>
        <w:t xml:space="preserve">Vite: Next Generation Frontend Tooling. Guía oficial. </w:t>
      </w:r>
      <w:r>
        <w:rPr>
          <w:rFonts w:ascii="Times New Roman" w:cs="Times New Roman" w:eastAsia="Times New Roman" w:hAnsi="Times New Roman"/>
          <w:sz w:val="24"/>
          <w:szCs w:val="24"/>
        </w:rPr>
        <w:t xml:space="preserve">Recuperado de </w:t>
      </w:r>
      <w:hyperlink w:history="1" r:id="rIdr7mv6e4zou20mhmdn1izy">
        <w:r>
          <w:rPr>
            <w:rStyle w:val="Hyperlink"/>
            <w:rFonts w:ascii="Times New Roman" w:cs="Times New Roman" w:eastAsia="Times New Roman" w:hAnsi="Times New Roman"/>
            <w:color w:val="1155CC"/>
            <w:sz w:val="24"/>
            <w:szCs w:val="24"/>
            <w:u w:val="single"/>
          </w:rPr>
          <w:t xml:space="preserve">vitejs.dev – Documentación oficial Vite</w:t>
        </w:r>
      </w:hyperlink>
    </w:p>
    <w:p>
      <w:pPr>
        <w:spacing w:after="60"/>
      </w:pPr>
      <w:r>
        <w:rPr>
          <w:rFonts w:ascii="Times New Roman" w:cs="Times New Roman" w:eastAsia="Times New Roman" w:hAnsi="Times New Roman"/>
          <w:sz w:val="24"/>
          <w:szCs w:val="24"/>
        </w:rPr>
        <w:t xml:space="preserve"/>
      </w:r>
    </w:p>
    <w:p>
      <w:pPr>
        <w:spacing w:before="600"/>
        <w:jc w:val="center"/>
      </w:pPr>
      <w:r>
        <w:rPr>
          <w:rFonts w:ascii="Times New Roman" w:cs="Times New Roman" w:eastAsia="Times New Roman" w:hAnsi="Times New Roman"/>
          <w:i/>
          <w:iCs/>
          <w:color w:val="888888"/>
          <w:sz w:val="24"/>
          <w:szCs w:val="24"/>
        </w:rPr>
        <w:t xml:space="preserve">— Fin de la Sección 2.2 —</w:t>
      </w:r>
    </w:p>
    <w:sectPr>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g0fo0bybmzbcpibonptj" Type="http://schemas.openxmlformats.org/officeDocument/2006/relationships/hyperlink" Target="https://www.risti.xyz/issues/ristie54.pdf" TargetMode="External"/><Relationship Id="rIdguysxtt1zww6e5pumakkk" Type="http://schemas.openxmlformats.org/officeDocument/2006/relationships/hyperlink" Target="https://www.asobanca.org.ec" TargetMode="External"/><Relationship Id="rIdhnfwzrjrs9axxcc7muv78" Type="http://schemas.openxmlformats.org/officeDocument/2006/relationships/hyperlink" Target="https://www.bce.fin.ec" TargetMode="External"/><Relationship Id="rIdktfixmw8uvdrghnqofv5g" Type="http://schemas.openxmlformats.org/officeDocument/2006/relationships/hyperlink" Target="https://publications.iadb.org/en/360-digital-transformation-firms-latin-america-and-caribbean" TargetMode="External"/><Relationship Id="rIdvur4mmmhgrwxbp2zxkoq1" Type="http://schemas.openxmlformats.org/officeDocument/2006/relationships/hyperlink" Target="https://www.tandfonline.com/doi/abs/10.1201/9781498710411-35" TargetMode="External"/><Relationship Id="rIdm9rltgduzefnbg4iivtry" Type="http://schemas.openxmlformats.org/officeDocument/2006/relationships/hyperlink" Target="https://repositorio.puce.edu.ec/handle/123456789/44586" TargetMode="External"/><Relationship Id="rIdiagzxpjdwxc8bi1oi2pa1" Type="http://schemas.openxmlformats.org/officeDocument/2006/relationships/hyperlink" Target="https://ciencialatina.org/index.php/cienciala/article/view/5791" TargetMode="External"/><Relationship Id="rIdpuog1rxqulxde2wlhcme9" Type="http://schemas.openxmlformats.org/officeDocument/2006/relationships/hyperlink" Target="https://repositorio.cepal.org/handle/11362/47309" TargetMode="External"/><Relationship Id="rIddlcwdrxkkwt_aluhimn5r" Type="http://schemas.openxmlformats.org/officeDocument/2006/relationships/hyperlink" Target="https://dl.acm.org/doi/10.1145/362384.362685" TargetMode="External"/><Relationship Id="rId-r9fhrimfwup4hmtchrn_" Type="http://schemas.openxmlformats.org/officeDocument/2006/relationships/hyperlink" Target="https://docs.expo.dev/" TargetMode="External"/><Relationship Id="rIdjkue8fznnoxrfjpbjbcxl" Type="http://schemas.openxmlformats.org/officeDocument/2006/relationships/hyperlink" Target="https://www.ics.uci.edu/~fielding/pubs/dissertation/top.htm" TargetMode="External"/><Relationship Id="rIdj-xshcn7devqmuywx5zkx" Type="http://schemas.openxmlformats.org/officeDocument/2006/relationships/hyperlink" Target="https://www.sciencedirect.com/book/9781558601901/transaction-processing-concepts-and-techniques" TargetMode="External"/><Relationship Id="rIdptfs91gsytx-iuyxnia_w" Type="http://schemas.openxmlformats.org/officeDocument/2006/relationships/hyperlink" Target="https://www.tectzapic.tecnm.mx/index.php/rti/article/view/98" TargetMode="External"/><Relationship Id="rId1tx5hoighqgnuc17fpktk" Type="http://schemas.openxmlformats.org/officeDocument/2006/relationships/hyperlink" Target="https://ieeexplore.ieee.org/document/8100792" TargetMode="External"/><Relationship Id="rIdfekwarwylfe4tqozssx4d" Type="http://schemas.openxmlformats.org/officeDocument/2006/relationships/hyperlink" Target="https://www.iso.org/standard/63500.html" TargetMode="External"/><Relationship Id="rIdqbkfaqql_hlwuy4sxiu6-" Type="http://schemas.openxmlformats.org/officeDocument/2006/relationships/hyperlink" Target="https://www.iso.org/standard/77520.html" TargetMode="External"/><Relationship Id="rIdjdsc-ie_rimw3awzhym-l" Type="http://schemas.openxmlformats.org/officeDocument/2006/relationships/hyperlink" Target="https://laravel.com/docs/12.x" TargetMode="External"/><Relationship Id="rIdvzva6celvca9eftbsg5mh" Type="http://schemas.openxmlformats.org/officeDocument/2006/relationships/hyperlink" Target="https://www.mercadofitness.com/gestion/" TargetMode="External"/><Relationship Id="rIdi2knofu9d5g55ynixhsvp" Type="http://schemas.openxmlformats.org/officeDocument/2006/relationships/hyperlink" Target="https://reactnative.dev/docs/getting-started" TargetMode="External"/><Relationship Id="rIdrwh0auqd8gvexij7j1-is" Type="http://schemas.openxmlformats.org/officeDocument/2006/relationships/hyperlink" Target="https://react.dev/learn" TargetMode="External"/><Relationship Id="rIdw-5xp2j6oknugrp2xi1lp" Type="http://schemas.openxmlformats.org/officeDocument/2006/relationships/hyperlink" Target="https://www.mordorintelligence.com/industry-reports/south-america-health-and-fitness-club-market" TargetMode="External"/><Relationship Id="rIdgdroyp7sjhhpbfcdyloif" Type="http://schemas.openxmlformats.org/officeDocument/2006/relationships/hyperlink" Target="https://dev.mysql.com/doc/refman/8.4/en/" TargetMode="External"/><Relationship Id="rIdmlaam6i6auaqvixvkmdz2" Type="http://schemas.openxmlformats.org/officeDocument/2006/relationships/hyperlink" Target="https://www.basicbooks.com/titles/don-norman/the-design-of-everyday-things/9780465050659/" TargetMode="External"/><Relationship Id="rIda5ab2xqlslmw4dm13v8-s" Type="http://schemas.openxmlformats.org/officeDocument/2006/relationships/hyperlink" Target="https://www.researchandmarkets.com/reports/5665779/south-america-health-and-fitness-club-market" TargetMode="External"/><Relationship Id="rIdvaytj8c7gud6j03dtes-b" Type="http://schemas.openxmlformats.org/officeDocument/2006/relationships/hyperlink" Target="https://www.risti.xyz/issues/ristie46.pdf" TargetMode="External"/><Relationship Id="rIdr7mv6e4zou20mhmdn1izy" Type="http://schemas.openxmlformats.org/officeDocument/2006/relationships/hyperlink" Target="https://vitejs.dev/guide/"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II – 2.2 Definiciones Conceptuales</dc:title>
  <dc:creator>GimApp – Tesis de Grado</dc:creator>
  <cp:lastModifiedBy>Un-named</cp:lastModifiedBy>
  <cp:revision>1</cp:revision>
  <dcterms:created xsi:type="dcterms:W3CDTF">2026-07-25T04:56:07.518Z</dcterms:created>
  <dcterms:modified xsi:type="dcterms:W3CDTF">2026-07-25T04:56:07.519Z</dcterms:modified>
</cp:coreProperties>
</file>

<file path=docProps/custom.xml><?xml version="1.0" encoding="utf-8"?>
<Properties xmlns="http://schemas.openxmlformats.org/officeDocument/2006/custom-properties" xmlns:vt="http://schemas.openxmlformats.org/officeDocument/2006/docPropsVTypes"/>
</file>