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re"/>
      </w:pPr>
      <w:r>
        <w:t>Comments IBFI 2026</w:t>
      </w:r>
    </w:p>
    <w:p>
      <w:pPr>
        <w:pStyle w:val="Sous-titre"/>
      </w:pPr>
      <w:r>
        <w:t>Inflation Inequality Across the Euro Area</w:t>
      </w:r>
    </w:p>
    <w:p>
      <w:r>
        <w:t>IBFI seminar 8 October 2026</w:t>
        <w:br/>
        <w:t>Speaker notes for slides 1 to 24 and appendices A1 to A23</w:t>
      </w:r>
    </w:p>
    <w:p>
      <w:r>
        <w:t>The presentation explains how heterogeneous consumption baskets create unequal inflation exposure, how unconventional fiscal policies changed inflation and its distribution, and what household microdata reveal beyond group averages.</w:t>
      </w:r>
    </w:p>
    <w:p>
      <w:pPr>
        <w:pStyle w:val="Titre1"/>
        <w:keepNext/>
        <w:keepLines/>
      </w:pPr>
      <w:r>
        <w:t>Slide 1 Inflation Inequality Across the Euro Area</w:t>
      </w:r>
    </w:p>
    <w:p>
      <w:pPr/>
      <w:r>
        <w:t>Let me introduce myself. I am an economist at the Banque de France. This presentation is joint work with Erwan Gautier. Please feel free to interrupt me if you need any clarification.</w:t>
      </w:r>
    </w:p>
    <w:p>
      <w:pPr/>
      <w:r>
        <w:t>The presentation examines the surge in euro-area inflation and its heterogeneous impact across households since mid-2021. We will mainly discuss empirical results and the tools that can be used in other central banks to construct similar indicators.</w:t>
      </w:r>
    </w:p>
    <w:p>
      <w:pPr>
        <w:pStyle w:val="Titre1"/>
        <w:keepNext/>
        <w:keepLines/>
      </w:pPr>
      <w:r>
        <w:t>Slide 2 Household Inflation Exposure in the Euro Area</w:t>
      </w:r>
    </w:p>
    <w:p>
      <w:pPr/>
      <w:r>
        <w:t>We focus on measuring inflation inequality. Because households buy different baskets of goods and services, the same set of product prices can generate different household inflation rates.</w:t>
      </w:r>
    </w:p>
    <w:p>
      <w:pPr/>
      <w:r>
        <w:t>We combine consumer price indices with household budget surveys to construct monthly indices by income, age, and residence for 20 euro-area countries. Rents are excluded, and the retained products are calibrated to official HICP weights.</w:t>
      </w:r>
    </w:p>
    <w:p>
      <w:pPr/>
      <w:r>
        <w:t>We then study how fiscal measures changed average inflation and income-group gaps, before moving from group averages to the distribution of inflation across individual households.</w:t>
      </w:r>
    </w:p>
    <w:p>
      <w:pPr>
        <w:pStyle w:val="Titre1"/>
        <w:keepNext/>
        <w:keepLines/>
      </w:pPr>
      <w:r>
        <w:t>Slide 3 Heterogeneous Effects of Inflation</w:t>
      </w:r>
    </w:p>
    <w:p>
      <w:pPr/>
      <w:r>
        <w:t>Inflation affects households through three channels: nominal income, balance sheets and consumption baskets. The three channels operate simultaneously, but the indices in this presentation measure only the consumption-basket channel.</w:t>
      </w:r>
    </w:p>
    <w:p>
      <w:pPr/>
      <w:r>
        <w:t>Inflation erodes purchasing power when wages, pensions or transfers do not keep pace with prices. Unexpected inflation also changes the real value of nominal assets and liabilities, so borrowers and lenders can be affected differently.</w:t>
      </w:r>
    </w:p>
    <w:p>
      <w:pPr/>
      <w:r>
        <w:t>Our question is narrower: which households face larger price increases for what they consume? Different household inflation rates do not, by themselves, rank total welfare losses.</w:t>
      </w:r>
    </w:p>
    <w:p>
      <w:pPr>
        <w:pStyle w:val="Titre1"/>
        <w:keepNext/>
        <w:keepLines/>
      </w:pPr>
      <w:r>
        <w:t>Slide 4 An Introductory Example</w:t>
      </w:r>
    </w:p>
    <w:p>
      <w:pPr/>
      <w:r>
        <w:t>Suppose housing energy represents 10 percent of expenditure for the first income quintile and 6 percent for the fifth quintile.</w:t>
      </w:r>
    </w:p>
    <w:p>
      <w:pPr/>
      <w:r>
        <w:t>If energy prices rise by 40 percent while all other prices remain unchanged, inflation is 4.0 percent for Q1 and 2.4 percent for Q5. The Q1-Q5 gap is therefore 1.6 percentage points.</w:t>
      </w:r>
    </w:p>
    <w:p>
      <w:pPr/>
      <w:r>
        <w:t>If every product price instead rises by 40 percent, both groups face 40 percent inflation and the gap is zero. Different baskets create inflation inequality only when relative price changes differ across products.</w:t>
      </w:r>
    </w:p>
    <w:p>
      <w:pPr>
        <w:pStyle w:val="Titre1"/>
        <w:keepNext/>
        <w:keepLines/>
      </w:pPr>
      <w:r>
        <w:t>Slide 5 What Do Our Inflation Indices Capture</w:t>
      </w:r>
    </w:p>
    <w:p>
      <w:pPr/>
      <w:r>
        <w:t>Our indicators capture differences across broad product categories, such as food, energy and services. Household budget microdata reveal how those category shares vary across households.</w:t>
      </w:r>
    </w:p>
    <w:p>
      <w:pPr/>
      <w:r>
        <w:t>They do not observe every difference within a category. Households may buy different brands, pack sizes or varieties, and may pay different prices for the same item because they shop at different retailers, dates or promotions.</w:t>
      </w:r>
    </w:p>
    <w:p>
      <w:pPr/>
      <w:r>
        <w:t>Scanner data can reveal these detailed choices and transaction prices. Our household indices extend the analysis beyond group averages, but common product prices still leave part of inflation inequality unobserved.</w:t>
      </w:r>
    </w:p>
    <w:p>
      <w:pPr>
        <w:pStyle w:val="Titre1"/>
        <w:keepNext/>
        <w:keepLines/>
      </w:pPr>
      <w:r>
        <w:t>Slide 6 Main Findings 2021 2023</w:t>
      </w:r>
    </w:p>
    <w:p>
      <w:pPr/>
      <w:r>
        <w:t>The annual Q1-Q5 inflation gap reached 1.2 percentage points in 2022 in the euro area, with large differences across countries.</w:t>
      </w:r>
    </w:p>
    <w:p>
      <w:pPr/>
      <w:r>
        <w:t>Price policies lowered annual inflation by 1.5 points in 2022 and narrowed the Q1-Q5 gap by 0.6 point. Household energy accounts for most of the reduction.</w:t>
      </w:r>
    </w:p>
    <w:p>
      <w:pPr/>
      <w:r>
        <w:t>There is substantial dispersion within income quintiles. When inflation exposure is scaled by household income, the 2022 burden is 8.7 percent for Q1 and 4.7 percent for Q5. This is a scaled exposure measure, not an observed loss of real income or welfare.</w:t>
      </w:r>
    </w:p>
    <w:p>
      <w:pPr>
        <w:pStyle w:val="Titre1"/>
        <w:keepNext/>
        <w:keepLines/>
      </w:pPr>
      <w:r>
        <w:t>Slide 7 Energy and Food Drove Large Relative Price Changes</w:t>
      </w:r>
    </w:p>
    <w:p>
      <w:pPr/>
      <w:r>
        <w:t>This chart shows year-on-year inflation across euro-area product categories. Energy prices rose sharply around the 2021-2022 shock, especially for electricity, gas and motor fuels. Food then became an important driver.</w:t>
      </w:r>
    </w:p>
    <w:p>
      <w:pPr/>
      <w:r>
        <w:t>The composition of inflation changes over time. A household with a large energy share is affected differently when energy leads the shock than when food or services lead it.</w:t>
      </w:r>
    </w:p>
    <w:p>
      <w:pPr/>
      <w:r>
        <w:t>Lower inflation later does not undo the earlier increase in the price level. This is why annual inflation gaps and cumulative price-level gaps must be distinguished.</w:t>
      </w:r>
    </w:p>
    <w:p>
      <w:pPr>
        <w:pStyle w:val="Titre1"/>
        <w:keepNext/>
        <w:keepLines/>
      </w:pPr>
      <w:r>
        <w:t>Slide 8 Consumption Baskets Differ Across Income Quintiles</w:t>
      </w:r>
    </w:p>
    <w:p>
      <w:pPr/>
      <w:r>
        <w:t>The Household Budget Survey shows that expenditure composition differs across income quintiles. Food takes a larger budget share at the bottom of the income distribution, while other expenditure shares generally rise with income.</w:t>
      </w:r>
    </w:p>
    <w:p>
      <w:pPr/>
      <w:r>
        <w:t>This descriptive chart includes rents. The inflation indices used in the results exclude actual and imputed rents and renormalize the remaining matched basket.</w:t>
      </w:r>
    </w:p>
    <w:p>
      <w:pPr/>
      <w:r>
        <w:t>The figure illustrates the source of heterogeneous exposure: income groups do not assign the same expenditure weights to products whose prices move differently.</w:t>
      </w:r>
    </w:p>
    <w:p>
      <w:pPr>
        <w:pStyle w:val="Titre1"/>
        <w:keepNext/>
        <w:keepLines/>
      </w:pPr>
      <w:r>
        <w:t>Slide 9 Linking HICP Prices to Household Budget Surveys</w:t>
      </w:r>
    </w:p>
    <w:p>
      <w:pPr/>
      <w:r>
        <w:t>We link monthly HICP product prices and annual official product weights to fixed 2020 Household Budget Survey expenditure records. Group baskets are built from microdata wherever they are available.</w:t>
      </w:r>
    </w:p>
    <w:p>
      <w:pPr/>
      <w:r>
        <w:t>Group-level indicators cover 20 euro-area countries. Household distributions cover 152,613 households in 18 countries; Italy and Portugal are excluded because the required household baskets or rent detail are unavailable.</w:t>
      </w:r>
    </w:p>
    <w:p>
      <w:pPr/>
      <w:r>
        <w:t>We remove actual and imputed rents, match at the three-digit COICOP level, and calibrate the retained expenditure matrix to official HICP product shares.</w:t>
      </w:r>
    </w:p>
    <w:p>
      <w:pPr>
        <w:pStyle w:val="Titre1"/>
        <w:keepNext/>
        <w:keepLines/>
      </w:pPr>
      <w:r>
        <w:t>Slide 10 Calibrated Baskets Produce Chained Inflation Indices</w:t>
      </w:r>
    </w:p>
    <w:p>
      <w:pPr/>
      <w:r>
        <w:t>RAS calibration adjusts the product-by-group expenditure matrix so that it simultaneously matches group expenditure margins and official HICP product shares for the retained non-rent basket.</w:t>
      </w:r>
    </w:p>
    <w:p>
      <w:pPr/>
      <w:r>
        <w:t>The group weights are expenditure shares, not population shares. Within each year, product prices are compared with the preceding December, and the resulting links are chained across years.</w:t>
      </w:r>
    </w:p>
    <w:p>
      <w:pPr/>
      <w:r>
        <w:t>Euro-area indices combine national series using annual HICP country weights. Monthly charts report twelve-month changes, while annual tables use changes in annual-average price indices.</w:t>
      </w:r>
    </w:p>
    <w:p>
      <w:pPr>
        <w:pStyle w:val="Titre1"/>
        <w:keepNext/>
        <w:keepLines/>
      </w:pPr>
      <w:r>
        <w:t>Slide 11 The Income Inflation Gap Peaked During the Energy Shock</w:t>
      </w:r>
    </w:p>
    <w:p>
      <w:pPr/>
      <w:r>
        <w:t>The first income quintile faced higher year-on-year inflation than the fifth around the 2022 energy shock. Before and after the peak, the difference is much smaller.</w:t>
      </w:r>
    </w:p>
    <w:p>
      <w:pPr/>
      <w:r>
        <w:t>Similar annual inflation rates later do not imply that the earlier cumulative price-level difference has disappeared. Reversing it would require Q1 inflation to fall below Q5 inflation for a sufficient period.</w:t>
      </w:r>
    </w:p>
    <w:p>
      <w:pPr/>
      <w:r>
        <w:t>The link at the bottom of the slide points to our R package for constructing and visualizing comparable inflation-inequality indicators, subject to country-specific matching and data coverage.</w:t>
      </w:r>
    </w:p>
    <w:p>
      <w:pPr>
        <w:pStyle w:val="Titre1"/>
        <w:keepNext/>
        <w:keepLines/>
      </w:pPr>
      <w:r>
        <w:t>Slide 12 Euro Area Inflation by Income Quintile in 2022</w:t>
      </w:r>
    </w:p>
    <w:p>
      <w:pPr/>
      <w:r>
        <w:t>This chart applies the IMF figure's color scheme to our euro-area estimates. Inflation declines across income quintiles in 2022 because lower-income households devote larger expenditure shares to products whose prices rose most sharply.</w:t>
      </w:r>
    </w:p>
    <w:p>
      <w:pPr/>
      <w:r>
        <w:t>The annual-average Q1-Q5 inflation gap is 1.2 percentage points. This aggregate masks much larger gaps in several countries.</w:t>
      </w:r>
    </w:p>
    <w:p>
      <w:pPr/>
      <w:r>
        <w:t>The next two slides use the IMF evidence for Kenya, Senegal, Mexico, and Colombia to place the euro-area gradient in a broader international perspective. The periods and household-ranking variables are not identical, so these are descriptive comparisons.</w:t>
      </w:r>
    </w:p>
    <w:p>
      <w:pPr>
        <w:pStyle w:val="Titre1"/>
        <w:keepNext/>
        <w:keepLines/>
      </w:pPr>
      <w:r>
        <w:t>Slide 13 Focus Kenya and Senegal</w:t>
      </w:r>
    </w:p>
    <w:p>
      <w:pPr/>
      <w:r>
        <w:t>The IMF figure covers the second quarter of 2021 to the second quarter of 2022. The bars report household-specific inflation by quintile and product contribution; the dashed line is national inflation.</w:t>
      </w:r>
    </w:p>
    <w:p>
      <w:pPr/>
      <w:r>
        <w:t>Reading the rounded bar heights gives an approximate Q1-Q5 gap of 2.9 percentage points in Kenya and 2.1 points in Senegal. The approximation sign matters because the underlying numerical series are not printed in the figure.</w:t>
      </w:r>
    </w:p>
    <w:p>
      <w:pPr/>
      <w:r>
        <w:t>Food-price increases weigh more on poorer households because food absorbs a larger share of their spending. The IMF also reports that nominal incomes did not keep pace with prices. Quintiles are based on per-capita consumption in these two countries.</w:t>
      </w:r>
    </w:p>
    <w:p>
      <w:pPr>
        <w:pStyle w:val="Titre1"/>
        <w:keepNext/>
        <w:keepLines/>
      </w:pPr>
      <w:r>
        <w:t>Slide 14 Focus Mexico and Colombia</w:t>
      </w:r>
    </w:p>
    <w:p>
      <w:pPr/>
      <w:r>
        <w:t>The same IMF figure gives approximate Q1-Q5 inflation gaps of 2.6 percentage points in Mexico and 2.8 points in Colombia over 2021Q2-2022Q2.</w:t>
      </w:r>
    </w:p>
    <w:p>
      <w:pPr/>
      <w:r>
        <w:t>Food drives much of the expenditure gradient, but the IMF reports that real incomes rose over this period. Income and wealth channels can therefore offset or reinforce the consumption-basket channel.</w:t>
      </w:r>
    </w:p>
    <w:p>
      <w:pPr/>
      <w:r>
        <w:t>The 1.2-point euro-area gap in calendar 2022 is only a benchmark. The periods and definitions differ: the IMF uses per-capita income for Mexico and Colombia, while our euro-area groups use total net household income.</w:t>
      </w:r>
    </w:p>
    <w:p>
      <w:pPr>
        <w:pStyle w:val="Titre1"/>
        <w:keepNext/>
        <w:keepLines/>
      </w:pPr>
      <w:r>
        <w:t>Slide 15 Is There a Role for Fiscal Policy in Fighting Inflation</w:t>
      </w:r>
    </w:p>
    <w:p>
      <w:pPr/>
      <w:r>
        <w:t>An adverse supply shock raises inflation while weakening activity, creating a difficult policy trade-off. Monetary policy may look through the first-round effect of a temporary shock, but it must keep expectations anchored and prevent second-round effects.</w:t>
      </w:r>
    </w:p>
    <w:p>
      <w:pPr/>
      <w:r>
        <w:t>Conventional fiscal policy can support the policy mix by tightening aggregate demand. Unconventional fiscal policy instead acts directly on selected consumer prices through temporary measures such as tariff shields, tax reductions, and rebates.</w:t>
      </w:r>
    </w:p>
    <w:p>
      <w:pPr/>
      <w:r>
        <w:t>These measures can cushion households quickly and can limit heterogeneous inflation exposure when they target products or groups with high low-income expenditure shares. They support monetary policy temporarily; they do not replace the need to return inflation to target.</w:t>
      </w:r>
    </w:p>
    <w:p>
      <w:pPr>
        <w:pStyle w:val="Titre1"/>
        <w:keepNext/>
        <w:keepLines/>
      </w:pPr>
      <w:r>
        <w:t>Slide 16 Fiscal Costs of Energy Measures</w:t>
      </w:r>
    </w:p>
    <w:p>
      <w:pPr/>
      <w:r>
        <w:t>The stacked bars summarize the documented fiscal cost of the 191 active measures included in the counterfactual inventory. The euro-area total is 1.58 percent of 2022 GDP.</w:t>
      </w:r>
    </w:p>
    <w:p>
      <w:pPr/>
      <w:r>
        <w:t>Countries relied on different combinations of VAT and excise reductions, administered-price measures, fuel rebates, and other envelopes. France records 2.9 percent of GDP in documented active-measure costs.</w:t>
      </w:r>
    </w:p>
    <w:p>
      <w:pPr/>
      <w:r>
        <w:t>The bars report gross documented costs and do not provide a cost-effectiveness ranking. Some envelopes include business beneficiaries or cannot be split precisely by instrument.</w:t>
      </w:r>
    </w:p>
    <w:p>
      <w:pPr>
        <w:pStyle w:val="Titre1"/>
        <w:keepNext/>
        <w:keepLines/>
      </w:pPr>
      <w:r>
        <w:t>Slide 17 France Defining the Energy Price Counterfactuals</w:t>
      </w:r>
    </w:p>
    <w:p>
      <w:pPr/>
      <w:r>
        <w:t>France illustrates how the no-policy price paths are constructed. For gas and electricity, observed HICP components are rescaled by the ratio of reference tariffs without the shield to observed tariffs.</w:t>
      </w:r>
    </w:p>
    <w:p>
      <w:pPr/>
      <w:r>
        <w:t>For motor fuels, the statutory rebate is added back to the observed pump price before reconstructing the counterfactual index. The monthly timing of the rebate is retained.</w:t>
      </w:r>
    </w:p>
    <w:p>
      <w:pPr/>
      <w:r>
        <w:t>These are direct monthly price reconstructions using tariffs, statutory rebates and retail fuel prices. They do not rely on a fitted pass-through coefficient.</w:t>
      </w:r>
    </w:p>
    <w:p>
      <w:pPr>
        <w:pStyle w:val="Titre1"/>
        <w:keepNext/>
        <w:keepLines/>
      </w:pPr>
      <w:r>
        <w:t>Slide 18 France Price Measures Reduced Gas and Fuel Inflation</w:t>
      </w:r>
    </w:p>
    <w:p>
      <w:pPr/>
      <w:r>
        <w:t>The two panels compare observed and no-policy year-on-year inflation for French gas and motor fuels. They isolate the products for which the direct reference-price reconstruction is most transparent.</w:t>
      </w:r>
    </w:p>
    <w:p>
      <w:pPr/>
      <w:r>
        <w:t>For gas, the counterfactual removes the tariff shield using the CRE reference tariff path. For motor fuels, it adds the statutory per-litre rebate back to the observed pump price.</w:t>
      </w:r>
    </w:p>
    <w:p>
      <w:pPr/>
      <w:r>
        <w:t>The measures reduce inflation while they are active, while withdrawal and base effects change the later year-on-year comparison. The exercise holds baskets fixed and does not model financing, behavioral responses, or general-equilibrium feedback.</w:t>
      </w:r>
    </w:p>
    <w:p>
      <w:pPr>
        <w:pStyle w:val="Titre1"/>
        <w:keepNext/>
        <w:keepLines/>
      </w:pPr>
      <w:r>
        <w:t>Slide 19 Price Policies Compressed the Inflation Peak</w:t>
      </w:r>
    </w:p>
    <w:p>
      <w:pPr/>
      <w:r>
        <w:t>At the euro-area level, the observed path lies below the no-policy scenario around the peak. The annual-average policy effect is about minus 1.5 percentage points in 2022.</w:t>
      </w:r>
    </w:p>
    <w:p>
      <w:pPr/>
      <w:r>
        <w:t>The curves can cross later because measures expire and year-on-year comparisons incorporate base effects. A positive later inflation effect can coexist with a persistently lower price level.</w:t>
      </w:r>
    </w:p>
    <w:p>
      <w:pPr/>
      <w:r>
        <w:t>The comparison isolates the direct effect of the price measures under fixed baskets. It is not a complete welfare or macroeconomic evaluation of the fiscal packages.</w:t>
      </w:r>
    </w:p>
    <w:p>
      <w:pPr>
        <w:pStyle w:val="Titre1"/>
        <w:keepNext/>
        <w:keepLines/>
      </w:pPr>
      <w:r>
        <w:t>Slide 20 Policy Effects on the Q1 Q5 Gap</w:t>
      </w:r>
    </w:p>
    <w:p>
      <w:pPr/>
      <w:r>
        <w:t>The table defines the policy effect as the observed Q1-Q5 gap minus the no-policy counterfactual gap. Negative values mean that the measures narrowed the gap.</w:t>
      </w:r>
    </w:p>
    <w:p>
      <w:pPr/>
      <w:r>
        <w:t>The observed euro-area gap is 0.1 point in 2021, 1.2 points in 2022 and approximately zero in 2023. The policy effect on the gap is minus 0.1, minus 0.6 and minus 0.5 point respectively.</w:t>
      </w:r>
    </w:p>
    <w:p>
      <w:pPr/>
      <w:r>
        <w:t>Electricity and gas support account for most of the reduction. Fuel support partly offsets the narrowing in 2022 because vehicle-operation expenditure is distributed differently across income groups.</w:t>
      </w:r>
    </w:p>
    <w:p>
      <w:pPr>
        <w:pStyle w:val="Titre1"/>
        <w:keepNext/>
        <w:keepLines/>
      </w:pPr>
      <w:r>
        <w:t>Slide 21 Household Microdata Show Unequal Inflation Exposure</w:t>
      </w:r>
    </w:p>
    <w:p>
      <w:pPr/>
      <w:r>
        <w:t>We now move from group baskets to 152,613 individual households in 18 countries. Each household keeps its fixed 2020 HBS non-rent basket, matched to country-level HICP product prices.</w:t>
      </w:r>
    </w:p>
    <w:p>
      <w:pPr/>
      <w:r>
        <w:t>The household indices capture inflation differences that arise from expenditure shares across COICOP categories. They reveal dispersion that broad income-group averages conceal.</w:t>
      </w:r>
    </w:p>
    <w:p>
      <w:pPr/>
      <w:r>
        <w:t>Common HICP prices do not capture different brands, product varieties, retailers, promotions, or transaction prices within a category. Kaplan and Schulhofer-Wohl show that these prices-paid differences are an important additional source of household inflation dispersion.</w:t>
      </w:r>
    </w:p>
    <w:p>
      <w:pPr>
        <w:pStyle w:val="Titre1"/>
        <w:keepNext/>
        <w:keepLines/>
      </w:pPr>
      <w:r>
        <w:t>Slide 22 The Inflation Surge Widened Household Dispersion</w:t>
      </w:r>
    </w:p>
    <w:p>
      <w:pPr/>
      <w:r>
        <w:t>Inflation inequality is much larger at the individual level than differences between broad group averages suggest. The bands show averages of national household-distribution endpoints, not confidence intervals.</w:t>
      </w:r>
    </w:p>
    <w:p>
      <w:pPr/>
      <w:r>
        <w:t>In October 2022, mean household inflation reaches 11.9 percent. The weighted national P10 and P90 endpoints are 8.0 and 16.5 percent, giving a spread of 8.5 percentage points.</w:t>
      </w:r>
    </w:p>
    <w:p>
      <w:pPr/>
      <w:r>
        <w:t>The sample is fixed across time and covers 18 countries. National statistics first use HBS survey weights and are then combined with annual HICP country weights; the plotted endpoints are not pooled euro-area percentiles.</w:t>
      </w:r>
    </w:p>
    <w:p>
      <w:pPr>
        <w:pStyle w:val="Titre1"/>
        <w:keepNext/>
        <w:keepLines/>
      </w:pPr>
      <w:r>
        <w:t>Slide 23 Inflation Burden Is Larger for Low Income Households</w:t>
      </w:r>
    </w:p>
    <w:p>
      <w:pPr/>
      <w:r>
        <w:t>Similar inflation rates can imply very different exposure relative to income. We scale each household's non-rent inflation by matched non-rent expenditure relative to net income.</w:t>
      </w:r>
    </w:p>
    <w:p>
      <w:pPr/>
      <w:r>
        <w:t>For Q1, the burden is 2.5 percent in 2021, 8.7 percent in 2022 and 4.8 percent in 2023. The corresponding values for Q5 are 1.5, 4.7 and 3.0 percent.</w:t>
      </w:r>
    </w:p>
    <w:p>
      <w:pPr/>
      <w:r>
        <w:t>The calculation holds 2020 resources and baskets fixed and winsorizes expenditure-to-income ratios at the national 99th percentile. It is scaled price exposure, not an observed decline in real income or a welfare loss.</w:t>
      </w:r>
    </w:p>
    <w:p>
      <w:pPr>
        <w:pStyle w:val="Titre1"/>
        <w:keepNext/>
        <w:keepLines/>
      </w:pPr>
      <w:r>
        <w:t>Slide 24 Conclusion</w:t>
      </w:r>
    </w:p>
    <w:p>
      <w:pPr/>
      <w:r>
        <w:t>HICP prices combined with household baskets reveal heterogeneous inflation exposure both between broad groups and within them. In 2022, the inflation burden reached 8.7 percent of income for Q1, compared with 4.7 percent for Q5.</w:t>
      </w:r>
    </w:p>
    <w:p>
      <w:pPr/>
      <w:r>
        <w:t>Unconventional fiscal policy reduced euro-area inflation and compressed inflation inequality. Our counterfactual identifies direct consumer-price effects; production-network exposure is analyzed separately for import-price shocks.</w:t>
      </w:r>
    </w:p>
    <w:p>
      <w:pPr/>
      <w:r>
        <w:t>The effectiveness of these measures depended on the circumstances. The energy-price shock was temporary, the euro-area economy was less overheated than the U.S. economy, and monetary policy also contributed to stabilization.</w:t>
      </w:r>
    </w:p>
    <w:p>
      <w:pPr>
        <w:pStyle w:val="Titre"/>
      </w:pPr>
      <w:r>
        <w:t>Appendix discussion notes</w:t>
      </w:r>
    </w:p>
    <w:p>
      <w:pPr/>
      <w:r>
        <w:t>Use these notes for questions and additional discussion. The order follows the 23 numbered appendix slides after the unnumbered appendix divider.</w:t>
      </w:r>
    </w:p>
    <w:p>
      <w:pPr>
        <w:pStyle w:val="Titre1"/>
        <w:keepNext/>
        <w:keepLines/>
      </w:pPr>
      <w:r>
        <w:t>Appendix A1 Household Energy and Food Widened the Income Gap</w:t>
      </w:r>
    </w:p>
    <w:p>
      <w:pPr/>
      <w:r>
        <w:t>The product decomposition shows why the 2022 gap widened. Housing energy contributes 1.9 points and food 0.7 point to the Q1-Q5 gap.</w:t>
      </w:r>
    </w:p>
    <w:p>
      <w:pPr/>
      <w:r>
        <w:t>Vehicle operation, housing maintenance, transport and other products make negative contributions. These offsets reduce the total gap to 1.2 points.</w:t>
      </w:r>
    </w:p>
    <w:p>
      <w:pPr/>
      <w:r>
        <w:t>In 2023, food still contributes 0.7 point, but other components offset it and the total rounds to zero. A small aggregate gap can therefore hide large product-level contributions of opposite signs.</w:t>
      </w:r>
    </w:p>
    <w:p>
      <w:pPr>
        <w:pStyle w:val="Titre1"/>
        <w:keepNext/>
        <w:keepLines/>
      </w:pPr>
      <w:r>
        <w:t>Appendix A2 Household Energy Accounts for Most of the Gap Reduction</w:t>
      </w:r>
    </w:p>
    <w:p>
      <w:pPr/>
      <w:r>
        <w:t>This table decomposes the policy effect by product. Negative entries mean that the measures lower inflation or narrow the Q1-Q5 gap.</w:t>
      </w:r>
    </w:p>
    <w:p>
      <w:pPr/>
      <w:r>
        <w:t>In 2022, household-energy measures lower average inflation by 1.2 points and narrow the gap by 0.6 point. Vehicle-operation measures lower average inflation by 0.4 point but offset 0.1 point of the gap reduction.</w:t>
      </w:r>
    </w:p>
    <w:p>
      <w:pPr/>
      <w:r>
        <w:t>In 2023, household energy still narrows the gap by 0.5 point, while the total inflation effect is minus 0.6 point. Totals are calculated before rounding.</w:t>
      </w:r>
    </w:p>
    <w:p>
      <w:pPr>
        <w:pStyle w:val="Titre1"/>
        <w:keepNext/>
        <w:keepLines/>
      </w:pPr>
      <w:r>
        <w:t>Appendix A3 Policy Effects Differed Sharply Across Countries and Years</w:t>
      </w:r>
    </w:p>
    <w:p>
      <w:pPr/>
      <w:r>
        <w:t>The national estimates differ in magnitude and timing because policy designs, price paths and implementation dates differ.</w:t>
      </w:r>
    </w:p>
    <w:p>
      <w:pPr/>
      <w:r>
        <w:t>For example, the 2022 inflation effect is minus 2.7 points in France, minus 2.5 in the Netherlands and minus 2.1 in Spain, compared with minus 0.7 in Germany. The corresponding gap effects also vary substantially.</w:t>
      </w:r>
    </w:p>
    <w:p>
      <w:pPr/>
      <w:r>
        <w:t>Positive later inflation effects, such as Italy in 2023, can arise from withdrawal and base effects even when the policy kept the price level lower during the support period. These results are accounting effects, not causal rankings of national policy quality.</w:t>
      </w:r>
    </w:p>
    <w:p>
      <w:pPr>
        <w:pStyle w:val="Titre1"/>
        <w:keepNext/>
        <w:keepLines/>
      </w:pPr>
      <w:r>
        <w:t>Appendix A4 Group and Household Indices Both Exclude Rents</w:t>
      </w:r>
    </w:p>
    <w:p>
      <w:pPr/>
      <w:r>
        <w:t>The baseline removes actual and imputed rents, HBS categories 041 and 042, together with the corresponding HICP rent components before matching and aggregation.</w:t>
      </w:r>
    </w:p>
    <w:p>
      <w:pPr/>
      <w:r>
        <w:t>Parent housing categories are reconstructed without rents, and all weights are normalized over matched non-rent products. Both group and household indices use RAS calibration to annual HICP product margins.</w:t>
      </w:r>
    </w:p>
    <w:p>
      <w:pPr/>
      <w:r>
        <w:t>Rent-sensitivity and official all-items validation exercises use their own explicitly stated reference coverage and should not be confused with the non-rent baseline.</w:t>
      </w:r>
    </w:p>
    <w:p>
      <w:pPr>
        <w:pStyle w:val="Titre1"/>
        <w:keepNext/>
        <w:keepLines/>
      </w:pPr>
      <w:r>
        <w:t>Appendix A5 RAS Calibration and the Micro Macro Link</w:t>
      </w:r>
    </w:p>
    <w:p>
      <w:pPr/>
      <w:r>
        <w:t>The aggregate country link weights each household's December-relative price link by survey weight times matched non-rent expenditure. Country links are then combined with annual HICP country weights before chaining.</w:t>
      </w:r>
    </w:p>
    <w:p>
      <w:pPr/>
      <w:r>
        <w:t>This expenditure-weighted construction produces an aggregate price index from the same microdata. Inflation should be calculated from that chained aggregate index.</w:t>
      </w:r>
    </w:p>
    <w:p>
      <w:pPr/>
      <w:r>
        <w:t>The survey-weighted arithmetic mean of individual inflation rates is a separate distributional statistic. It need not equal the expenditure-weighted aggregate because the household weights answer a different question.</w:t>
      </w:r>
    </w:p>
    <w:p>
      <w:pPr>
        <w:pStyle w:val="Titre1"/>
        <w:keepNext/>
        <w:keepLines/>
      </w:pPr>
      <w:r>
        <w:t>Appendix A6 Inflation Burden Scales Exposure by Household Resources</w:t>
      </w:r>
    </w:p>
    <w:p>
      <w:pPr/>
      <w:r>
        <w:t>For each household, the raw burden equals annual household inflation multiplied by matched non-rent expenditure divided by net income, using the 2020 HBS values.</w:t>
      </w:r>
    </w:p>
    <w:p>
      <w:pPr/>
      <w:r>
        <w:t>Very small reported incomes can create extreme ratios. We therefore winsorize expenditure-to-income ratios at the national survey-weighted 99th percentile before aggregating household burdens.</w:t>
      </w:r>
    </w:p>
    <w:p>
      <w:pPr/>
      <w:r>
        <w:t>The 18-country sample excludes Italy and Portugal. The measure captures exposure relative to household resources; it is not an exact welfare loss and does not model substitution or income adjustment.</w:t>
      </w:r>
    </w:p>
    <w:p>
      <w:pPr>
        <w:pStyle w:val="Titre1"/>
        <w:keepNext/>
        <w:keepLines/>
      </w:pPr>
      <w:r>
        <w:t>Appendix A7 Reconstructing Prices Without the Measures</w:t>
      </w:r>
    </w:p>
    <w:p>
      <w:pPr/>
      <w:r>
        <w:t>The no-policy product index is the observed HICP component multiplied by the ratio of the counterfactual retail price to the observed retail price.</w:t>
      </w:r>
    </w:p>
    <w:p>
      <w:pPr/>
      <w:r>
        <w:t>Direct reconstructions use statutory taxes, rebates or observed reference tariffs. When those paths are unavailable, aggregate-equivalent effects fit one parameter to the inventory assumption; conditional benchmarks use representative bills or contracts.</w:t>
      </w:r>
    </w:p>
    <w:p>
      <w:pPr/>
      <w:r>
        <w:t>Both scenarios use the same baskets and index construction. The exercise measures direct price effects and is not a household welfare model.</w:t>
      </w:r>
    </w:p>
    <w:p>
      <w:pPr>
        <w:pStyle w:val="Titre1"/>
        <w:keepNext/>
        <w:keepLines/>
      </w:pPr>
      <w:r>
        <w:t>Appendix A8 Matching Coverage Clarifies the Micro Macro Comparison</w:t>
      </w:r>
    </w:p>
    <w:p>
      <w:pPr/>
      <w:r>
        <w:t>This validation compares the survey-weighted household mean with the expenditure-weighted aggregate on the same 18-country, non-rent, matched-product coverage from January 2021 to December 2025.</w:t>
      </w:r>
    </w:p>
    <w:p>
      <w:pPr/>
      <w:r>
        <w:t>The two series need not coincide because one weights represented households and the other weights expenditure. Any remaining comparison with a published all-items HICP must also account for different country and product coverage.</w:t>
      </w:r>
    </w:p>
    <w:p>
      <w:pPr/>
      <w:r>
        <w:t>The slide therefore separates a distributional household statistic from an aggregate consumption-price measure instead of treating one as an automatic validation of the other.</w:t>
      </w:r>
    </w:p>
    <w:p>
      <w:pPr>
        <w:pStyle w:val="Titre1"/>
        <w:keepNext/>
        <w:keepLines/>
      </w:pPr>
      <w:r>
        <w:t>Appendix A9 Finer Product Detail Can Widen or Narrow Income Gaps</w:t>
      </w:r>
    </w:p>
    <w:p>
      <w:pPr/>
      <w:r>
        <w:t>More detailed matching does not move the Q1-Q5 gap in a uniform direction. In Germany, the micro gap falls from 2.0 points at D2 to 1.5 at D3, while in Lithuania it rises from 2.9 at D2 to 4.9 at D4 and D5.</w:t>
      </w:r>
    </w:p>
    <w:p>
      <w:pPr/>
      <w:r>
        <w:t>In the Netherlands, the micro gap rises from 2.0 at D2 to 3.0 at D3, then falls to 1.9 at D5. Matched coverage also falls to 87.8 percent at D5.</w:t>
      </w:r>
    </w:p>
    <w:p>
      <w:pPr/>
      <w:r>
        <w:t>Changes across digit levels can reflect both additional product detail and changing matched coverage. The table is a sensitivity exercise, not the updated baseline.</w:t>
      </w:r>
    </w:p>
    <w:p>
      <w:pPr>
        <w:pStyle w:val="Titre1"/>
        <w:keepNext/>
        <w:keepLines/>
      </w:pPr>
      <w:r>
        <w:t>Appendix A10 Inflation Inequality Was Highly Uneven Across Countries</w:t>
      </w:r>
    </w:p>
    <w:p>
      <w:pPr/>
      <w:r>
        <w:t>The complete country table confirms that the magnitude and sign of the annual Q1-Q5 gap vary sharply. Estonia and Latvia record gaps of 4.8 and 4.5 points in 2022, while Finland records minus 0.9 point.</w:t>
      </w:r>
    </w:p>
    <w:p>
      <w:pPr/>
      <w:r>
        <w:t>The ranking also changes over time. Belgium and the Netherlands move to negative gaps in 2023, while Slovenia records a positive 1.5-point gap.</w:t>
      </w:r>
    </w:p>
    <w:p>
      <w:pPr/>
      <w:r>
        <w:t>The euro-area average is 0.1 point in 2021, 1.2 in 2022 and approximately zero in 2023. It summarizes the weighted aggregate but not every national experience.</w:t>
      </w:r>
    </w:p>
    <w:p>
      <w:pPr>
        <w:pStyle w:val="Titre1"/>
        <w:keepNext/>
        <w:keepLines/>
      </w:pPr>
      <w:r>
        <w:t>Appendix A11 Older Households Faced Higher Inflation</w:t>
      </w:r>
    </w:p>
    <w:p>
      <w:pPr/>
      <w:r>
        <w:t>Older households face higher inflation around the energy peak because their expenditure composition exposes them differently to housing energy and other products.</w:t>
      </w:r>
    </w:p>
    <w:p>
      <w:pPr/>
      <w:r>
        <w:t>The gap is much smaller outside the peak. The ranking is therefore driven by the product composition of each price shock rather than being a permanent feature.</w:t>
      </w:r>
    </w:p>
    <w:p>
      <w:pPr/>
      <w:r>
        <w:t>This chart compares group indices. Household regressions ask a different question by conditioning on income, household size, education, residence and country effects.</w:t>
      </w:r>
    </w:p>
    <w:p>
      <w:pPr>
        <w:pStyle w:val="Titre1"/>
        <w:keepNext/>
        <w:keepLines/>
      </w:pPr>
      <w:r>
        <w:t>Appendix A12 Rural Households Faced Higher Inflation at the Peak</w:t>
      </w:r>
    </w:p>
    <w:p>
      <w:pPr/>
      <w:r>
        <w:t>Rural households face higher inflation than households in cities around the 2022 peak, reflecting different exposure to housing energy, vehicle operation and transport.</w:t>
      </w:r>
    </w:p>
    <w:p>
      <w:pPr/>
      <w:r>
        <w:t>The series converge later and the ranking can reverse when relative price changes shift. Residence effects should therefore be interpreted as time-varying exposure, not a fixed ordering.</w:t>
      </w:r>
    </w:p>
    <w:p>
      <w:pPr/>
      <w:r>
        <w:t>As with age, the group comparison is descriptive. Conditional household regressions control for additional characteristics and answer a different question.</w:t>
      </w:r>
    </w:p>
    <w:p>
      <w:pPr>
        <w:pStyle w:val="Titre1"/>
        <w:keepNext/>
        <w:keepLines/>
      </w:pPr>
      <w:r>
        <w:t>Appendix A13 Long Run Income Gaps Remain Smaller in the Euro Area</w:t>
      </w:r>
    </w:p>
    <w:p>
      <w:pPr/>
      <w:r>
        <w:t>The euro-area price indices show a persistent but comparatively modest long-run difference between Q1 and Q5 from 2000 to July 2026.</w:t>
      </w:r>
    </w:p>
    <w:p>
      <w:pPr/>
      <w:r>
        <w:t>The paper contrasts this pattern with the larger long-run US gaps documented by Jaravel. National price dynamics can offset one another in the euro-area aggregate.</w:t>
      </w:r>
    </w:p>
    <w:p>
      <w:pPr/>
      <w:r>
        <w:t>Cross-country comparisons remain imperfect because consumption coverage, income-group definitions and product detail differ. Broad COICOP categories also omit within-product price differences captured in scanner data.</w:t>
      </w:r>
    </w:p>
    <w:p>
      <w:pPr>
        <w:pStyle w:val="Titre1"/>
        <w:keepNext/>
        <w:keepLines/>
      </w:pPr>
      <w:r>
        <w:t>Appendix A14 Direct and Indirect Exposure to Import Price Shocks</w:t>
      </w:r>
    </w:p>
    <w:p>
      <w:pPr/>
      <w:r>
        <w:t>The exercise applies the observed 2022 extra-EU import-price increases: 83.9 percent for energy and 21.0 percent for food.</w:t>
      </w:r>
    </w:p>
    <w:p>
      <w:pPr/>
      <w:r>
        <w:t>There is a direct effect through imported final consumption products and an indirect effect through imported inputs propagated across the FIGARO production network and mapped from industries to COICOP products.</w:t>
      </w:r>
    </w:p>
    <w:p>
      <w:pPr/>
      <w:r>
        <w:t>The simulation assumes complete pass-through and fixed input coefficients. It is an accounting measure of exposure, not a causal decomposition of observed inflation.</w:t>
      </w:r>
    </w:p>
    <w:p>
      <w:pPr>
        <w:pStyle w:val="Titre1"/>
        <w:keepNext/>
        <w:keepLines/>
      </w:pPr>
      <w:r>
        <w:t>Appendix A15 Energy Import Prices Widen the Income Inflation Gap</w:t>
      </w:r>
    </w:p>
    <w:p>
      <w:pPr/>
      <w:r>
        <w:t>Under the observed 2022 extra-EU energy import-price shock, the simulation produces 6.5 points of average inflation exposure and widens the Q1-Q5 gap by 1.1 points.</w:t>
      </w:r>
    </w:p>
    <w:p>
      <w:pPr/>
      <w:r>
        <w:t>Housing energy contributes 1.7 points to the gap. Vehicle operation contributes minus 0.5 point and other products offset a further 0.1 point.</w:t>
      </w:r>
    </w:p>
    <w:p>
      <w:pPr/>
      <w:r>
        <w:t>The total gap effect comprises about 0.4 point through direct exposure and 0.7 point through indirect production links. Components and totals are rounded separately.</w:t>
      </w:r>
    </w:p>
    <w:p>
      <w:pPr>
        <w:pStyle w:val="Titre1"/>
        <w:keepNext/>
        <w:keepLines/>
      </w:pPr>
      <w:r>
        <w:t>Appendix A16 More Granular Data Scanner Data and Cheapflation</w:t>
      </w:r>
    </w:p>
    <w:p>
      <w:pPr/>
      <w:r>
        <w:t>Scanner datasets observe barcode-level prices and quantities at high frequency. They can reveal household heterogeneity within broad product categories and differences in the prices actually paid.</w:t>
      </w:r>
    </w:p>
    <w:p>
      <w:pPr/>
      <w:r>
        <w:t>Their main limitations are incomplete product coverage, often concentrated on groceries, and limited cross-country comparability.</w:t>
      </w:r>
    </w:p>
    <w:p>
      <w:pPr/>
      <w:r>
        <w:t>Recent UK evidence finds faster price growth for cheaper varieties between 2021Q3 and 2023Q3. Thin margins are one possible mechanism, but this is outside what our common-price indices can identify.</w:t>
      </w:r>
    </w:p>
    <w:p>
      <w:pPr>
        <w:pStyle w:val="Titre1"/>
        <w:keepNext/>
        <w:keepLines/>
      </w:pPr>
      <w:r>
        <w:t>Appendix A17 Scanner Data Reveal Dispersion Hidden by Common Prices</w:t>
      </w:r>
    </w:p>
    <w:p>
      <w:pPr/>
      <w:r>
        <w:t>The US Nielsen evidence shows how measured household dispersion rises as product and transaction detail increases.</w:t>
      </w:r>
    </w:p>
    <w:p>
      <w:pPr/>
      <w:r>
        <w:t>The mean interquartile range is 1.61 points with broad household baskets and common CPI prices, 3.99 with barcode baskets and national barcode-average prices, and 7.33 with household-level transaction prices.</w:t>
      </w:r>
    </w:p>
    <w:p>
      <w:pPr/>
      <w:r>
        <w:t>These are averages of date-specific interquartile ranges for barcode goods from 2004Q1 to 2012Q3. They are not additive variance components and are not directly comparable with our full-basket euro-area distributions.</w:t>
      </w:r>
    </w:p>
    <w:p>
      <w:pPr>
        <w:pStyle w:val="Titre1"/>
        <w:keepNext/>
        <w:keepLines/>
      </w:pPr>
      <w:r>
        <w:t>Appendix A18 National Designs Require Different Counterfactuals</w:t>
      </w:r>
    </w:p>
    <w:p>
      <w:pPr/>
      <w:r>
        <w:t>National policy designs require different reconstruction strategies. Germany's price brakes subsidized 80 percent of reference consumption, whereas the Netherlands capped actual consumption up to common limits.</w:t>
      </w:r>
    </w:p>
    <w:p>
      <w:pPr/>
      <w:r>
        <w:t>The Iberian mechanism in Spain and Portugal compensated fossil-fuel generators and was financed through benefiting buyers and congestion revenues. Cyprus, Ireland and Italy used other combinations of subsidies, bill credits, charge reductions and social bonuses.</w:t>
      </w:r>
    </w:p>
    <w:p>
      <w:pPr/>
      <w:r>
        <w:t>A single generic counterfactual would therefore misrepresent national schemes. The reconstruction must follow each measure's legal design, eligible quantity, timing and financing boundary.</w:t>
      </w:r>
    </w:p>
    <w:p>
      <w:pPr>
        <w:pStyle w:val="Titre1"/>
        <w:keepNext/>
        <w:keepLines/>
      </w:pPr>
      <w:r>
        <w:t>Appendix A19 German Price Brakes Design Shapes Incentives</w:t>
      </w:r>
    </w:p>
    <w:p>
      <w:pPr/>
      <w:r>
        <w:t>The German price brakes illustrate why policy design matters beyond the immediate accounting effect on consumer prices.</w:t>
      </w:r>
    </w:p>
    <w:p>
      <w:pPr/>
      <w:r>
        <w:t>Krebs and Weber study conditions under which energy price controls can be optimal. Dertwinkel-Kalt and Wey show that price brakes can encourage suppliers to raise prices while preserving households' incentive to save energy.</w:t>
      </w:r>
    </w:p>
    <w:p>
      <w:pPr/>
      <w:r>
        <w:t>Our counterfactual focuses on the retail-price path faced by a representative household. These papers clarify that strategic supplier responses and consumption incentives are additional margins for policy evaluation.</w:t>
      </w:r>
    </w:p>
    <w:p>
      <w:pPr>
        <w:pStyle w:val="Titre1"/>
        <w:keepNext/>
        <w:keepLines/>
      </w:pPr>
      <w:r>
        <w:t>Appendix A20 Selected References</w:t>
      </w:r>
    </w:p>
    <w:p>
      <w:pPr/>
      <w:r>
        <w:t>These references cover the measurement of inflation inequality, household balance sheets, shopping behavior, fiscal measures and long-run distributional price indices.</w:t>
      </w:r>
    </w:p>
    <w:p>
      <w:pPr/>
      <w:r>
        <w:t>For replication, the measurement papers and our package provide practical starting points. For a complete assessment of household welfare, the income, assets and liabilities literature must be considered alongside consumption-basket exposure.</w:t>
      </w:r>
    </w:p>
    <w:p>
      <w:pPr>
        <w:pStyle w:val="Titre1"/>
        <w:keepNext/>
        <w:keepLines/>
      </w:pPr>
      <w:r>
        <w:t>Appendix A21 Question 1 What Generates Inflation Inequality</w:t>
      </w:r>
    </w:p>
    <w:p>
      <w:pPr/>
      <w:r>
        <w:t>Ask participants which combination can generate inflation inequality through consumption baskets.</w:t>
      </w:r>
    </w:p>
    <w:p>
      <w:pPr/>
      <w:r>
        <w:t>The correct answer is A: different consumption baskets combined with different price changes across products. If all product prices rise at the same rate, different shares alone do not create an inflation gap.</w:t>
      </w:r>
    </w:p>
    <w:p>
      <w:pPr>
        <w:pStyle w:val="Titre1"/>
        <w:keepNext/>
        <w:keepLines/>
      </w:pPr>
      <w:r>
        <w:t>Appendix A22 Question 2 What Do Our Inflation Indicators Capture</w:t>
      </w:r>
    </w:p>
    <w:p>
      <w:pPr/>
      <w:r>
        <w:t>Ask which source of household inflation heterogeneity is captured by the HICP-HBS indicators.</w:t>
      </w:r>
    </w:p>
    <w:p>
      <w:pPr/>
      <w:r>
        <w:t>The correct answer is A: differences in expenditure shares across COICOP categories, both across groups and across households.</w:t>
      </w:r>
    </w:p>
    <w:p>
      <w:pPr/>
      <w:r>
        <w:t>The indicators do not capture differences in brands, pack sizes, retailers, promotions, or purchase dates within a category. Those margins require scanner or transaction data.</w:t>
      </w:r>
    </w:p>
    <w:p>
      <w:pPr>
        <w:pStyle w:val="Titre1"/>
        <w:keepNext/>
        <w:keepLines/>
      </w:pPr>
      <w:r>
        <w:t>Appendix A23 Question 3 Policy Responses to a Supply Shock</w:t>
      </w:r>
    </w:p>
    <w:p>
      <w:pPr/>
      <w:r>
        <w:t>Ask participants which statements correctly describe the policy response to an adverse supply shock. Several answers are possible.</w:t>
      </w:r>
    </w:p>
    <w:p>
      <w:pPr/>
      <w:r>
        <w:t>The correct answers are B, C, and D. Monetary policy should prevent second-round effects and a de-anchoring of expectations; conventional fiscal tightening can cool aggregate demand; and temporary, targeted unconventional measures can support monetary policy.</w:t>
      </w:r>
    </w:p>
    <w:p>
      <w:pPr/>
      <w:r>
        <w:t>Answer A is incorrect because monetary policy cannot commit never to respond to a supply shock. Its response depends on persistence, expectations, and second-round effects.</w:t>
      </w:r>
    </w:p>
    <w:sectPr w:rsidR="00A66B15" w:rsidSect="00034616">
      <w:footerReference w:type="default" r:id="rId8"/>
      <w:pgSz w:w="11909" w:h="16834"/>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3DE1B" w14:textId="77777777" w:rsidR="000E6C7A" w:rsidRDefault="000E6C7A">
      <w:pPr>
        <w:spacing w:after="0" w:line="240" w:lineRule="auto"/>
      </w:pPr>
      <w:r>
        <w:separator/>
      </w:r>
    </w:p>
  </w:endnote>
  <w:endnote w:type="continuationSeparator" w:id="0">
    <w:p w14:paraId="321B681D" w14:textId="77777777" w:rsidR="000E6C7A" w:rsidRDefault="000E6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66E6C" w14:textId="77777777" w:rsidR="00A66B15" w:rsidRDefault="00000000">
    <w:pPr>
      <w:pStyle w:val="Pieddepage"/>
      <w:jc w:val="right"/>
    </w:pPr>
    <w:r>
      <w:fldChar w:fldCharType="begin"/>
    </w:r>
    <w:r>
      <w:instrText>PAGE</w:instrText>
    </w:r>
    <w:r>
      <w:fldChar w:fldCharType="separate"/>
    </w:r>
    <w:r w:rsidR="00B948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DB52E" w14:textId="77777777" w:rsidR="000E6C7A" w:rsidRDefault="000E6C7A">
      <w:pPr>
        <w:spacing w:after="0" w:line="240" w:lineRule="auto"/>
      </w:pPr>
      <w:r>
        <w:separator/>
      </w:r>
    </w:p>
  </w:footnote>
  <w:footnote w:type="continuationSeparator" w:id="0">
    <w:p w14:paraId="406817F7" w14:textId="77777777" w:rsidR="000E6C7A" w:rsidRDefault="000E6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79263642">
    <w:abstractNumId w:val="8"/>
  </w:num>
  <w:num w:numId="2" w16cid:durableId="123080875">
    <w:abstractNumId w:val="6"/>
  </w:num>
  <w:num w:numId="3" w16cid:durableId="1045106047">
    <w:abstractNumId w:val="5"/>
  </w:num>
  <w:num w:numId="4" w16cid:durableId="1695881469">
    <w:abstractNumId w:val="4"/>
  </w:num>
  <w:num w:numId="5" w16cid:durableId="36393992">
    <w:abstractNumId w:val="7"/>
  </w:num>
  <w:num w:numId="6" w16cid:durableId="182134666">
    <w:abstractNumId w:val="3"/>
  </w:num>
  <w:num w:numId="7" w16cid:durableId="1453398972">
    <w:abstractNumId w:val="2"/>
  </w:num>
  <w:num w:numId="8" w16cid:durableId="2132553502">
    <w:abstractNumId w:val="1"/>
  </w:num>
  <w:num w:numId="9" w16cid:durableId="2057241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C7A"/>
    <w:rsid w:val="0015074B"/>
    <w:rsid w:val="0029639D"/>
    <w:rsid w:val="00326F90"/>
    <w:rsid w:val="00A66B15"/>
    <w:rsid w:val="00AA1D8D"/>
    <w:rsid w:val="00B47730"/>
    <w:rsid w:val="00B948BD"/>
    <w:rsid w:val="00CA37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FF932"/>
  <w14:defaultImageDpi w14:val="300"/>
  <w15:docId w15:val="{234DB98C-AF54-4187-A7E0-B45E52AD1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000000"/>
    </w:rPr>
  </w:style>
  <w:style w:type="paragraph" w:styleId="Titre1">
    <w:name w:val="heading 1"/>
    <w:basedOn w:val="Normal"/>
    <w:next w:val="Normal"/>
    <w:link w:val="Titre1Car"/>
    <w:uiPriority w:val="9"/>
    <w:qFormat/>
    <w:rsid w:val="00FC693F"/>
    <w:pPr>
      <w:keepNext/>
      <w:keepLines/>
      <w:spacing w:before="240" w:after="120"/>
      <w:outlineLvl w:val="0"/>
    </w:pPr>
    <w:rPr>
      <w:rFonts w:asciiTheme="majorHAnsi" w:eastAsiaTheme="majorEastAsia" w:hAnsiTheme="majorHAnsi" w:cstheme="majorBidi"/>
      <w:b/>
      <w:bCs/>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5031</Words>
  <Characters>27675</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Comments IBFI 2026</dc:title>
  <dc:subject>Speaker notes for Inflation Inequality Across the Euro Area</dc:subject>
  <dc:creator>montornes jeremi</dc:creator>
  <cp:keywords/>
  <dc:description>generated by python-docx</dc:description>
  <cp:lastModifiedBy>montornes jeremi</cp:lastModifiedBy>
  <cp:revision>2</cp:revision>
  <dcterms:created xsi:type="dcterms:W3CDTF">2026-09-24T13:13:00Z</dcterms:created>
  <dcterms:modified xsi:type="dcterms:W3CDTF">2026-09-24T13:13:00Z</dcterms:modified>
  <cp:category/>
</cp:coreProperties>
</file>