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28"/>
        </w:rPr>
        <w:t>Action points [septembre 2026]</w:t>
      </w:r>
    </w:p>
    <w:p>
      <w:pPr>
        <w:pStyle w:val="ListBullet"/>
      </w:pPr>
      <w:r>
        <w:t>Refaire les tableaux en moyennes annuelles [fait]</w:t>
      </w:r>
    </w:p>
    <w:p>
      <w:pPr>
        <w:pStyle w:val="ListBullet"/>
      </w:pPr>
      <w:r>
        <w:t>Choc alimentaire [fait]</w:t>
      </w:r>
    </w:p>
    <w:p>
      <w:pPr>
        <w:spacing w:before="160" w:after="80"/>
      </w:pPr>
      <w:r>
        <w:rPr>
          <w:rFonts w:ascii="Calibri" w:hAnsi="Calibri"/>
          <w:b/>
          <w:sz w:val="22"/>
        </w:rPr>
        <w:t>Section 4</w:t>
      </w:r>
    </w:p>
    <w:p>
      <w:pPr>
        <w:pStyle w:val="ListBullet"/>
      </w:pPr>
      <w:r>
        <w:t>Écart entre les distributions individuelles et contrefactuelles [à faire]</w:t>
      </w:r>
    </w:p>
    <w:p>
      <w:pPr>
        <w:pStyle w:val="ListBullet"/>
      </w:pPr>
      <w:r>
        <w:t>Regression [à reprendre]</w:t>
      </w:r>
    </w:p>
    <w:p>
      <w:pPr>
        <w:spacing w:before="160" w:after="80"/>
      </w:pPr>
      <w:r>
        <w:rPr>
          <w:rFonts w:ascii="Calibri" w:hAnsi="Calibri"/>
          <w:b/>
          <w:sz w:val="22"/>
        </w:rPr>
        <w:t>Annexes</w:t>
      </w:r>
    </w:p>
    <w:p>
      <w:pPr>
        <w:pStyle w:val="ListBullet"/>
      </w:pPr>
      <w:r>
        <w:t>Biais d’agrégation pour la France aux niveaux COICOP 3 et 4 [à ajuster]</w:t>
      </w:r>
    </w:p>
    <w:p>
      <w:pPr>
        <w:pStyle w:val="ListBullet"/>
      </w:pPr>
      <w:r>
        <w:t>Recalcul du HICP hors loyers [à faire]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points [septembre 2026]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