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re"/>
      </w:pPr>
      <w:r>
        <w:t>Comments IBFI 2026</w:t>
      </w:r>
    </w:p>
    <w:p>
      <w:pPr>
        <w:pStyle w:val="Sous-titre"/>
      </w:pPr>
      <w:r>
        <w:t>Inflation Inequality Across the Euro Area</w:t>
      </w:r>
    </w:p>
    <w:p>
      <w:pPr/>
      <w:r>
        <w:t>IBFI seminar 8 October 2026</w:t>
        <w:br/>
        <w:t>Speaker notes for slides 1 to 24 and appendices A1 to A24</w:t>
      </w:r>
    </w:p>
    <w:p>
      <w:pPr/>
      <w:r>
        <w:t>The presentation explains how heterogeneous consumption baskets create unequal inflation exposure, how unconventional fiscal policies changed inflation and its distribution, and what household microdata reveal beyond group averages.</w:t>
      </w:r>
    </w:p>
    <w:p>
      <w:pPr>
        <w:pStyle w:val="Titre1"/>
        <w:keepNext/>
        <w:keepLines/>
      </w:pPr>
      <w:r>
        <w:t>Slide 1 Inflation Inequality Across the Euro Area</w:t>
      </w:r>
    </w:p>
    <w:p>
      <w:pPr/>
      <w:r>
        <w:t>Let me introduce myself. I am an economist at the Banque de France. This presentation is joint work with Erwan Gautier. Please feel free to interrupt me if you need any clarification.</w:t>
      </w:r>
    </w:p>
    <w:p>
      <w:pPr/>
      <w:r>
        <w:t>The presentation examines the surge in euro-area inflation and its heterogeneous impact across households since mid-2021. We will focus on the empirical results and on tools that other central banks can use to construct comparable indicators.</w:t>
      </w:r>
    </w:p>
    <w:p>
      <w:pPr>
        <w:pStyle w:val="Titre1"/>
        <w:keepNext/>
        <w:keepLines/>
      </w:pPr>
      <w:r>
        <w:t>Slide 2 Household Inflation Exposure in the Euro Area</w:t>
      </w:r>
    </w:p>
    <w:p>
      <w:pPr/>
      <w:r>
        <w:t>Our question is how supply shocks affect households with different consumption baskets. The same product-price changes can generate different household inflation rates because households allocate their spending differently.</w:t>
      </w:r>
    </w:p>
    <w:p>
      <w:pPr/>
      <w:r>
        <w:t>We construct monthly household-level price indices for about 150,000 households and monthly group-level indices by income, age, and residence area. We then use counterfactual price paths to quantify how fiscal measures changed average inflation and inflation inequality during the energy crisis.</w:t>
      </w:r>
    </w:p>
    <w:p>
      <w:pPr>
        <w:pStyle w:val="Titre1"/>
        <w:keepNext/>
        <w:keepLines/>
      </w:pPr>
      <w:r>
        <w:t>Slide 3 Heterogeneous Effects of Inflation</w:t>
      </w:r>
    </w:p>
    <w:p>
      <w:pPr/>
      <w:r>
        <w:t>Inflation affects households through three channels: nominal income, balance sheets, and consumption baskets. These channels operate simultaneously, but the indices in this presentation measure only the consumption-basket channel.</w:t>
      </w:r>
    </w:p>
    <w:p>
      <w:pPr/>
      <w:r>
        <w:t>For the nominal-income channel, a retiree whose pension is indexed to inflation is better protected than a worker whose wage remains unchanged. Unexpected inflation can also redistribute wealth between creditors and debtors by reducing the real value of nominal debt.</w:t>
      </w:r>
    </w:p>
    <w:p>
      <w:pPr/>
      <w:r>
        <w:t>Our narrower question is which households face larger price increases for what they consume. Different household inflation rates do not, by themselves, rank total welfare losses.</w:t>
      </w:r>
    </w:p>
    <w:p>
      <w:pPr>
        <w:pStyle w:val="Titre1"/>
        <w:keepNext/>
        <w:keepLines/>
      </w:pPr>
      <w:r>
        <w:t>Slide 4 An Introductory Example</w:t>
      </w:r>
    </w:p>
    <w:p>
      <w:pPr/>
      <w:r>
        <w:t>Suppose housing energy represents 10 percent of expenditure for the first income quintile and 6 percent for the fifth quintile.</w:t>
      </w:r>
    </w:p>
    <w:p>
      <w:pPr/>
      <w:r>
        <w:t>If energy prices rise by 40 percent while all other prices remain unchanged, inflation is 4.0 percent for Q1 and 2.4 percent for Q5. The Q1-Q5 gap is therefore 1.6 percentage points.</w:t>
      </w:r>
    </w:p>
    <w:p>
      <w:pPr/>
      <w:r>
        <w:t>If every product price instead rises by 40 percent, both groups face 40 percent inflation and the gap is zero. Different baskets generate inflation inequality only when price changes differ across products.</w:t>
      </w:r>
    </w:p>
    <w:p>
      <w:pPr>
        <w:pStyle w:val="Titre1"/>
        <w:keepNext/>
        <w:keepLines/>
      </w:pPr>
      <w:r>
        <w:t>Slide 5 What Do Our Inflation Indices Capture</w:t>
      </w:r>
    </w:p>
    <w:p>
      <w:pPr/>
      <w:r>
        <w:t>Our indicators capture differences across product categories. For example, they distinguish spending on bread, energy, and services, and household microdata show how these category shares vary across households.</w:t>
      </w:r>
    </w:p>
    <w:p>
      <w:pPr/>
      <w:r>
        <w:t>They do not observe choices within a category, such as organic versus regular bread, or prices paid for the same product at a bakery rather than a supermarket. Those margins require scanner or transaction data.</w:t>
      </w:r>
    </w:p>
    <w:p>
      <w:pPr/>
      <w:r>
        <w:t>The household indices therefore reveal more dispersion than broad group averages, but common HICP prices still leave part of household inflation inequality unobserved.</w:t>
      </w:r>
    </w:p>
    <w:p>
      <w:pPr>
        <w:pStyle w:val="Titre1"/>
        <w:keepNext/>
        <w:keepLines/>
      </w:pPr>
      <w:r>
        <w:t>Slide 6 Main Findings</w:t>
      </w:r>
    </w:p>
    <w:p>
      <w:pPr/>
      <w:r>
        <w:t>The annual Q1-Q5 inflation gap reached 1.2 percentage points in 2022 in the euro area, with large differences across countries.</w:t>
      </w:r>
    </w:p>
    <w:p>
      <w:pPr/>
      <w:r>
        <w:t>Price policies lowered euro-area inflation by 1.5 percentage points in 2022 and reduced the Q1-Q5 gap by 0.6 percentage point. Household energy measures account for most of the reduction.</w:t>
      </w:r>
    </w:p>
    <w:p>
      <w:pPr/>
      <w:r>
        <w:t>Household-level inflation also displays substantial dispersion within income quintiles, so group averages capture only part of the heterogeneity in inflation exposure.</w:t>
      </w:r>
    </w:p>
    <w:p>
      <w:pPr>
        <w:pStyle w:val="Titre1"/>
        <w:keepNext/>
        <w:keepLines/>
      </w:pPr>
      <w:r>
        <w:t>Slide 7 Energy and Food Drove Large Relative Price Changes</w:t>
      </w:r>
    </w:p>
    <w:p>
      <w:pPr/>
      <w:r>
        <w:t>This chart shows year-on-year inflation across euro-area product categories. Energy prices rose sharply during the 2021-2022 shock, especially for electricity, gas, and motor fuels. Food later became an important driver.</w:t>
      </w:r>
    </w:p>
    <w:p>
      <w:pPr/>
      <w:r>
        <w:t>The composition of inflation changes over time. A household with a large energy share is affected differently when energy leads the shock than when food or services lead it.</w:t>
      </w:r>
    </w:p>
    <w:p>
      <w:pPr/>
      <w:r>
        <w:t>Lower inflation later does not undo the earlier increase in the price level. This is why annual inflation gaps and cumulative price-level gaps must be distinguished.</w:t>
      </w:r>
    </w:p>
    <w:p>
      <w:pPr>
        <w:pStyle w:val="Titre1"/>
        <w:keepNext/>
        <w:keepLines/>
      </w:pPr>
      <w:r>
        <w:t>Slide 8 Consumption Baskets Differ Across Income Quintiles</w:t>
      </w:r>
    </w:p>
    <w:p>
      <w:pPr/>
      <w:r>
        <w:t>The 2020 Household Budget Survey shows that lower-income households devote larger budget shares to food, rents, and energy. Higher-income households devote larger shares to several other goods and services.</w:t>
      </w:r>
    </w:p>
    <w:p>
      <w:pPr/>
      <w:r>
        <w:t>This descriptive chart includes rents. The inflation indices used in the results exclude actual and imputed rents and renormalize the remaining matched basket.</w:t>
      </w:r>
    </w:p>
    <w:p>
      <w:pPr/>
      <w:r>
        <w:t>The figure illustrates the source of heterogeneous exposure: income groups assign different expenditure weights to products whose prices do not move together.</w:t>
      </w:r>
    </w:p>
    <w:p>
      <w:pPr>
        <w:pStyle w:val="Titre1"/>
        <w:keepNext/>
        <w:keepLines/>
      </w:pPr>
      <w:r>
        <w:t>Slide 9 Linking HICP Prices to Household Budget Surveys</w:t>
      </w:r>
    </w:p>
    <w:p>
      <w:pPr/>
      <w:r>
        <w:t>We link monthly HICP components and annual official product weights to fixed 2020 Household Budget Survey expenditure records. Group baskets are built from microdata wherever the required records are available.</w:t>
      </w:r>
    </w:p>
    <w:p>
      <w:pPr/>
      <w:r>
        <w:t>Group-level indices cover 20 euro-area countries, while household-level indices cover 18 countries. We remove actual and imputed rents, match products at the three-digit COICOP level, and calibrate the retained expenditure matrix to official HICP product shares.</w:t>
      </w:r>
    </w:p>
    <w:p>
      <w:r>
        <w:br w:type="page"/>
      </w:r>
    </w:p>
    <w:p>
      <w:pPr>
        <w:pStyle w:val="Titre1"/>
        <w:keepNext/>
        <w:keepLines/>
      </w:pPr>
      <w:r>
        <w:t>Slide 10 Calibrated Baskets Produce Chained Inflation Indices</w:t>
      </w:r>
    </w:p>
    <w:p>
      <w:pPr/>
      <w:r>
        <w:t>RAS calibration adjusts the product-by-group expenditure matrix so that it simultaneously matches group expenditure margins and official HICP product shares for the retained non-rent basket. The group margins are expenditure shares, not population shares.</w:t>
      </w:r>
    </w:p>
    <w:p>
      <w:pPr/>
      <w:r>
        <w:t>Within each year, product prices are compared with the preceding December, and the resulting links are chained across years. Euro-area indices combine country series using annual HICP country weights.</w:t>
      </w:r>
    </w:p>
    <w:p>
      <w:pPr/>
      <w:r>
        <w:t>The link at the top of the slide points to our R package for downloading the data, calculating the indices, and visualizing comparable inflation-inequality indicators.</w:t>
      </w:r>
    </w:p>
    <w:p>
      <w:pPr>
        <w:pStyle w:val="Titre1"/>
        <w:keepNext/>
        <w:keepLines/>
      </w:pPr>
      <w:r>
        <w:t>Slide 11 The Inflation Surge Widened Household Dispersion</w:t>
      </w:r>
    </w:p>
    <w:p>
      <w:pPr/>
      <w:r>
        <w:t>We now move from group baskets to household-level inflation. The distribution widens sharply during the inflation surge: in October 2022, mean household inflation reaches 11.9 percent, while the weighted national D1 and D9 cutoffs are 8.0 and 16.5 percent, a spread of 8.5 percentage points.</w:t>
      </w:r>
    </w:p>
    <w:p>
      <w:pPr/>
      <w:r>
        <w:t>The bands average national distribution endpoints; they are not confidence intervals or percentiles from a pooled euro-area household sample. National statistics first use HBS survey weights and are then combined with annual HICP country weights.</w:t>
      </w:r>
    </w:p>
    <w:p>
      <w:pPr/>
      <w:r>
        <w:t>Because all households face common HICP prices within each product category, the figure captures dispersion from basket shares but not from brands, retailers, promotions, or transaction prices.</w:t>
      </w:r>
    </w:p>
    <w:p>
      <w:pPr>
        <w:pStyle w:val="Titre1"/>
        <w:keepNext/>
        <w:keepLines/>
      </w:pPr>
      <w:r>
        <w:t>Slide 12 Observable Characteristics Explain Little of Household Dispersion</w:t>
      </w:r>
    </w:p>
    <w:p>
      <w:pPr/>
      <w:r>
        <w:t>Separate country-month regressions decompose household inflation variance into a component explained by observed characteristics and a residual component.</w:t>
      </w:r>
    </w:p>
    <w:p>
      <w:pPr/>
      <w:r>
        <w:t>Income, age, education, household size, and urbanization jointly explain only 6.2 percent of within-country variance on average across months, with a range from 2.4 to 10.6 percent.</w:t>
      </w:r>
    </w:p>
    <w:p>
      <w:pPr/>
      <w:r>
        <w:t>The remaining variation reflects basket differences not captured by these covariates, together with possible nonlinearities and measurement error. The result shows why Q1-Q5 averages alone cannot summarize household inflation inequality.</w:t>
      </w:r>
    </w:p>
    <w:p>
      <w:pPr>
        <w:pStyle w:val="Titre1"/>
        <w:keepNext/>
        <w:keepLines/>
      </w:pPr>
      <w:r>
        <w:t>Slide 13 The Income Inflation Gap Peaked During the Energy Shock</w:t>
      </w:r>
    </w:p>
    <w:p>
      <w:pPr/>
      <w:r>
        <w:t>The first income quintile faced higher year-on-year inflation than the fifth around the 2022 energy shock. Before and after the peak, the difference is much smaller.</w:t>
      </w:r>
    </w:p>
    <w:p>
      <w:pPr/>
      <w:r>
        <w:t>The shock began in 2021 and intensified after Russia's invasion of Ukraine. Lower-income households were more exposed because housing energy and food absorbed larger shares of their budgets.</w:t>
      </w:r>
    </w:p>
    <w:p>
      <w:pPr/>
      <w:r>
        <w:t>Similar annual inflation rates later do not imply that the earlier cumulative price-level difference has disappeared. Reversing it would require Q1 inflation to remain below Q5 inflation for a sufficient period.</w:t>
      </w:r>
    </w:p>
    <w:p>
      <w:pPr>
        <w:pStyle w:val="Titre1"/>
        <w:keepNext/>
        <w:keepLines/>
      </w:pPr>
      <w:r>
        <w:t>Slide 14 Household Energy and Food Widened the Income Gap</w:t>
      </w:r>
    </w:p>
    <w:p>
      <w:pPr/>
      <w:r>
        <w:t>The product decomposition explains the 1.2-point Q1-Q5 gap in 2022. Housing energy contributes 1.9 points and food contributes 0.7 point.</w:t>
      </w:r>
    </w:p>
    <w:p>
      <w:pPr/>
      <w:r>
        <w:t>These positive contributions are partly offset by categories on which Q5 spends relatively more. Vehicle operation, other transport, and other products contribute -0.4, -0.3, and -0.5 percentage point to the gap.</w:t>
      </w:r>
    </w:p>
    <w:p>
      <w:pPr/>
      <w:r>
        <w:t>The negative sign comes from Q5's larger budget shares combined with positive inflation in those categories. Their prices rose less than energy and food prices, which explains why the offset is only partial. In 2023, product contributions again largely cancel and the total gap rounds to zero.</w:t>
      </w:r>
    </w:p>
    <w:p>
      <w:pPr>
        <w:pStyle w:val="Titre1"/>
        <w:keepNext/>
        <w:keepLines/>
      </w:pPr>
      <w:r>
        <w:t>Slide 15 Euro Area Inflation by Income Quintile in 2022</w:t>
      </w:r>
    </w:p>
    <w:p>
      <w:pPr/>
      <w:r>
        <w:t>Inflation declines across income quintiles in 2022 because lower-income households devote larger expenditure shares to the products whose prices rose most sharply.</w:t>
      </w:r>
    </w:p>
    <w:p>
      <w:pPr/>
      <w:r>
        <w:t>The annual-average Q1-Q5 inflation gap is 1.2 percentage points. This euro-area average masks much larger gaps in several countries.</w:t>
      </w:r>
    </w:p>
    <w:p>
      <w:pPr/>
      <w:r>
        <w:t>The next two slides use IMF evidence for Kenya, Senegal, Mexico, and Colombia to place the euro-area gradient in a broader international perspective. The periods and household-ranking variables differ, so the comparisons are descriptive.</w:t>
      </w:r>
    </w:p>
    <w:p>
      <w:pPr>
        <w:pStyle w:val="Titre1"/>
        <w:keepNext/>
        <w:keepLines/>
      </w:pPr>
      <w:r>
        <w:t>Slide 16 Focus Kenya and Senegal</w:t>
      </w:r>
    </w:p>
    <w:p>
      <w:pPr/>
      <w:r>
        <w:t>The IMF figure covers the second quarter of 2021 to the second quarter of 2022. The bars report household-specific inflation by quintile and product contribution; the dashed line is national inflation.</w:t>
      </w:r>
    </w:p>
    <w:p>
      <w:pPr/>
      <w:r>
        <w:t>Reading the rounded bar heights gives an approximate Q1-Q5 gap of 2.9 percentage points in Kenya and 2.1 points in Senegal. The approximation sign matters because the underlying numerical series are not printed in the figure.</w:t>
      </w:r>
    </w:p>
    <w:p>
      <w:pPr/>
      <w:r>
        <w:t>Food-price increases weigh more on poorer households because food absorbs a larger share of their spending. Quintiles are based on per-capita consumption in these two countries.</w:t>
      </w:r>
    </w:p>
    <w:p>
      <w:pPr>
        <w:pStyle w:val="Titre1"/>
        <w:keepNext/>
        <w:keepLines/>
      </w:pPr>
      <w:r>
        <w:t>Slide 17 Focus Mexico and Colombia</w:t>
      </w:r>
    </w:p>
    <w:p>
      <w:pPr/>
      <w:r>
        <w:t>The same IMF figure gives approximate Q1-Q5 inflation gaps of 2.6 percentage points in Mexico and 2.8 points in Colombia over 2021Q2-2022Q2.</w:t>
      </w:r>
    </w:p>
    <w:p>
      <w:pPr/>
      <w:r>
        <w:t>Food again drives much of the expenditure gradient. The 1.2-point euro-area gap in calendar 2022 is only a benchmark because the periods and definitions differ; the IMF uses per-capita income for Mexico and Colombia, while our euro-area groups use total net household income.</w:t>
      </w:r>
    </w:p>
    <w:p>
      <w:pPr>
        <w:pStyle w:val="Titre1"/>
        <w:keepNext/>
        <w:keepLines/>
      </w:pPr>
      <w:r>
        <w:t>Slide 18 Is There a Role for Fiscal Policy in Fighting Inflation</w:t>
      </w:r>
    </w:p>
    <w:p>
      <w:pPr/>
      <w:r>
        <w:t>An adverse supply shock raises inflation while weakening activity, creating a difficult policy trade-off. Monetary policy must keep expectations anchored and prevent second-round effects.</w:t>
      </w:r>
    </w:p>
    <w:p>
      <w:pPr/>
      <w:r>
        <w:t>Conventional fiscal policy can support the policy mix by tightening aggregate demand. Unconventional fiscal policy instead acts directly on selected consumer prices through measures such as tariff shields, tax reductions, and rebates.</w:t>
      </w:r>
    </w:p>
    <w:p>
      <w:pPr/>
      <w:r>
        <w:t>These measures can support households by reducing inflation directly and can limit heterogeneous effects when they target low-income groups. They can complement monetary policy temporarily, but they cannot replace it.</w:t>
      </w:r>
    </w:p>
    <w:p>
      <w:pPr>
        <w:pStyle w:val="Titre1"/>
        <w:keepNext/>
        <w:keepLines/>
      </w:pPr>
      <w:r>
        <w:t>Slide 19 Unconventional Fiscal Policies Cost as a Share of GDP</w:t>
      </w:r>
    </w:p>
    <w:p>
      <w:pPr/>
      <w:r>
        <w:t>The stacked bars summarize the documented fiscal cost of the active measures in our inventory. Policy packages differed sharply across countries in both their total cost and the mix of instruments used.</w:t>
      </w:r>
    </w:p>
    <w:p>
      <w:pPr/>
      <w:r>
        <w:t>Countries relied on different combinations of VAT and excise reductions, administered-price measures, fuel rebates, and other envelopes. The bars report gross documented costs and do not provide a cost-effectiveness ranking.</w:t>
      </w:r>
    </w:p>
    <w:p>
      <w:pPr/>
      <w:r>
        <w:t>Some envelopes include business beneficiaries or cannot be split precisely by instrument, so the chart should be read as a fiscal-cost inventory rather than a measure of household-specific benefits.</w:t>
      </w:r>
    </w:p>
    <w:p>
      <w:r>
        <w:br w:type="page"/>
      </w:r>
    </w:p>
    <w:p>
      <w:pPr>
        <w:pStyle w:val="Titre1"/>
        <w:keepNext/>
        <w:keepLines/>
      </w:pPr>
      <w:r>
        <w:t>Slide 20 France Price Measures Reduced Gas and Fuel Inflation</w:t>
      </w:r>
    </w:p>
    <w:p>
      <w:pPr/>
      <w:r>
        <w:t>The two panels compare observed and no-policy year-on-year inflation for French gas and motor fuels. They show the products for which the direct reference-price reconstruction is most transparent.</w:t>
      </w:r>
    </w:p>
    <w:p>
      <w:pPr/>
      <w:r>
        <w:t>For gas, the counterfactual rescales the observed HICP component using the ratio of the CRE reference tariff without the shield to the observed tariff. For motor fuels, it adds the statutory per-litre rebate back to the observed pump price.</w:t>
      </w:r>
    </w:p>
    <w:p>
      <w:pPr/>
      <w:r>
        <w:t>The measures reduce inflation while they are active, while withdrawal and base effects alter the later year-on-year comparison. The exercise holds baskets fixed and does not model financing, behavioral responses, or general-equilibrium effects.</w:t>
      </w:r>
    </w:p>
    <w:p>
      <w:pPr>
        <w:pStyle w:val="Titre1"/>
        <w:keepNext/>
        <w:keepLines/>
      </w:pPr>
      <w:r>
        <w:t>Slide 21 Euro Area Price Policies Compressed the Inflation Peak</w:t>
      </w:r>
    </w:p>
    <w:p>
      <w:pPr/>
      <w:r>
        <w:t>At the euro-area level, observed inflation lies below the no-policy scenario around the peak. The annual-average policy effect is about -1.5 percentage points in 2022.</w:t>
      </w:r>
    </w:p>
    <w:p>
      <w:pPr/>
      <w:r>
        <w:t>The curves can cross later because measures expire and year-on-year comparisons incorporate base effects. A positive later inflation effect can coexist with a persistently lower price level.</w:t>
      </w:r>
    </w:p>
    <w:p>
      <w:pPr/>
      <w:r>
        <w:t>The comparison isolates the direct consumer-price effect of the measures under fixed baskets. It is not a complete welfare or macroeconomic evaluation of the fiscal packages.</w:t>
      </w:r>
    </w:p>
    <w:p>
      <w:pPr>
        <w:pStyle w:val="Titre1"/>
        <w:keepNext/>
        <w:keepLines/>
      </w:pPr>
      <w:r>
        <w:t>Slide 22 Policy Effects on the Q1 Q5 Gap</w:t>
      </w:r>
    </w:p>
    <w:p>
      <w:pPr/>
      <w:r>
        <w:t>The policy effect equals the observed Q1-Q5 gap minus the no-policy counterfactual gap. Negative values mean that the measures narrowed the gap.</w:t>
      </w:r>
    </w:p>
    <w:p>
      <w:pPr/>
      <w:r>
        <w:t>The observed euro-area gap is 0.1 point in 2021, 1.2 points in 2022, and approximately zero in 2023. The corresponding policy effects are -0.1, -0.6, and -0.5 percentage point.</w:t>
      </w:r>
    </w:p>
    <w:p>
      <w:pPr/>
      <w:r>
        <w:t>Electricity and gas support account for most of the reduction. Fuel support partly offsets the narrowing in 2022 because vehicle-operation expenditure is distributed differently across income groups.</w:t>
      </w:r>
    </w:p>
    <w:p>
      <w:pPr>
        <w:pStyle w:val="Titre1"/>
        <w:keepNext/>
        <w:keepLines/>
      </w:pPr>
      <w:r>
        <w:t>Slide 23 Household Energy Accounts for Most of the Gap Reduction</w:t>
      </w:r>
    </w:p>
    <w:p>
      <w:pPr/>
      <w:r>
        <w:t>This table decomposes the policy effect by product. Negative entries mean that the measures lower inflation or narrow the Q1-Q5 gap.</w:t>
      </w:r>
    </w:p>
    <w:p>
      <w:pPr/>
      <w:r>
        <w:t>In 2022, household-energy measures lower average inflation by 1.2 points and narrow the gap by 0.6 point. Vehicle-operation measures lower average inflation by 0.3 point but offset 0.1 point of the gap reduction.</w:t>
      </w:r>
    </w:p>
    <w:p>
      <w:pPr/>
      <w:r>
        <w:t>In 2023, household energy still narrows the gap by 0.5 point, while the total inflation effect is -0.6 point. The results imply greater price relief for the Q1 consumption basket, not necessarily greater benefits for individual Q1 households according to actual eligibility.</w:t>
      </w:r>
    </w:p>
    <w:p>
      <w:pPr>
        <w:pStyle w:val="Titre1"/>
        <w:keepNext/>
        <w:keepLines/>
      </w:pPr>
      <w:r>
        <w:t>Slide 24 Conclusion</w:t>
      </w:r>
    </w:p>
    <w:p>
      <w:pPr/>
      <w:r>
        <w:t>HICP prices combined with household baskets reveal heterogeneous inflation exposure both across broad groups and within them. Observable characteristics explain only a small share of household-level dispersion.</w:t>
      </w:r>
    </w:p>
    <w:p>
      <w:pPr/>
      <w:r>
        <w:t>Unconventional fiscal policy reduced euro-area inflation and compressed inflation inequality. The counterfactual identifies direct consumer-price effects; production-network effects are analyzed separately for import-price shocks.</w:t>
      </w:r>
    </w:p>
    <w:p>
      <w:pPr/>
      <w:r>
        <w:t>The effectiveness of these measures was state-dependent. The energy-price shock was temporary, the euro-area economy was not especially overheated, and monetary policy also contributed to stabilization. I am happy to take questions.</w:t>
      </w:r>
    </w:p>
    <w:p>
      <w:pPr>
        <w:pStyle w:val="Titre"/>
        <w:keepNext/>
        <w:pageBreakBefore/>
      </w:pPr>
      <w:r>
        <w:t>Appendix discussion notes</w:t>
      </w:r>
    </w:p>
    <w:p>
      <w:pPr/>
      <w:r>
        <w:t>Use these notes for questions and additional discussion. The order follows the 24 numbered appendix slides after the unnumbered appendix divider.</w:t>
      </w:r>
    </w:p>
    <w:p>
      <w:pPr>
        <w:pStyle w:val="Titre1"/>
        <w:keepNext/>
        <w:keepLines/>
      </w:pPr>
      <w:r>
        <w:t>Appendix A1 Inflation Burden Is Larger for Low Income Households</w:t>
      </w:r>
    </w:p>
    <w:p>
      <w:pPr/>
      <w:r>
        <w:t>Similar inflation rates can imply very different exposure relative to income. We scale each household's non-rent inflation by matched non-rent expenditure relative to net income.</w:t>
      </w:r>
    </w:p>
    <w:p>
      <w:pPr/>
      <w:r>
        <w:t>For Q1, the burden is 2.5 percent in 2021, 8.7 percent in 2022, and 4.8 percent in 2023. The corresponding values for Q5 are 1.5, 4.7, and 3.0 percent.</w:t>
      </w:r>
    </w:p>
    <w:p>
      <w:pPr/>
      <w:r>
        <w:t>The calculation holds 2020 resources and baskets fixed and winsorizes expenditure-to-income ratios at the national 99th percentile. It is scaled price exposure, not an observed decline in real income or a welfare loss.</w:t>
      </w:r>
    </w:p>
    <w:p>
      <w:pPr>
        <w:pStyle w:val="Titre1"/>
        <w:keepNext/>
        <w:keepLines/>
      </w:pPr>
      <w:r>
        <w:t>Appendix A2 Policy Effects Differed Sharply Across Countries and Years</w:t>
      </w:r>
    </w:p>
    <w:p>
      <w:pPr/>
      <w:r>
        <w:t>The national estimates differ in magnitude and timing because policy designs, price paths, and implementation dates differ.</w:t>
      </w:r>
    </w:p>
    <w:p>
      <w:pPr/>
      <w:r>
        <w:t>For example, the 2022 inflation effect is -2.7 points in France, -2.5 in the Netherlands, and -2.1 in Spain, compared with -0.7 in Germany. The corresponding effects on the Q1-Q5 gap also vary substantially.</w:t>
      </w:r>
    </w:p>
    <w:p>
      <w:pPr/>
      <w:r>
        <w:t>Positive later inflation effects, such as Italy in 2023, can arise from withdrawal and base effects even when the policy kept the price level lower during the support period. These are accounting effects, not causal rankings of national policy quality.</w:t>
      </w:r>
    </w:p>
    <w:p>
      <w:pPr>
        <w:pStyle w:val="Titre1"/>
        <w:keepNext/>
        <w:keepLines/>
      </w:pPr>
      <w:r>
        <w:t>Appendix A3 Household Microdata Show Unequal Inflation Exposure</w:t>
      </w:r>
    </w:p>
    <w:p>
      <w:pPr/>
      <w:r>
        <w:t>The household sample contains 152,613 households across 18 countries; Italy and Portugal are excluded because the required household baskets or rent detail are unavailable.</w:t>
      </w:r>
    </w:p>
    <w:p>
      <w:pPr/>
      <w:r>
        <w:t>Each household keeps its fixed 2020 HBS non-rent basket, matched to country-level HICP product prices. The indices capture inflation differences arising from expenditure shares across COICOP categories.</w:t>
      </w:r>
    </w:p>
    <w:p>
      <w:pPr/>
      <w:r>
        <w:t>Common HICP prices do not capture brands, varieties, retailers, promotions, or transaction prices within a category. Scanner data suggest that those margins can create substantial additional dispersion.</w:t>
      </w:r>
    </w:p>
    <w:p>
      <w:pPr>
        <w:pStyle w:val="Titre1"/>
        <w:keepNext/>
        <w:keepLines/>
      </w:pPr>
      <w:r>
        <w:t>Appendix A4 Group and Household Indices Both Exclude Rents</w:t>
      </w:r>
    </w:p>
    <w:p>
      <w:pPr/>
      <w:r>
        <w:t>The baseline removes actual and imputed rents, HBS categories 041 and 042, together with the corresponding HICP rent components before matching and aggregation.</w:t>
      </w:r>
    </w:p>
    <w:p>
      <w:pPr/>
      <w:r>
        <w:t>Parent housing categories are reconstructed without rents, and all weights are normalized over matched non-rent products. Both group and household indices use RAS calibration to annual HICP product margins.</w:t>
      </w:r>
    </w:p>
    <w:p>
      <w:pPr/>
      <w:r>
        <w:t>Rent-sensitivity and official all-items validation exercises retain their own explicitly stated reference coverage and should not be confused with the non-rent baseline.</w:t>
      </w:r>
    </w:p>
    <w:p>
      <w:pPr>
        <w:pStyle w:val="Titre1"/>
        <w:keepNext/>
        <w:keepLines/>
      </w:pPr>
      <w:r>
        <w:t>Appendix A5 RAS Calibration and the Micro Macro Link</w:t>
      </w:r>
    </w:p>
    <w:p>
      <w:pPr/>
      <w:r>
        <w:t>The aggregate country link weights each household's December-relative price link by its survey weight times matched non-rent expenditure. Country links are then combined with annual HICP country weights before chaining.</w:t>
      </w:r>
    </w:p>
    <w:p>
      <w:pPr/>
      <w:r>
        <w:t>This expenditure-weighted construction produces an aggregate price index from the same microdata. Inflation should be calculated from that chained aggregate index.</w:t>
      </w:r>
    </w:p>
    <w:p>
      <w:pPr/>
      <w:r>
        <w:t>The survey-weighted arithmetic mean of individual inflation rates is a separate distributional statistic. It need not equal the expenditure-weighted aggregate because the two weighting schemes answer different questions.</w:t>
      </w:r>
    </w:p>
    <w:p>
      <w:pPr>
        <w:pStyle w:val="Titre1"/>
        <w:keepNext/>
        <w:keepLines/>
      </w:pPr>
      <w:r>
        <w:t>Appendix A6 Inflation Burden Scales Exposure by Household Resources</w:t>
      </w:r>
    </w:p>
    <w:p>
      <w:pPr/>
      <w:r>
        <w:t>For each household, the raw burden equals annual household inflation multiplied by matched non-rent expenditure divided by net income, using 2020 HBS values.</w:t>
      </w:r>
    </w:p>
    <w:p>
      <w:pPr/>
      <w:r>
        <w:t>Very small reported incomes can create extreme ratios. We therefore winsorize expenditure-to-income ratios at the national survey-weighted 99th percentile before aggregating household burdens.</w:t>
      </w:r>
    </w:p>
    <w:p>
      <w:pPr/>
      <w:r>
        <w:t>The measure captures exposure relative to household resources. It is not an exact welfare loss and does not model substitution or income adjustment.</w:t>
      </w:r>
    </w:p>
    <w:p>
      <w:pPr>
        <w:pStyle w:val="Titre1"/>
        <w:keepNext/>
        <w:keepLines/>
      </w:pPr>
      <w:r>
        <w:t>Appendix A7 Reconstructing Prices Without the Measures</w:t>
      </w:r>
    </w:p>
    <w:p>
      <w:pPr/>
      <w:r>
        <w:t>The no-policy product index equals the observed HICP component multiplied by the ratio of the counterfactual retail price to the observed retail price.</w:t>
      </w:r>
    </w:p>
    <w:p>
      <w:pPr/>
      <w:r>
        <w:t>Direct reconstructions use statutory taxes, rebates, or observed reference tariffs. When those paths are unavailable, aggregate-equivalent effects fit one parameter to the inventory assumption; conditional benchmarks use representative bills or contracts.</w:t>
      </w:r>
    </w:p>
    <w:p>
      <w:pPr/>
      <w:r>
        <w:t>Both scenarios use the same baskets and index construction. The exercise measures direct price effects and is not a household welfare model.</w:t>
      </w:r>
    </w:p>
    <w:p>
      <w:pPr>
        <w:pStyle w:val="Titre1"/>
        <w:keepNext/>
        <w:keepLines/>
      </w:pPr>
      <w:r>
        <w:t>Appendix A8 Matching Coverage Clarifies the Micro Macro Comparison</w:t>
      </w:r>
    </w:p>
    <w:p>
      <w:pPr/>
      <w:r>
        <w:t>This validation compares the survey-weighted household mean with the expenditure-weighted aggregate on the same 18-country, non-rent, matched-product coverage from January 2021 to December 2025.</w:t>
      </w:r>
    </w:p>
    <w:p>
      <w:pPr/>
      <w:r>
        <w:t>The two series need not coincide because one weights represented households and the other weights expenditure. A comparison with published all-items HICP must also account for different country and product coverage.</w:t>
      </w:r>
    </w:p>
    <w:p>
      <w:pPr/>
      <w:r>
        <w:t>The slide therefore separates a distributional household statistic from an aggregate consumption-price measure instead of treating one as an automatic validation of the other.</w:t>
      </w:r>
    </w:p>
    <w:p>
      <w:pPr>
        <w:pStyle w:val="Titre1"/>
        <w:keepNext/>
        <w:keepLines/>
      </w:pPr>
      <w:r>
        <w:t>Appendix A9 Finer Product Detail Can Widen or Narrow Income Gaps</w:t>
      </w:r>
    </w:p>
    <w:p>
      <w:pPr/>
      <w:r>
        <w:t>More detailed matching does not move the Q1-Q5 gap in a uniform direction. In Germany, the micro gap falls from 2.0 points at D2 to 1.5 at D3, while in Lithuania it rises from 2.9 at D2 to 4.9 at D4 and D5.</w:t>
      </w:r>
    </w:p>
    <w:p>
      <w:pPr/>
      <w:r>
        <w:t>In the Netherlands, the micro gap rises from 2.0 at D2 to 3.0 at D3, then falls to 1.9 at D5. Matched coverage also falls to 87.8 percent at D5.</w:t>
      </w:r>
    </w:p>
    <w:p>
      <w:pPr/>
      <w:r>
        <w:t>Changes across digit levels can reflect both additional product detail and changing matched coverage. This is a sensitivity exercise, not the updated baseline.</w:t>
      </w:r>
    </w:p>
    <w:p>
      <w:pPr>
        <w:pStyle w:val="Titre1"/>
        <w:keepNext/>
        <w:keepLines/>
      </w:pPr>
      <w:r>
        <w:t>Appendix A10 Inflation Inequality Was Highly Uneven Across Countries</w:t>
      </w:r>
    </w:p>
    <w:p>
      <w:pPr/>
      <w:r>
        <w:t>The complete country table confirms that the magnitude and sign of the annual Q1-Q5 gap vary sharply. Estonia and Latvia record gaps of 4.8 and 4.5 points in 2022, while Finland records -0.9 point.</w:t>
      </w:r>
    </w:p>
    <w:p>
      <w:pPr/>
      <w:r>
        <w:t>The ranking also changes over time. Belgium and the Netherlands move to negative gaps in 2023, while Slovenia records a positive 1.5-point gap.</w:t>
      </w:r>
    </w:p>
    <w:p>
      <w:pPr/>
      <w:r>
        <w:t>The euro-area average is 0.1 point in 2021, 1.2 in 2022, and approximately zero in 2023. It summarizes the weighted aggregate but not every national experience.</w:t>
      </w:r>
    </w:p>
    <w:p>
      <w:pPr>
        <w:pStyle w:val="Titre1"/>
        <w:keepNext/>
        <w:keepLines/>
      </w:pPr>
      <w:r>
        <w:t>Appendix A11 Older Households Faced Higher Inflation</w:t>
      </w:r>
    </w:p>
    <w:p>
      <w:pPr/>
      <w:r>
        <w:t>Older households face higher inflation around the energy peak because their expenditure composition exposes them differently to housing energy and other products.</w:t>
      </w:r>
    </w:p>
    <w:p>
      <w:pPr/>
      <w:r>
        <w:t>The gap is much smaller outside the peak. The ranking is driven by the product composition of each price shock rather than being a permanent feature.</w:t>
      </w:r>
    </w:p>
    <w:p>
      <w:pPr/>
      <w:r>
        <w:t>This chart compares group indices. Household regressions ask a different question by conditioning jointly on income, household size, education, residence, and country effects.</w:t>
      </w:r>
    </w:p>
    <w:p>
      <w:pPr>
        <w:pStyle w:val="Titre1"/>
        <w:keepNext/>
        <w:keepLines/>
      </w:pPr>
      <w:r>
        <w:t>Appendix A12 Rural Households Faced Higher Inflation at the Peak</w:t>
      </w:r>
    </w:p>
    <w:p>
      <w:pPr/>
      <w:r>
        <w:t>Rural households face higher inflation than households in cities around the 2022 peak, reflecting different exposure to housing energy, vehicle operation, and transport.</w:t>
      </w:r>
    </w:p>
    <w:p>
      <w:pPr/>
      <w:r>
        <w:t>The series converge later and the ranking can reverse when relative price changes shift. Residence effects should therefore be interpreted as time-varying exposure, not a fixed ordering.</w:t>
      </w:r>
    </w:p>
    <w:p>
      <w:pPr/>
      <w:r>
        <w:t>As with age, the group comparison is descriptive. Conditional household regressions control for additional characteristics and answer a different question.</w:t>
      </w:r>
    </w:p>
    <w:p>
      <w:pPr>
        <w:pStyle w:val="Titre1"/>
        <w:keepNext/>
        <w:keepLines/>
      </w:pPr>
      <w:r>
        <w:t>Appendix A13 Long Run Income Gaps Remain Smaller in the Euro Area</w:t>
      </w:r>
    </w:p>
    <w:p>
      <w:pPr/>
      <w:r>
        <w:t>The euro-area price indices show a persistent but comparatively modest long-run difference between Q1 and Q5 from 2000 to July 2026.</w:t>
      </w:r>
    </w:p>
    <w:p>
      <w:pPr/>
      <w:r>
        <w:t>The paper contrasts this pattern with the larger long-run US gaps documented by Jaravel. National price dynamics can offset one another in the euro-area aggregate.</w:t>
      </w:r>
    </w:p>
    <w:p>
      <w:pPr/>
      <w:r>
        <w:t>Cross-country comparisons remain imperfect because consumption coverage, income-group definitions, and product detail differ. Broad COICOP categories also omit within-product price differences captured in scanner data.</w:t>
      </w:r>
    </w:p>
    <w:p>
      <w:pPr>
        <w:pStyle w:val="Titre1"/>
        <w:keepNext/>
        <w:keepLines/>
      </w:pPr>
      <w:r>
        <w:t>Appendix A14 Direct and Indirect Exposure to Import Price Shocks</w:t>
      </w:r>
    </w:p>
    <w:p>
      <w:pPr/>
      <w:r>
        <w:t>The exercise applies the observed 2022 extra-EU import-price increases: 83.9 percent for energy and 21.0 percent for food.</w:t>
      </w:r>
    </w:p>
    <w:p>
      <w:pPr/>
      <w:r>
        <w:t>There is a direct effect through imported final consumption products and an indirect effect through imported inputs propagated across the FIGARO production network and mapped from industries to COICOP products.</w:t>
      </w:r>
    </w:p>
    <w:p>
      <w:pPr/>
      <w:r>
        <w:t>The simulation assumes complete pass-through and fixed input coefficients. It is an accounting measure of exposure, not a causal decomposition of observed inflation.</w:t>
      </w:r>
    </w:p>
    <w:p>
      <w:pPr>
        <w:pStyle w:val="Titre1"/>
        <w:keepNext/>
        <w:keepLines/>
      </w:pPr>
      <w:r>
        <w:t>Appendix A15 Energy Import Prices Widen the Income Inflation Gap</w:t>
      </w:r>
    </w:p>
    <w:p>
      <w:pPr/>
      <w:r>
        <w:t>Under the observed 2022 extra-EU energy import-price shock, the simulation produces 6.5 points of average inflation exposure and widens the Q1-Q5 gap by 1.1 points.</w:t>
      </w:r>
    </w:p>
    <w:p>
      <w:pPr/>
      <w:r>
        <w:t>Housing energy makes a gross contribution of 1.7 points to the gap. Vehicle operation contributes -0.5 point and other products offset a further 0.1 point.</w:t>
      </w:r>
    </w:p>
    <w:p>
      <w:pPr/>
      <w:r>
        <w:t>The total gap effect comprises about 0.4 point through direct exposure and 0.7 point through indirect production links. Components and totals are rounded separately.</w:t>
      </w:r>
    </w:p>
    <w:p>
      <w:pPr>
        <w:pStyle w:val="Titre1"/>
        <w:keepNext/>
        <w:keepLines/>
      </w:pPr>
      <w:r>
        <w:t>Appendix A16 More Granular Data Scanner Data and Cheapflation</w:t>
      </w:r>
    </w:p>
    <w:p>
      <w:pPr/>
      <w:r>
        <w:t>Scanner datasets observe barcode-level prices and quantities at high frequency. They can reveal household heterogeneity within broad product categories and differences in the prices actually paid.</w:t>
      </w:r>
    </w:p>
    <w:p>
      <w:pPr/>
      <w:r>
        <w:t>Their main limitations are incomplete product coverage, often concentrated on groceries, and limited cross-country comparability.</w:t>
      </w:r>
    </w:p>
    <w:p>
      <w:pPr/>
      <w:r>
        <w:t>Recent UK evidence finds faster price growth for cheaper varieties between 2021Q3 and 2023Q3. Thin margins are one possible mechanism, but this lies outside what our common-price indices can identify.</w:t>
      </w:r>
    </w:p>
    <w:p>
      <w:pPr>
        <w:pStyle w:val="Titre1"/>
        <w:keepNext/>
        <w:keepLines/>
      </w:pPr>
      <w:r>
        <w:t>Appendix A17 Scanner Data Reveal Dispersion Hidden by Common Prices</w:t>
      </w:r>
    </w:p>
    <w:p>
      <w:pPr/>
      <w:r>
        <w:t>The US Nielsen evidence shows how measured household dispersion rises as product and transaction detail increases.</w:t>
      </w:r>
    </w:p>
    <w:p>
      <w:pPr/>
      <w:r>
        <w:t>The mean interquartile range is 1.61 points with broad household baskets and common CPI prices, 3.99 with barcode baskets and national barcode-average prices, and 7.33 with household-level transaction prices.</w:t>
      </w:r>
    </w:p>
    <w:p>
      <w:pPr/>
      <w:r>
        <w:t>These are averages of date-specific interquartile ranges for barcode goods from 2004Q1 to 2012Q3. They are not additive variance components and are not directly comparable with our full-basket euro-area distributions.</w:t>
      </w:r>
    </w:p>
    <w:p>
      <w:pPr>
        <w:pStyle w:val="Titre1"/>
        <w:keepNext/>
        <w:keepLines/>
      </w:pPr>
      <w:r>
        <w:t>Appendix A18 National Designs Require Different Counterfactuals</w:t>
      </w:r>
    </w:p>
    <w:p>
      <w:pPr/>
      <w:r>
        <w:t>National policy designs require different reconstruction strategies. Germany's price brakes subsidized 80 percent of reference consumption, whereas the Netherlands capped actual consumption up to common limits.</w:t>
      </w:r>
    </w:p>
    <w:p>
      <w:pPr/>
      <w:r>
        <w:t>The Iberian mechanism in Spain and Portugal compensated fossil-fuel generators and was financed through benefiting buyers and congestion revenues. Cyprus, Ireland, and Italy used other combinations of subsidies, bill credits, charge reductions, and social bonuses.</w:t>
      </w:r>
    </w:p>
    <w:p>
      <w:pPr/>
      <w:r>
        <w:t>A single generic counterfactual would therefore misrepresent national schemes. The reconstruction must follow each measure's legal design, eligible quantity, timing, and financing boundary.</w:t>
      </w:r>
    </w:p>
    <w:p>
      <w:pPr>
        <w:pStyle w:val="Titre1"/>
        <w:keepNext/>
        <w:keepLines/>
      </w:pPr>
      <w:r>
        <w:t>Appendix A19 German Price Brakes Design Shapes Incentives</w:t>
      </w:r>
    </w:p>
    <w:p>
      <w:pPr/>
      <w:r>
        <w:t>The German price brakes illustrate why policy design matters beyond the immediate accounting effect on consumer prices.</w:t>
      </w:r>
    </w:p>
    <w:p>
      <w:pPr/>
      <w:r>
        <w:t>Krebs and Weber study conditions under which energy price controls can be optimal. Dertwinkel-Kalt and Wey show that price brakes can encourage suppliers to raise prices while preserving households' incentive to save energy.</w:t>
      </w:r>
    </w:p>
    <w:p>
      <w:pPr/>
      <w:r>
        <w:t>Our counterfactual focuses on the retail-price path faced by a representative household. These papers show that strategic supplier responses and consumption incentives are additional margins for policy evaluation.</w:t>
      </w:r>
    </w:p>
    <w:p>
      <w:pPr>
        <w:pStyle w:val="Titre1"/>
        <w:keepNext/>
        <w:keepLines/>
      </w:pPr>
      <w:r>
        <w:t>Appendix A20 Selected References</w:t>
      </w:r>
    </w:p>
    <w:p>
      <w:pPr/>
      <w:r>
        <w:t>These references cover the measurement of inflation inequality, household balance sheets, shopping behavior, fiscal measures, and long-run distributional price indices.</w:t>
      </w:r>
    </w:p>
    <w:p>
      <w:pPr/>
      <w:r>
        <w:t>For replication, the measurement papers and our package provide practical starting points. For a complete assessment of household welfare, the income, assets, and liabilities literature must be considered alongside consumption-basket exposure.</w:t>
      </w:r>
    </w:p>
    <w:p>
      <w:r>
        <w:br w:type="page"/>
      </w:r>
    </w:p>
    <w:p>
      <w:pPr>
        <w:pStyle w:val="Titre1"/>
        <w:keepNext/>
        <w:keepLines/>
      </w:pPr>
      <w:r>
        <w:t>Appendix A21 Question 1 What Generates Inflation Inequality</w:t>
      </w:r>
    </w:p>
    <w:p>
      <w:pPr/>
      <w:r>
        <w:t>Ask participants which combination can generate inflation inequality through consumption baskets.</w:t>
      </w:r>
    </w:p>
    <w:p>
      <w:pPr/>
      <w:r>
        <w:t>The correct answer is A: different consumption baskets combined with different price changes across products. If all product prices rise at the same rate, different shares alone do not create an inflation gap.</w:t>
      </w:r>
    </w:p>
    <w:p>
      <w:pPr>
        <w:pStyle w:val="Titre1"/>
        <w:keepNext/>
        <w:keepLines/>
      </w:pPr>
      <w:r>
        <w:t>Appendix A22 Question 2 What Do Our Inflation Indicators Capture</w:t>
      </w:r>
    </w:p>
    <w:p>
      <w:pPr/>
      <w:r>
        <w:t>Ask which source of household inflation heterogeneity is captured by the HICP-HBS indicators.</w:t>
      </w:r>
    </w:p>
    <w:p>
      <w:pPr/>
      <w:r>
        <w:t>The correct answer is A: differences in expenditure shares across COICOP categories, both across groups and across households.</w:t>
      </w:r>
    </w:p>
    <w:p>
      <w:pPr/>
      <w:r>
        <w:t>The indicators do not capture differences in brands, pack sizes, retailers, promotions, or purchase dates within a category. Those margins require scanner or transaction data.</w:t>
      </w:r>
    </w:p>
    <w:p>
      <w:pPr>
        <w:pStyle w:val="Titre1"/>
        <w:keepNext/>
        <w:keepLines/>
      </w:pPr>
      <w:r>
        <w:t>Appendix A23 Question 3 Policy Responses to a Supply Shock</w:t>
      </w:r>
    </w:p>
    <w:p>
      <w:pPr/>
      <w:r>
        <w:t>Ask participants which statements correctly describe the policy response to an adverse supply shock. Several answers are possible.</w:t>
      </w:r>
    </w:p>
    <w:p>
      <w:pPr/>
      <w:r>
        <w:t>The correct answers are B, C, and D. Monetary policy should prevent second-round effects and a de-anchoring of expectations; conventional fiscal tightening can cool aggregate demand; and temporary, targeted unconventional measures can support monetary policy.</w:t>
      </w:r>
    </w:p>
    <w:p>
      <w:pPr/>
      <w:r>
        <w:t>Answer A is incorrect because monetary policy cannot commit never to respond to a supply shock. Its response depends on persistence, expectations, and second-round effects.</w:t>
      </w:r>
    </w:p>
    <w:p>
      <w:pPr>
        <w:pStyle w:val="Titre1"/>
        <w:keepNext/>
        <w:keepLines/>
      </w:pPr>
      <w:r>
        <w:t>Appendix A24 The Answers Follow Three Core Mechanisms</w:t>
      </w:r>
    </w:p>
    <w:p>
      <w:pPr/>
      <w:r>
        <w:t>Question 1: A. Different baskets generate different inflation rates only when relative price changes differ across products.</w:t>
      </w:r>
    </w:p>
    <w:p>
      <w:pPr/>
      <w:r>
        <w:t>Question 2: A. Our indicators capture expenditure-share differences across COICOP categories, but not varieties or transaction prices within categories.</w:t>
      </w:r>
    </w:p>
    <w:p>
      <w:pPr/>
      <w:r>
        <w:t>Question 3: B, C, and D. Monetary policy must prevent second-round effects, while conventional fiscal tightening and temporary targeted price support can complement that response.</w:t>
      </w:r>
    </w:p>
    <w:sectPr w:rsidR="00A66B15" w:rsidSect="00034616">
      <w:footerReference w:type="default" r:id="rId8"/>
      <w:pgSz w:w="11909" w:h="16834"/>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3DE1B" w14:textId="77777777" w:rsidR="000E6C7A" w:rsidRDefault="000E6C7A">
      <w:pPr>
        <w:spacing w:after="0" w:line="240" w:lineRule="auto"/>
      </w:pPr>
      <w:r>
        <w:separator/>
      </w:r>
    </w:p>
  </w:endnote>
  <w:endnote w:type="continuationSeparator" w:id="0">
    <w:p w14:paraId="321B681D" w14:textId="77777777" w:rsidR="000E6C7A" w:rsidRDefault="000E6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66E6C" w14:textId="77777777" w:rsidR="00A66B15" w:rsidRDefault="00000000">
    <w:pPr>
      <w:pStyle w:val="Pieddepage"/>
      <w:jc w:val="right"/>
    </w:pPr>
    <w:r>
      <w:fldChar w:fldCharType="begin"/>
    </w:r>
    <w:r>
      <w:instrText>PAGE</w:instrText>
    </w:r>
    <w:r>
      <w:fldChar w:fldCharType="separate"/>
    </w:r>
    <w:r w:rsidR="00B948B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DB52E" w14:textId="77777777" w:rsidR="000E6C7A" w:rsidRDefault="000E6C7A">
      <w:pPr>
        <w:spacing w:after="0" w:line="240" w:lineRule="auto"/>
      </w:pPr>
      <w:r>
        <w:separator/>
      </w:r>
    </w:p>
  </w:footnote>
  <w:footnote w:type="continuationSeparator" w:id="0">
    <w:p w14:paraId="406817F7" w14:textId="77777777" w:rsidR="000E6C7A" w:rsidRDefault="000E6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79263642">
    <w:abstractNumId w:val="8"/>
  </w:num>
  <w:num w:numId="2" w16cid:durableId="123080875">
    <w:abstractNumId w:val="6"/>
  </w:num>
  <w:num w:numId="3" w16cid:durableId="1045106047">
    <w:abstractNumId w:val="5"/>
  </w:num>
  <w:num w:numId="4" w16cid:durableId="1695881469">
    <w:abstractNumId w:val="4"/>
  </w:num>
  <w:num w:numId="5" w16cid:durableId="36393992">
    <w:abstractNumId w:val="7"/>
  </w:num>
  <w:num w:numId="6" w16cid:durableId="182134666">
    <w:abstractNumId w:val="3"/>
  </w:num>
  <w:num w:numId="7" w16cid:durableId="1453398972">
    <w:abstractNumId w:val="2"/>
  </w:num>
  <w:num w:numId="8" w16cid:durableId="2132553502">
    <w:abstractNumId w:val="1"/>
  </w:num>
  <w:num w:numId="9" w16cid:durableId="20572415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C7A"/>
    <w:rsid w:val="0015074B"/>
    <w:rsid w:val="0029639D"/>
    <w:rsid w:val="00326F90"/>
    <w:rsid w:val="00A66B15"/>
    <w:rsid w:val="00AA1D8D"/>
    <w:rsid w:val="00B47730"/>
    <w:rsid w:val="00B948BD"/>
    <w:rsid w:val="00CA37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7FF932"/>
  <w14:defaultImageDpi w14:val="300"/>
  <w15:docId w15:val="{234DB98C-AF54-4187-A7E0-B45E52AD1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Calibri" w:hAnsi="Calibri"/>
      <w:color w:val="000000"/>
    </w:rPr>
  </w:style>
  <w:style w:type="paragraph" w:styleId="Titre1">
    <w:name w:val="heading 1"/>
    <w:basedOn w:val="Normal"/>
    <w:next w:val="Normal"/>
    <w:link w:val="Titre1Car"/>
    <w:uiPriority w:val="9"/>
    <w:qFormat/>
    <w:rsid w:val="00FC693F"/>
    <w:pPr>
      <w:keepNext/>
      <w:keepLines/>
      <w:spacing w:before="240" w:after="120"/>
      <w:outlineLvl w:val="0"/>
    </w:pPr>
    <w:rPr>
      <w:rFonts w:asciiTheme="majorHAnsi" w:eastAsiaTheme="majorEastAsia" w:hAnsiTheme="majorHAnsi" w:cstheme="majorBidi"/>
      <w:b/>
      <w:bCs/>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5031</Words>
  <Characters>27675</Characters>
  <Application>Microsoft Office Word</Application>
  <DocSecurity>0</DocSecurity>
  <Lines>230</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32641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Comments IBFI 2026</dc:title>
  <dc:subject>Speaker notes for Inflation Inequality Across the Euro Area</dc:subject>
  <dc:creator>montornes jeremi</dc:creator>
  <cp:keywords/>
  <dc:description>generated by python-docx</dc:description>
  <cp:lastModifiedBy>montornes jeremi</cp:lastModifiedBy>
  <cp:revision>2</cp:revision>
  <dcterms:created xsi:type="dcterms:W3CDTF">2026-09-24T13:13:00Z</dcterms:created>
  <dcterms:modified xsi:type="dcterms:W3CDTF">2026-09-24T13:13:00Z</dcterms:modified>
  <cp:category/>
</cp:coreProperties>
</file>