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39CF" w14:textId="50BBF4DE" w:rsidR="00AD0E46" w:rsidRDefault="006B3F1E" w:rsidP="007F1A71">
      <w:pPr>
        <w:pStyle w:val="Heading1"/>
        <w:numPr>
          <w:ilvl w:val="0"/>
          <w:numId w:val="3"/>
        </w:numPr>
      </w:pPr>
      <w:r>
        <w:t>Abstract</w:t>
      </w:r>
    </w:p>
    <w:p w14:paraId="55ADCB67" w14:textId="72342DA9" w:rsidR="006B3F1E" w:rsidRDefault="006B3F1E" w:rsidP="007F1A71">
      <w:pPr>
        <w:pStyle w:val="Heading1"/>
        <w:numPr>
          <w:ilvl w:val="0"/>
          <w:numId w:val="3"/>
        </w:numPr>
      </w:pPr>
      <w:r>
        <w:t>Acknowledgements</w:t>
      </w:r>
    </w:p>
    <w:p w14:paraId="6814203C" w14:textId="67259DB3" w:rsidR="001935C4" w:rsidRPr="001935C4" w:rsidRDefault="006B3F1E" w:rsidP="007F1A71">
      <w:pPr>
        <w:pStyle w:val="Heading1"/>
        <w:numPr>
          <w:ilvl w:val="0"/>
          <w:numId w:val="3"/>
        </w:numPr>
      </w:pPr>
      <w:r>
        <w:t>Introduction</w:t>
      </w:r>
    </w:p>
    <w:p w14:paraId="666704BF" w14:textId="7C0154D2" w:rsidR="006B3F1E" w:rsidRDefault="006B3F1E" w:rsidP="007F1A71">
      <w:pPr>
        <w:pStyle w:val="Heading2"/>
        <w:numPr>
          <w:ilvl w:val="1"/>
          <w:numId w:val="3"/>
        </w:numPr>
      </w:pPr>
      <w:r>
        <w:t>Overview</w:t>
      </w:r>
      <w:r w:rsidR="007F1A71">
        <w:tab/>
      </w:r>
    </w:p>
    <w:p w14:paraId="4CFAB195" w14:textId="5E04FA16" w:rsidR="002568C6" w:rsidRDefault="001935C4" w:rsidP="002568C6">
      <w:r>
        <w:t xml:space="preserve">Lohit Petikam, Ken Anjyo and Taehyun Rhee </w:t>
      </w:r>
      <w:sdt>
        <w:sdtPr>
          <w:rPr>
            <w:color w:val="000000"/>
          </w:rPr>
          <w:tag w:val="MENDELEY_CITATION_v3_eyJjaXRhdGlvbklEIjoiTUVOREVMRVlfQ0lUQVRJT05fZGEwZWI4OGEtZjAzMy00MDUxLTk2OWYtNDg4YzE5MDFkNzc1IiwicHJvcGVydGllcyI6eyJub3RlSW5kZXgiOjB9LCJpc0VkaXRlZCI6ZmFsc2UsIm1hbnVhbE92ZXJyaWRlIjp7ImlzTWFudWFsbHlPdmVycmlkZGVuIjpmYWxzZSwiY2l0ZXByb2NUZXh0IjoiKFBldGlrYW0gZXQgYWwu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="/>
          <w:id w:val="1107930793"/>
          <w:placeholder>
            <w:docPart w:val="DefaultPlaceholder_-1854013440"/>
          </w:placeholder>
        </w:sdtPr>
        <w:sdtContent>
          <w:r w:rsidR="00A234D4" w:rsidRPr="00A234D4">
            <w:rPr>
              <w:color w:val="000000"/>
            </w:rPr>
            <w:t>(Petikam et al., 2021)</w:t>
          </w:r>
        </w:sdtContent>
      </w:sdt>
      <w:r>
        <w:t xml:space="preserve"> proposed a novel method for allowing artists to have fine grain control over the lighting details in real time applications. </w:t>
      </w:r>
      <w:r w:rsidR="002568C6">
        <w:t>The paper proposed a</w:t>
      </w:r>
      <w:r>
        <w:t xml:space="preserve"> solution allowed for lighting based on physical approximations to have an artistic style with details which would only be found in art. To this end, they required a means for defining shapes for these details to take. </w:t>
      </w:r>
      <w:r w:rsidR="002568C6">
        <w:t>The method used</w:t>
      </w:r>
      <w:r>
        <w:t xml:space="preserve"> a procedural shape defined by a function. This shape was limited, not allowing for rectangular shapes.</w:t>
      </w:r>
      <w:r w:rsidR="002568C6">
        <w:t xml:space="preserve"> Vector based shapes would be less limited </w:t>
      </w:r>
      <w:r w:rsidR="00A234D4">
        <w:t>regarding</w:t>
      </w:r>
      <w:r w:rsidR="002568C6">
        <w:t xml:space="preserve"> shape </w:t>
      </w:r>
      <w:r w:rsidR="00A234D4">
        <w:t>variety</w:t>
      </w:r>
      <w:r w:rsidR="002568C6">
        <w:t>.</w:t>
      </w:r>
      <w:r w:rsidR="00A234D4">
        <w:t xml:space="preserve"> The paper however stated</w:t>
      </w:r>
      <w:r w:rsidR="002568C6">
        <w:t xml:space="preserve"> “</w:t>
      </w:r>
      <w:r w:rsidR="00A234D4">
        <w:t>…</w:t>
      </w:r>
      <w:r w:rsidR="002568C6">
        <w:t xml:space="preserve"> </w:t>
      </w:r>
      <w:r w:rsidR="002568C6" w:rsidRPr="002568C6">
        <w:t>current research cannot support animated vector texture mapping</w:t>
      </w:r>
      <w:r w:rsidR="002568C6">
        <w:t xml:space="preserve"> </w:t>
      </w:r>
      <w:r w:rsidR="002568C6" w:rsidRPr="002568C6">
        <w:t>in real-time applications</w:t>
      </w:r>
      <w:r w:rsidR="002568C6">
        <w:t>”</w:t>
      </w:r>
      <w:r w:rsidR="00A234D4">
        <w:t>. New methods have been published since then in this area, namely</w:t>
      </w:r>
      <w:r w:rsidR="003A3C2C">
        <w:t xml:space="preserve"> Kumar H and Sud A’s method.</w:t>
      </w:r>
      <w:r w:rsidR="00A234D4">
        <w:t xml:space="preserve"> </w:t>
      </w:r>
      <w:sdt>
        <w:sdtPr>
          <w:tag w:val="MENDELEY_CITATION_v3_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"/>
          <w:id w:val="-615530703"/>
          <w:placeholder>
            <w:docPart w:val="DefaultPlaceholder_-1854013440"/>
          </w:placeholder>
        </w:sdtPr>
        <w:sdtContent>
          <w:r w:rsidR="003A3C2C">
            <w:rPr>
              <w:rFonts w:eastAsia="Times New Roman"/>
            </w:rPr>
            <w:t>(Kumar &amp; Sud, 2019)</w:t>
          </w:r>
        </w:sdtContent>
      </w:sdt>
    </w:p>
    <w:p w14:paraId="7D0F0A1A" w14:textId="34C38CBB" w:rsidR="0059082F" w:rsidRPr="0059082F" w:rsidRDefault="006B3F1E" w:rsidP="002568C6">
      <w:pPr>
        <w:pStyle w:val="Heading2"/>
        <w:numPr>
          <w:ilvl w:val="1"/>
          <w:numId w:val="3"/>
        </w:numPr>
      </w:pPr>
      <w:r>
        <w:lastRenderedPageBreak/>
        <w:t>Objectives of Project</w:t>
      </w:r>
    </w:p>
    <w:p w14:paraId="0B5433C6" w14:textId="14E68A58" w:rsidR="006B3F1E" w:rsidRDefault="0059082F" w:rsidP="002568C6">
      <w:pPr>
        <w:pStyle w:val="Heading1"/>
        <w:numPr>
          <w:ilvl w:val="0"/>
          <w:numId w:val="3"/>
        </w:numPr>
      </w:pPr>
      <w:r>
        <w:t>Graphical Processing Units</w:t>
      </w:r>
    </w:p>
    <w:p w14:paraId="298A6672" w14:textId="24CE6FFC" w:rsidR="00F108C6" w:rsidRPr="00F108C6" w:rsidRDefault="0059082F" w:rsidP="002568C6">
      <w:pPr>
        <w:pStyle w:val="Heading2"/>
        <w:numPr>
          <w:ilvl w:val="1"/>
          <w:numId w:val="3"/>
        </w:numPr>
      </w:pPr>
      <w:r>
        <w:t>Introduction</w:t>
      </w:r>
    </w:p>
    <w:p w14:paraId="03CD857B" w14:textId="3ECC4C82" w:rsidR="006B3F1E" w:rsidRDefault="0059082F" w:rsidP="002568C6">
      <w:pPr>
        <w:pStyle w:val="Heading2"/>
        <w:numPr>
          <w:ilvl w:val="1"/>
          <w:numId w:val="3"/>
        </w:numPr>
      </w:pPr>
      <w:r>
        <w:t>Pipeline</w:t>
      </w:r>
    </w:p>
    <w:p w14:paraId="70F4D312" w14:textId="6827E6FE" w:rsidR="006B3F1E" w:rsidRDefault="0059082F" w:rsidP="002568C6">
      <w:pPr>
        <w:pStyle w:val="Heading1"/>
        <w:numPr>
          <w:ilvl w:val="0"/>
          <w:numId w:val="3"/>
        </w:numPr>
      </w:pPr>
      <w:r>
        <w:t>Vector Graphics</w:t>
      </w:r>
    </w:p>
    <w:p w14:paraId="562607A6" w14:textId="7E819C20" w:rsidR="006B3F1E" w:rsidRDefault="0059082F" w:rsidP="002568C6">
      <w:pPr>
        <w:pStyle w:val="Heading2"/>
        <w:numPr>
          <w:ilvl w:val="1"/>
          <w:numId w:val="3"/>
        </w:numPr>
      </w:pPr>
      <w:r>
        <w:t>Introduction</w:t>
      </w:r>
    </w:p>
    <w:p w14:paraId="74B8104B" w14:textId="5D63CD73" w:rsidR="0059082F" w:rsidRDefault="00E30C23" w:rsidP="002568C6">
      <w:pPr>
        <w:pStyle w:val="Heading2"/>
        <w:numPr>
          <w:ilvl w:val="1"/>
          <w:numId w:val="3"/>
        </w:numPr>
      </w:pPr>
      <w:r>
        <w:t>Spline, B-Spline and Bezier curve</w:t>
      </w:r>
    </w:p>
    <w:p w14:paraId="5F0784FB" w14:textId="30E1F0EC" w:rsidR="0059082F" w:rsidRDefault="0059082F" w:rsidP="002568C6">
      <w:pPr>
        <w:pStyle w:val="Heading2"/>
        <w:numPr>
          <w:ilvl w:val="1"/>
          <w:numId w:val="3"/>
        </w:numPr>
      </w:pPr>
      <w:r>
        <w:t>GPU rendering</w:t>
      </w:r>
    </w:p>
    <w:p w14:paraId="66E44973" w14:textId="25DE0528" w:rsidR="00E47AF8" w:rsidRDefault="00E47AF8" w:rsidP="002568C6">
      <w:pPr>
        <w:pStyle w:val="Heading3"/>
        <w:numPr>
          <w:ilvl w:val="2"/>
          <w:numId w:val="3"/>
        </w:numPr>
      </w:pPr>
      <w:r>
        <w:t>Cubic method</w:t>
      </w:r>
    </w:p>
    <w:p w14:paraId="5178A94B" w14:textId="52ED8116" w:rsidR="00E47AF8" w:rsidRDefault="00E47AF8" w:rsidP="002568C6">
      <w:pPr>
        <w:pStyle w:val="Heading3"/>
        <w:numPr>
          <w:ilvl w:val="2"/>
          <w:numId w:val="3"/>
        </w:numPr>
      </w:pPr>
      <w:r>
        <w:t>Quadratic method</w:t>
      </w:r>
    </w:p>
    <w:p w14:paraId="7C7DF9C3" w14:textId="5711B2A7" w:rsidR="00E47AF8" w:rsidRPr="00E47AF8" w:rsidRDefault="00E47AF8" w:rsidP="002568C6">
      <w:pPr>
        <w:pStyle w:val="Heading3"/>
        <w:numPr>
          <w:ilvl w:val="2"/>
          <w:numId w:val="3"/>
        </w:numPr>
      </w:pPr>
      <w:r>
        <w:t>Grid method</w:t>
      </w:r>
    </w:p>
    <w:p w14:paraId="3D54577B" w14:textId="73B13B5E" w:rsidR="006B3F1E" w:rsidRDefault="00F108C6" w:rsidP="002568C6">
      <w:pPr>
        <w:pStyle w:val="Heading1"/>
        <w:numPr>
          <w:ilvl w:val="0"/>
          <w:numId w:val="3"/>
        </w:numPr>
      </w:pPr>
      <w:r>
        <w:t>Technology</w:t>
      </w:r>
    </w:p>
    <w:p w14:paraId="3A4A7D68" w14:textId="33507695" w:rsidR="00E47AF8" w:rsidRPr="00E47AF8" w:rsidRDefault="00F82B18" w:rsidP="002568C6">
      <w:pPr>
        <w:pStyle w:val="Heading2"/>
        <w:numPr>
          <w:ilvl w:val="1"/>
          <w:numId w:val="3"/>
        </w:numPr>
      </w:pPr>
      <w:r>
        <w:t>Introduction</w:t>
      </w:r>
    </w:p>
    <w:p w14:paraId="0A573EB6" w14:textId="66ECE909" w:rsidR="00E47AF8" w:rsidRDefault="00043E07" w:rsidP="002568C6">
      <w:pPr>
        <w:pStyle w:val="Heading2"/>
        <w:numPr>
          <w:ilvl w:val="1"/>
          <w:numId w:val="3"/>
        </w:numPr>
      </w:pPr>
      <w:r>
        <w:t>GPU integration</w:t>
      </w:r>
      <w:r w:rsidR="00E47AF8">
        <w:t xml:space="preserve"> &amp; profiling</w:t>
      </w:r>
    </w:p>
    <w:p w14:paraId="500D7DDE" w14:textId="29B4FE06" w:rsidR="00E47AF8" w:rsidRDefault="00E47AF8" w:rsidP="002568C6">
      <w:pPr>
        <w:pStyle w:val="Heading3"/>
        <w:numPr>
          <w:ilvl w:val="2"/>
          <w:numId w:val="3"/>
        </w:numPr>
      </w:pPr>
      <w:r>
        <w:t xml:space="preserve">Unreal </w:t>
      </w:r>
    </w:p>
    <w:p w14:paraId="1F81FA68" w14:textId="7B7256CA" w:rsidR="00E47AF8" w:rsidRDefault="00E47AF8" w:rsidP="002568C6">
      <w:pPr>
        <w:pStyle w:val="Heading3"/>
        <w:numPr>
          <w:ilvl w:val="2"/>
          <w:numId w:val="3"/>
        </w:numPr>
      </w:pPr>
      <w:r>
        <w:t>Unity</w:t>
      </w:r>
    </w:p>
    <w:p w14:paraId="2C7B1EBF" w14:textId="56B9DC97" w:rsidR="00E47AF8" w:rsidRPr="00E47AF8" w:rsidRDefault="00E47AF8" w:rsidP="002568C6">
      <w:pPr>
        <w:pStyle w:val="Heading3"/>
        <w:numPr>
          <w:ilvl w:val="2"/>
          <w:numId w:val="3"/>
        </w:numPr>
      </w:pPr>
      <w:r>
        <w:t>Godot &amp; 3</w:t>
      </w:r>
      <w:r w:rsidRPr="00E47AF8">
        <w:rPr>
          <w:vertAlign w:val="superscript"/>
        </w:rPr>
        <w:t>rd</w:t>
      </w:r>
      <w:r>
        <w:t xml:space="preserve"> party</w:t>
      </w:r>
    </w:p>
    <w:p w14:paraId="751C6C28" w14:textId="6E7AA599" w:rsidR="00E47AF8" w:rsidRDefault="00043E07" w:rsidP="002568C6">
      <w:pPr>
        <w:pStyle w:val="Heading2"/>
        <w:numPr>
          <w:ilvl w:val="1"/>
          <w:numId w:val="3"/>
        </w:numPr>
      </w:pPr>
      <w:r>
        <w:t>Tool creation</w:t>
      </w:r>
    </w:p>
    <w:p w14:paraId="722FC3BC" w14:textId="7F2B0545" w:rsidR="00E47AF8" w:rsidRDefault="00E47AF8" w:rsidP="002568C6">
      <w:pPr>
        <w:pStyle w:val="Heading3"/>
        <w:numPr>
          <w:ilvl w:val="2"/>
          <w:numId w:val="3"/>
        </w:numPr>
      </w:pPr>
      <w:r>
        <w:t>Unreal</w:t>
      </w:r>
    </w:p>
    <w:p w14:paraId="3076348F" w14:textId="719F6338" w:rsidR="00E47AF8" w:rsidRDefault="00E47AF8" w:rsidP="002568C6">
      <w:pPr>
        <w:pStyle w:val="Heading3"/>
        <w:numPr>
          <w:ilvl w:val="2"/>
          <w:numId w:val="3"/>
        </w:numPr>
      </w:pPr>
      <w:r>
        <w:t>Unity</w:t>
      </w:r>
    </w:p>
    <w:p w14:paraId="0AAE4D9D" w14:textId="2C2F0059" w:rsidR="00E47AF8" w:rsidRPr="00E47AF8" w:rsidRDefault="00E47AF8" w:rsidP="002568C6">
      <w:pPr>
        <w:pStyle w:val="Heading3"/>
        <w:numPr>
          <w:ilvl w:val="2"/>
          <w:numId w:val="3"/>
        </w:numPr>
      </w:pPr>
      <w:r>
        <w:t>Godot</w:t>
      </w:r>
    </w:p>
    <w:p w14:paraId="4E717F6C" w14:textId="386528DA" w:rsidR="006B3F1E" w:rsidRDefault="006B3F1E" w:rsidP="002568C6">
      <w:pPr>
        <w:pStyle w:val="Heading1"/>
        <w:numPr>
          <w:ilvl w:val="0"/>
          <w:numId w:val="3"/>
        </w:numPr>
      </w:pPr>
      <w:r>
        <w:t>Methodology &amp; Design</w:t>
      </w:r>
    </w:p>
    <w:p w14:paraId="1BDCF9EE" w14:textId="048C9FAE" w:rsidR="006B3F1E" w:rsidRDefault="006B3F1E" w:rsidP="002568C6">
      <w:pPr>
        <w:pStyle w:val="Heading1"/>
        <w:numPr>
          <w:ilvl w:val="0"/>
          <w:numId w:val="3"/>
        </w:numPr>
      </w:pPr>
      <w:r>
        <w:t>Implementation</w:t>
      </w:r>
    </w:p>
    <w:p w14:paraId="21D67E4D" w14:textId="2B8B511F" w:rsidR="006B3F1E" w:rsidRDefault="006B3F1E" w:rsidP="002568C6">
      <w:pPr>
        <w:pStyle w:val="Heading2"/>
        <w:numPr>
          <w:ilvl w:val="1"/>
          <w:numId w:val="3"/>
        </w:numPr>
      </w:pPr>
      <w:r>
        <w:t>Sprints</w:t>
      </w:r>
    </w:p>
    <w:p w14:paraId="1AB3E835" w14:textId="3F42221D" w:rsidR="006B3F1E" w:rsidRDefault="0059082F" w:rsidP="002568C6">
      <w:pPr>
        <w:pStyle w:val="Heading1"/>
        <w:numPr>
          <w:ilvl w:val="0"/>
          <w:numId w:val="3"/>
        </w:numPr>
      </w:pPr>
      <w:r>
        <w:t>Results &amp; Conclusions</w:t>
      </w:r>
    </w:p>
    <w:p w14:paraId="432C3C7A" w14:textId="3318D253" w:rsidR="00A234D4" w:rsidRPr="00A234D4" w:rsidRDefault="00A234D4" w:rsidP="00A234D4">
      <w:pPr>
        <w:pStyle w:val="Heading1"/>
        <w:numPr>
          <w:ilvl w:val="0"/>
          <w:numId w:val="3"/>
        </w:numPr>
      </w:pPr>
      <w:r>
        <w:t>References</w:t>
      </w:r>
    </w:p>
    <w:sdt>
      <w:sdtPr>
        <w:tag w:val="MENDELEY_BIBLIOGRAPHY"/>
        <w:id w:val="1716690453"/>
        <w:placeholder>
          <w:docPart w:val="DefaultPlaceholder_-1854013440"/>
        </w:placeholder>
      </w:sdtPr>
      <w:sdtContent>
        <w:p w14:paraId="70AA1E25" w14:textId="77777777" w:rsidR="003A3C2C" w:rsidRDefault="003A3C2C">
          <w:pPr>
            <w:autoSpaceDE w:val="0"/>
            <w:autoSpaceDN w:val="0"/>
            <w:ind w:hanging="480"/>
            <w:divId w:val="1506092348"/>
            <w:rPr>
              <w:rFonts w:eastAsia="Times New Roman"/>
              <w:sz w:val="24"/>
              <w:szCs w:val="24"/>
            </w:rPr>
          </w:pPr>
          <w:r>
            <w:rPr>
              <w:rFonts w:eastAsia="Times New Roman"/>
            </w:rPr>
            <w:t xml:space="preserve">Kumar, H., &amp; Sud, A. (2019). Fast, memory efficient and resolution independent rendering of cubic </w:t>
          </w:r>
          <w:proofErr w:type="spellStart"/>
          <w:r>
            <w:rPr>
              <w:rFonts w:eastAsia="Times New Roman"/>
            </w:rPr>
            <w:t>Bézier</w:t>
          </w:r>
          <w:proofErr w:type="spellEnd"/>
          <w:r>
            <w:rPr>
              <w:rFonts w:eastAsia="Times New Roman"/>
            </w:rPr>
            <w:t xml:space="preserve"> curves using tessellation shaders. </w:t>
          </w:r>
          <w:r>
            <w:rPr>
              <w:rFonts w:eastAsia="Times New Roman"/>
              <w:i/>
              <w:iCs/>
            </w:rPr>
            <w:t>SIGGRAPH Asia 2019 Posters, SA 2019</w:t>
          </w:r>
          <w:r>
            <w:rPr>
              <w:rFonts w:eastAsia="Times New Roman"/>
            </w:rPr>
            <w:t>. https://doi.org/10.1145/3355056.3364548</w:t>
          </w:r>
        </w:p>
        <w:p w14:paraId="49535DDD" w14:textId="77777777" w:rsidR="003A3C2C" w:rsidRDefault="003A3C2C">
          <w:pPr>
            <w:autoSpaceDE w:val="0"/>
            <w:autoSpaceDN w:val="0"/>
            <w:ind w:hanging="480"/>
            <w:divId w:val="250815728"/>
            <w:rPr>
              <w:rFonts w:eastAsia="Times New Roman"/>
            </w:rPr>
          </w:pPr>
          <w:r>
            <w:rPr>
              <w:rFonts w:eastAsia="Times New Roman"/>
            </w:rPr>
            <w:t xml:space="preserve">Petikam, L., Anjyo, K., &amp; Rhee, T. (2021). Shading Rig: Dynamic Art-directable Stylised Shading for 3D Characters. </w:t>
          </w:r>
          <w:r>
            <w:rPr>
              <w:rFonts w:eastAsia="Times New Roman"/>
              <w:i/>
              <w:iCs/>
            </w:rPr>
            <w:t>ACM Transactions on Graphics (TOG)</w:t>
          </w:r>
          <w:r>
            <w:rPr>
              <w:rFonts w:eastAsia="Times New Roman"/>
            </w:rPr>
            <w:t xml:space="preserve">, </w:t>
          </w:r>
          <w:r>
            <w:rPr>
              <w:rFonts w:eastAsia="Times New Roman"/>
              <w:i/>
              <w:iCs/>
            </w:rPr>
            <w:t>40</w:t>
          </w:r>
          <w:r>
            <w:rPr>
              <w:rFonts w:eastAsia="Times New Roman"/>
            </w:rPr>
            <w:t>(5). https://doi.org/10.1145/3461696</w:t>
          </w:r>
        </w:p>
        <w:p w14:paraId="0F448CD3" w14:textId="1E44BAD5" w:rsidR="00A234D4" w:rsidRDefault="003A3C2C">
          <w:r>
            <w:rPr>
              <w:rFonts w:eastAsia="Times New Roman"/>
            </w:rPr>
            <w:t> </w:t>
          </w:r>
        </w:p>
      </w:sdtContent>
    </w:sdt>
    <w:p w14:paraId="77FB3394" w14:textId="77777777" w:rsidR="00A234D4" w:rsidRPr="00A234D4" w:rsidRDefault="00A234D4" w:rsidP="00A234D4"/>
    <w:p w14:paraId="29875F0A" w14:textId="77777777" w:rsidR="0059082F" w:rsidRPr="0059082F" w:rsidRDefault="0059082F" w:rsidP="0059082F"/>
    <w:sectPr w:rsidR="0059082F" w:rsidRPr="00590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4AA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B25C13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3017200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771CB8"/>
    <w:multiLevelType w:val="multilevel"/>
    <w:tmpl w:val="18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" w15:restartNumberingAfterBreak="0">
    <w:nsid w:val="701D4D62"/>
    <w:multiLevelType w:val="hybridMultilevel"/>
    <w:tmpl w:val="370C0EC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376108">
    <w:abstractNumId w:val="4"/>
  </w:num>
  <w:num w:numId="2" w16cid:durableId="371998135">
    <w:abstractNumId w:val="1"/>
  </w:num>
  <w:num w:numId="3" w16cid:durableId="1612086779">
    <w:abstractNumId w:val="0"/>
  </w:num>
  <w:num w:numId="4" w16cid:durableId="1282805729">
    <w:abstractNumId w:val="3"/>
  </w:num>
  <w:num w:numId="5" w16cid:durableId="861167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F3"/>
    <w:rsid w:val="00043E07"/>
    <w:rsid w:val="00076769"/>
    <w:rsid w:val="001935C4"/>
    <w:rsid w:val="002568C6"/>
    <w:rsid w:val="00266E58"/>
    <w:rsid w:val="003A3C2C"/>
    <w:rsid w:val="004C71C5"/>
    <w:rsid w:val="00587DCC"/>
    <w:rsid w:val="0059082F"/>
    <w:rsid w:val="006B3F1E"/>
    <w:rsid w:val="007F1A71"/>
    <w:rsid w:val="00A234D4"/>
    <w:rsid w:val="00AB41EF"/>
    <w:rsid w:val="00B452F3"/>
    <w:rsid w:val="00E30C23"/>
    <w:rsid w:val="00E47AF8"/>
    <w:rsid w:val="00F108C6"/>
    <w:rsid w:val="00F8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14386"/>
  <w15:chartTrackingRefBased/>
  <w15:docId w15:val="{BB211B3F-869A-4D00-BFC7-1BF3066D7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F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F1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AF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7A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F1E"/>
    <w:rPr>
      <w:rFonts w:asciiTheme="majorHAnsi" w:eastAsiaTheme="majorEastAsia" w:hAnsiTheme="majorHAnsi" w:cstheme="majorBidi"/>
      <w:i/>
      <w:iCs/>
    </w:rPr>
  </w:style>
  <w:style w:type="paragraph" w:styleId="NoSpacing">
    <w:name w:val="No Spacing"/>
    <w:uiPriority w:val="1"/>
    <w:qFormat/>
    <w:rsid w:val="006B3F1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93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3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57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1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37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66C30-D6AF-4C2C-BB06-A8CCB1B97892}"/>
      </w:docPartPr>
      <w:docPartBody>
        <w:p w:rsidR="00317B05" w:rsidRDefault="00A230E0">
          <w:r w:rsidRPr="00BA582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E0"/>
    <w:rsid w:val="00317B05"/>
    <w:rsid w:val="00521DE8"/>
    <w:rsid w:val="00A230E0"/>
    <w:rsid w:val="00E4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3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5FA745-363A-4E4E-AE1A-B27395F23B96}">
  <we:reference id="wa104382081" version="1.46.0.0" store="en-IE" storeType="OMEX"/>
  <we:alternateReferences>
    <we:reference id="wa104382081" version="1.46.0.0" store="en-IE" storeType="OMEX"/>
  </we:alternateReferences>
  <we:properties>
    <we:property name="MENDELEY_CITATIONS" value="[{&quot;citationID&quot;:&quot;MENDELEY_CITATION_da0eb88a-f033-4051-969f-488c1901d775&quot;,&quot;properties&quot;:{&quot;noteIndex&quot;:0},&quot;isEdited&quot;:false,&quot;manualOverride&quot;:{&quot;isManuallyOverridden&quot;:false,&quot;citeprocText&quot;:&quot;(Petikam et al., 2021)&quot;,&quot;manualOverrideText&quot;:&quot;&quot;},&quot;citationTag&quot;:&quot;MENDELEY_CITATION_v3_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&quot;,&quot;citationItems&quot;:[{&quot;id&quot;:&quot;1ae8a18f-756b-379d-83fe-688913c8679e&quot;,&quot;itemData&quot;:{&quot;type&quot;:&quot;article-journal&quot;,&quot;id&quot;:&quot;1ae8a18f-756b-379d-83fe-688913c8679e&quot;,&quot;title&quot;:&quot;Shading Rig: Dynamic Art-directable Stylised Shading for 3D Characters&quot;,&quot;author&quot;:[{&quot;family&quot;:&quot;Petikam&quot;,&quot;given&quot;:&quot;Lohit&quot;,&quot;parse-names&quot;:false,&quot;dropping-particle&quot;:&quot;&quot;,&quot;non-dropping-particle&quot;:&quot;&quot;},{&quot;family&quot;:&quot;Anjyo&quot;,&quot;given&quot;:&quot;Ken&quot;,&quot;parse-names&quot;:false,&quot;dropping-particle&quot;:&quot;&quot;,&quot;non-dropping-particle&quot;:&quot;&quot;},{&quot;family&quot;:&quot;Rhee&quot;,&quot;given&quot;:&quot;Taehyun&quot;,&quot;parse-names&quot;:false,&quot;dropping-particle&quot;:&quot;&quot;,&quot;non-dropping-particle&quot;:&quot;&quot;}],&quot;container-title&quot;:&quot;ACM Transactions on Graphics (TOG)&quot;,&quot;accessed&quot;:{&quot;date-parts&quot;:[[2022,10,2]]},&quot;DOI&quot;:&quot;10.1145/3461696&quot;,&quot;ISSN&quot;:&quot;15577368&quot;,&quot;URL&quot;:&quot;https://dl-acm-org.mtu.idm.oclc.org/doi/10.1145/3461696&quot;,&quot;issued&quot;:{&quot;date-parts&quot;:[[2021,9,24]]},&quot;abstract&quot;:&quot;Despite the popularity of three-dimensional (3D) animation techniques, the style of 2D cel animation is seeing increased use in games and interactive applications. However, conventional 3D toon sha...&quot;,&quot;publisher&quot;:&quot;\nACM\nPUB27\nNew York, NY\n&quot;,&quot;issue&quot;:&quot;5&quot;,&quot;volume&quot;:&quot;40&quot;,&quot;container-title-short&quot;:&quot;&quot;},&quot;isTemporary&quot;:false}]},{&quot;citationID&quot;:&quot;MENDELEY_CITATION_43ecc594-6ba0-4cf8-b171-f963d7ba31ae&quot;,&quot;properties&quot;:{&quot;noteIndex&quot;:0},&quot;isEdited&quot;:false,&quot;manualOverride&quot;:{&quot;isManuallyOverridden&quot;:false,&quot;citeprocText&quot;:&quot;(Kumar &amp;#38; Sud, 2019)&quot;,&quot;manualOverrideText&quot;:&quot;&quot;},&quot;citationTag&quot;:&quot;MENDELEY_CITATION_v3_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&quot;,&quot;citationItems&quot;:[{&quot;id&quot;:&quot;b1af9eb9-4870-31f3-89a5-a2e980a617cc&quot;,&quot;itemData&quot;:{&quot;type&quot;:&quot;article-journal&quot;,&quot;id&quot;:&quot;b1af9eb9-4870-31f3-89a5-a2e980a617cc&quot;,&quot;title&quot;:&quot;Fast, memory efficient and resolution independent rendering of cubic Bézier curves using tessellation shaders&quot;,&quot;author&quot;:[{&quot;family&quot;:&quot;Kumar&quot;,&quot;given&quot;:&quot;Harish&quot;,&quot;parse-names&quot;:false,&quot;dropping-particle&quot;:&quot;&quot;,&quot;non-dropping-particle&quot;:&quot;&quot;},{&quot;family&quot;:&quot;Sud&quot;,&quot;given&quot;:&quot;Anmol&quot;,&quot;parse-names&quot;:false,&quot;dropping-particle&quot;:&quot;&quot;,&quot;non-dropping-particle&quot;:&quot;&quot;}],&quot;container-title&quot;:&quot;SIGGRAPH Asia 2019 Posters, SA 2019&quot;,&quot;accessed&quot;:{&quot;date-parts&quot;:[[2022,10,4]]},&quot;DOI&quot;:&quot;10.1145/3355056.3364548&quot;,&quot;ISBN&quot;:&quot;9781450369435&quot;,&quot;URL&quot;:&quot;https://doi.org/10.1145/3355056.3364548&quot;,&quot;issued&quot;:{&quot;date-parts&quot;:[[2019,11,17]]},&quot;publisher&quot;:&quot;Association for Computing Machinery, Inc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CAC18B2-711D-49FB-A5F1-7085F222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 Szlapka</dc:creator>
  <cp:keywords/>
  <dc:description/>
  <cp:lastModifiedBy>Jeremi Szlapka</cp:lastModifiedBy>
  <cp:revision>7</cp:revision>
  <dcterms:created xsi:type="dcterms:W3CDTF">2022-10-09T09:31:00Z</dcterms:created>
  <dcterms:modified xsi:type="dcterms:W3CDTF">2022-10-13T14:15:00Z</dcterms:modified>
</cp:coreProperties>
</file>